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60" w:rsidRDefault="00F1687B" w:rsidP="00725205">
      <w:pPr>
        <w:jc w:val="center"/>
        <w:rPr>
          <w:b/>
        </w:rPr>
      </w:pPr>
      <w:bookmarkStart w:id="0" w:name="_GoBack"/>
      <w:bookmarkEnd w:id="0"/>
      <w:r>
        <w:rPr>
          <w:b/>
          <w:sz w:val="24"/>
          <w:lang w:val="en-US"/>
        </w:rPr>
        <w:t xml:space="preserve">SECOND WORKING GROUP MEETING OF THE </w:t>
      </w:r>
      <w:r>
        <w:rPr>
          <w:b/>
          <w:sz w:val="24"/>
          <w:lang w:val="en-US"/>
        </w:rPr>
        <w:br/>
      </w:r>
      <w:r w:rsidR="000D26D5">
        <w:rPr>
          <w:b/>
          <w:sz w:val="24"/>
          <w:lang w:val="en-US"/>
        </w:rPr>
        <w:t>FREQUENCY SPECTRUM</w:t>
      </w:r>
      <w:r w:rsidR="000D26D5">
        <w:rPr>
          <w:b/>
        </w:rPr>
        <w:t xml:space="preserve"> MANGEMENT  PANEL (FSMP)</w:t>
      </w:r>
    </w:p>
    <w:p w:rsidR="00770160" w:rsidRDefault="00770160">
      <w:pPr>
        <w:tabs>
          <w:tab w:val="left" w:pos="6972"/>
        </w:tabs>
        <w:jc w:val="center"/>
        <w:rPr>
          <w:b/>
        </w:rPr>
      </w:pPr>
    </w:p>
    <w:p w:rsidR="00770160" w:rsidRDefault="00F1687B" w:rsidP="00DF76D3">
      <w:pPr>
        <w:pStyle w:val="Maintitle"/>
      </w:pPr>
      <w:r>
        <w:t>(FSMP-WG/2)</w:t>
      </w:r>
    </w:p>
    <w:p w:rsidR="00770160" w:rsidRDefault="00770160"/>
    <w:p w:rsidR="00770160" w:rsidRDefault="00725205" w:rsidP="000D26D5">
      <w:pPr>
        <w:pStyle w:val="Maintitle"/>
      </w:pPr>
      <w:r>
        <w:t>Montreal</w:t>
      </w:r>
      <w:r w:rsidR="00A12CBA">
        <w:t xml:space="preserve">, </w:t>
      </w:r>
      <w:r>
        <w:t>Canada</w:t>
      </w:r>
      <w:r w:rsidR="00A12CBA">
        <w:t xml:space="preserve">, </w:t>
      </w:r>
      <w:r w:rsidR="00F1687B">
        <w:t>15-19 February 2016</w:t>
      </w:r>
    </w:p>
    <w:p w:rsidR="00770160" w:rsidRDefault="00770160">
      <w:pPr>
        <w:tabs>
          <w:tab w:val="left" w:pos="0"/>
          <w:tab w:val="left" w:pos="1570"/>
          <w:tab w:val="left" w:pos="1857"/>
        </w:tabs>
      </w:pPr>
      <w:bookmarkStart w:id="1" w:name="agenda_item"/>
      <w:bookmarkEnd w:id="1"/>
    </w:p>
    <w:p w:rsidR="00770160" w:rsidRDefault="00770160">
      <w:pPr>
        <w:tabs>
          <w:tab w:val="left" w:pos="0"/>
          <w:tab w:val="left" w:pos="1570"/>
          <w:tab w:val="left" w:pos="1857"/>
        </w:tabs>
      </w:pPr>
    </w:p>
    <w:p w:rsidR="00770160" w:rsidRDefault="00F1687B">
      <w:pPr>
        <w:pStyle w:val="Agendaitemtitle"/>
        <w:rPr>
          <w:lang w:val="sv-SE"/>
        </w:rPr>
      </w:pPr>
      <w:r>
        <w:rPr>
          <w:lang w:val="sv-SE"/>
        </w:rPr>
        <w:t>Agenda Item 2a</w:t>
      </w:r>
      <w:r w:rsidR="00770160">
        <w:rPr>
          <w:lang w:val="sv-SE"/>
        </w:rPr>
        <w:t>:</w:t>
      </w:r>
      <w:r w:rsidR="00770160">
        <w:rPr>
          <w:lang w:val="sv-SE"/>
        </w:rPr>
        <w:tab/>
      </w:r>
      <w:r>
        <w:rPr>
          <w:lang w:val="sv-SE"/>
        </w:rPr>
        <w:t>Outcome of WRC-15 (General)</w:t>
      </w:r>
    </w:p>
    <w:p w:rsidR="00770160" w:rsidRDefault="00770160">
      <w:pPr>
        <w:pStyle w:val="Agendaitemtitle"/>
        <w:rPr>
          <w:b w:val="0"/>
          <w:lang w:val="sv-SE"/>
        </w:rPr>
      </w:pPr>
    </w:p>
    <w:p w:rsidR="00770160" w:rsidRDefault="00770160">
      <w:pPr>
        <w:tabs>
          <w:tab w:val="left" w:pos="6972"/>
        </w:tabs>
        <w:rPr>
          <w:b/>
          <w:lang w:val="sv-SE"/>
        </w:rPr>
      </w:pPr>
    </w:p>
    <w:p w:rsidR="00770160" w:rsidRDefault="00627A2A">
      <w:pPr>
        <w:pStyle w:val="Maintitle"/>
      </w:pPr>
      <w:r>
        <w:t>NEW METHODOLOGY FOR THE PROTECTION OF AERONATUCAL SYSTEMS</w:t>
      </w:r>
    </w:p>
    <w:p w:rsidR="00770160" w:rsidRDefault="00770160">
      <w:pPr>
        <w:tabs>
          <w:tab w:val="left" w:pos="6972"/>
        </w:tabs>
      </w:pPr>
    </w:p>
    <w:p w:rsidR="00770160" w:rsidRDefault="00770160">
      <w:pPr>
        <w:tabs>
          <w:tab w:val="left" w:pos="6972"/>
        </w:tabs>
      </w:pPr>
    </w:p>
    <w:p w:rsidR="00770160" w:rsidRDefault="00770160">
      <w:pPr>
        <w:jc w:val="center"/>
      </w:pPr>
      <w:r>
        <w:t>(</w:t>
      </w:r>
      <w:r w:rsidR="00A25092">
        <w:t xml:space="preserve">John </w:t>
      </w:r>
      <w:proofErr w:type="spellStart"/>
      <w:r w:rsidR="00A25092">
        <w:t>Mettrop</w:t>
      </w:r>
      <w:proofErr w:type="spellEnd"/>
      <w:r>
        <w:t>)</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trPr>
          <w:cantSplit/>
          <w:jc w:val="center"/>
        </w:trPr>
        <w:tc>
          <w:tcPr>
            <w:tcW w:w="7200" w:type="dxa"/>
          </w:tcPr>
          <w:p w:rsidR="00770160" w:rsidRDefault="007070EF" w:rsidP="00FE2825">
            <w:pPr>
              <w:rPr>
                <w:lang w:val="en-US"/>
              </w:rPr>
            </w:pPr>
            <w:r>
              <w:rPr>
                <w:lang w:val="en-US"/>
              </w:rPr>
              <w:t xml:space="preserve">This </w:t>
            </w:r>
            <w:r w:rsidR="00FE2825">
              <w:rPr>
                <w:lang w:val="en-US"/>
              </w:rPr>
              <w:t>paper</w:t>
            </w:r>
            <w:r>
              <w:rPr>
                <w:lang w:val="en-US"/>
              </w:rPr>
              <w:t xml:space="preserve"> </w:t>
            </w:r>
            <w:r w:rsidR="00475464">
              <w:rPr>
                <w:lang w:val="en-US"/>
              </w:rPr>
              <w:t>identifies, that as a result of the 2015 World Radiocommunication Conference, the need of finding a new methodology for ensuring the protection of aeronautical systems has become more urgent.</w:t>
            </w:r>
            <w:r w:rsidR="00FE2825">
              <w:rPr>
                <w:lang w:val="en-US"/>
              </w:rPr>
              <w:t xml:space="preserve">  The paper therefore recommends that the feasibility of using an approach first proposed at the 31</w:t>
            </w:r>
            <w:r w:rsidR="00FE2825" w:rsidRPr="00FE2825">
              <w:rPr>
                <w:vertAlign w:val="superscript"/>
                <w:lang w:val="en-US"/>
              </w:rPr>
              <w:t>st</w:t>
            </w:r>
            <w:r w:rsidR="00FE2825">
              <w:rPr>
                <w:lang w:val="en-US"/>
              </w:rPr>
              <w:t xml:space="preserve"> Meeting be further investigated.</w:t>
            </w:r>
          </w:p>
        </w:tc>
      </w:tr>
    </w:tbl>
    <w:p w:rsidR="00770160" w:rsidRDefault="00770160"/>
    <w:p w:rsidR="00770160" w:rsidRDefault="00770160"/>
    <w:p w:rsidR="00770160" w:rsidRDefault="00770160">
      <w:pPr>
        <w:pStyle w:val="1Heading"/>
      </w:pPr>
      <w:r>
        <w:t>INTRODUCTION</w:t>
      </w:r>
    </w:p>
    <w:p w:rsidR="002F5FC6" w:rsidRPr="001C4BDB" w:rsidRDefault="002F5FC6">
      <w:pPr>
        <w:pStyle w:val="2para"/>
      </w:pPr>
      <w:r>
        <w:t xml:space="preserve">The provision of air traffic control is generally regarded as a safety of life service and that the </w:t>
      </w:r>
      <w:r w:rsidR="00311CB9">
        <w:t>a</w:t>
      </w:r>
      <w:r>
        <w:t xml:space="preserve">ir ground radio systems used for </w:t>
      </w:r>
      <w:proofErr w:type="spellStart"/>
      <w:r>
        <w:t>it’s</w:t>
      </w:r>
      <w:proofErr w:type="spellEnd"/>
      <w:r>
        <w:t xml:space="preserve"> provision require the appropriate level of protection.  This has traditionally been provided by operating those system in frequency bands allocated to an appropriate aeronautical safety service and applying a safety margin in all compatibility studies.  </w:t>
      </w:r>
      <w:r w:rsidR="001C4BDB">
        <w:t xml:space="preserve">In Recommendation 1/12, ANC-12 supported such an approach by requesting the </w:t>
      </w:r>
      <w:r w:rsidR="001C4BDB" w:rsidRPr="001C4BDB">
        <w:rPr>
          <w:szCs w:val="22"/>
          <w:lang w:val="en-CA"/>
        </w:rPr>
        <w:t>develop</w:t>
      </w:r>
      <w:r w:rsidR="001C4BDB">
        <w:rPr>
          <w:szCs w:val="22"/>
          <w:lang w:val="en-CA"/>
        </w:rPr>
        <w:t>ment</w:t>
      </w:r>
      <w:r w:rsidR="001C4BDB" w:rsidRPr="001C4BDB">
        <w:rPr>
          <w:szCs w:val="22"/>
          <w:lang w:val="en-CA"/>
        </w:rPr>
        <w:t xml:space="preserve"> and implement</w:t>
      </w:r>
      <w:r w:rsidR="001C4BDB">
        <w:rPr>
          <w:szCs w:val="22"/>
          <w:lang w:val="en-CA"/>
        </w:rPr>
        <w:t>ation of</w:t>
      </w:r>
      <w:r w:rsidR="001C4BDB" w:rsidRPr="001C4BDB">
        <w:rPr>
          <w:szCs w:val="22"/>
          <w:lang w:val="en-CA"/>
        </w:rPr>
        <w:t xml:space="preserve"> a comprehensive aviation frequency spectrum strategy … which includes the following objectives: … clearly state in the strategy the need for aeronautical systems to operate in spectrum allocated to an appropriate aeronautical safety service</w:t>
      </w:r>
      <w:r w:rsidR="00FE2825">
        <w:rPr>
          <w:szCs w:val="22"/>
          <w:lang w:val="en-CA"/>
        </w:rPr>
        <w:t>.</w:t>
      </w:r>
    </w:p>
    <w:p w:rsidR="00770160" w:rsidRDefault="00770160">
      <w:pPr>
        <w:pStyle w:val="1Heading"/>
      </w:pPr>
      <w:r>
        <w:t>DISCUSSION</w:t>
      </w:r>
    </w:p>
    <w:p w:rsidR="00311CB9" w:rsidRDefault="00FE2825" w:rsidP="00311CB9">
      <w:pPr>
        <w:pStyle w:val="2para"/>
      </w:pPr>
      <w:r>
        <w:t xml:space="preserve">As spectrum has become an apparently more scarce resource so aviation has been increasingly challenged to justify </w:t>
      </w:r>
      <w:r w:rsidR="00311CB9">
        <w:t>the level of protection required and why an additional safety margin should be included in compatibility studies.</w:t>
      </w:r>
      <w:r w:rsidR="00E44B33">
        <w:t xml:space="preserve"> </w:t>
      </w:r>
      <w:r w:rsidR="00311CB9">
        <w:t xml:space="preserve">Additionally those seeking to gain access to spectrum allocated to </w:t>
      </w:r>
      <w:r w:rsidR="00311CB9">
        <w:lastRenderedPageBreak/>
        <w:t>aeronautical services have employed relevant aeronautical system experts to help build their case and undermine the arguments of aviation.</w:t>
      </w:r>
    </w:p>
    <w:p w:rsidR="0032656A" w:rsidRDefault="00E44B33" w:rsidP="00076BFB">
      <w:pPr>
        <w:pStyle w:val="2para"/>
      </w:pPr>
      <w:r>
        <w:t xml:space="preserve">The method provisionally adopted by </w:t>
      </w:r>
      <w:r w:rsidR="00C65492">
        <w:t xml:space="preserve">WRC-15 </w:t>
      </w:r>
      <w:r>
        <w:t>to resolve agenda item 1.5 further undermines the civil aviation position by using allocations to a non-aeronautical safety service for an aeronautical safety critical system</w:t>
      </w:r>
      <w:r w:rsidR="001A2E64">
        <w:t xml:space="preserve">. </w:t>
      </w:r>
      <w:r w:rsidR="00C65492">
        <w:t xml:space="preserve"> </w:t>
      </w:r>
      <w:r>
        <w:t xml:space="preserve">Where it to be adopted then it sets a precedence </w:t>
      </w:r>
      <w:r w:rsidR="00076BFB">
        <w:t>that aviation are prepared to operate a safety critical air ground radio system operating in an allocation to a non-safety service and furthermore that at least one element of that safety critical system operate on a secondary basis, a precedence for an aeronautical radio system.</w:t>
      </w:r>
      <w:r>
        <w:t xml:space="preserve">  </w:t>
      </w:r>
      <w:r w:rsidR="00076BFB">
        <w:t>The fact ICAO whilst noting some reservations appeared to endorse the method and certainly made no reference to needing to be judge in the light of the need to operate aeronautical safety systems in frequency bands allocated to an appropriate aeronautical safety service, in the minds of many was effectively accepting the precedent.</w:t>
      </w:r>
      <w:r w:rsidR="00076BFB" w:rsidRPr="00076BFB">
        <w:t xml:space="preserve"> </w:t>
      </w:r>
    </w:p>
    <w:p w:rsidR="0032656A" w:rsidRDefault="00076BFB" w:rsidP="00076BFB">
      <w:pPr>
        <w:pStyle w:val="2para"/>
      </w:pPr>
      <w:r>
        <w:t xml:space="preserve">Having reviewed the ICAO statement the CAA could only agree with the view that a precedent has been set and hence we have decided that </w:t>
      </w:r>
      <w:r w:rsidR="0032656A">
        <w:t>we will be neutral on the inclusion of safety margins in future compatibility/sharing studies until the WRC-15 agenda item 1.5 has been finally concluded.  We will then make a decision at that point whether will then press for or object to the inclusion of a safety margin.</w:t>
      </w:r>
    </w:p>
    <w:p w:rsidR="00C65492" w:rsidRDefault="0032656A" w:rsidP="00076BFB">
      <w:pPr>
        <w:pStyle w:val="2para"/>
      </w:pPr>
      <w:r>
        <w:t xml:space="preserve">Given all of the above it is my belief that we need to review how we protect our own systems and develop a methodology that can be applied consistently to all of those systems based on the required performance of that system noting that a system may consist of </w:t>
      </w:r>
      <w:r w:rsidR="001511A0">
        <w:t>one or more</w:t>
      </w:r>
      <w:r>
        <w:t xml:space="preserve"> </w:t>
      </w:r>
      <w:r w:rsidR="001511A0">
        <w:t>individual radio links.</w:t>
      </w:r>
      <w:r>
        <w:t xml:space="preserve"> </w:t>
      </w:r>
      <w:r w:rsidR="000F46A3">
        <w:t xml:space="preserve">Noting that if we agree to develop a new </w:t>
      </w:r>
      <w:proofErr w:type="spellStart"/>
      <w:r w:rsidR="000F46A3">
        <w:t>mehod</w:t>
      </w:r>
      <w:proofErr w:type="spellEnd"/>
      <w:r w:rsidR="000F46A3">
        <w:t xml:space="preserve"> then it will eventually need to be incorporated into an ITU-R Recommendation or even a Radio Regulatory provision, the FSMP must ensure that the work has reached a reasonable level of maturity before submitting into the ITU process</w:t>
      </w:r>
    </w:p>
    <w:p w:rsidR="00773E50" w:rsidRDefault="000F46A3" w:rsidP="001C4621">
      <w:pPr>
        <w:pStyle w:val="2para"/>
      </w:pPr>
      <w:r>
        <w:t>A method was proposed at the 31</w:t>
      </w:r>
      <w:r w:rsidRPr="000F46A3">
        <w:rPr>
          <w:vertAlign w:val="superscript"/>
        </w:rPr>
        <w:t>st</w:t>
      </w:r>
      <w:r>
        <w:t xml:space="preserve"> meeting of ACP working Group F </w:t>
      </w:r>
      <w:r w:rsidR="00773E50">
        <w:t xml:space="preserve">(see annex 1) </w:t>
      </w:r>
      <w:r>
        <w:t xml:space="preserve">but unfortunately I have had little time to </w:t>
      </w:r>
      <w:r w:rsidR="00773E50">
        <w:t xml:space="preserve">develop the proposal further.  Whilst I am still willing to develop the concept </w:t>
      </w:r>
      <w:proofErr w:type="spellStart"/>
      <w:r w:rsidR="00773E50">
        <w:t>futher</w:t>
      </w:r>
      <w:proofErr w:type="spellEnd"/>
      <w:r w:rsidR="00773E50">
        <w:t xml:space="preserve"> it would be useful if the working group could provide some guidance on the following issues:-</w:t>
      </w:r>
    </w:p>
    <w:p w:rsidR="00C65492" w:rsidRDefault="00F77364" w:rsidP="00C039D9">
      <w:pPr>
        <w:pStyle w:val="2para"/>
        <w:numPr>
          <w:ilvl w:val="0"/>
          <w:numId w:val="0"/>
        </w:numPr>
        <w:spacing w:after="120"/>
        <w:ind w:left="1418"/>
      </w:pPr>
      <w:r w:rsidRPr="00C039D9">
        <w:rPr>
          <w:b/>
        </w:rPr>
        <w:t>Information source:</w:t>
      </w:r>
      <w:r>
        <w:t xml:space="preserve">   What source should be used for information on the performance requirements of the various systems (accuracy, percentage of time </w:t>
      </w:r>
      <w:proofErr w:type="spellStart"/>
      <w:r>
        <w:t>etc</w:t>
      </w:r>
      <w:proofErr w:type="spellEnd"/>
      <w:r>
        <w:t xml:space="preserve">) and how should </w:t>
      </w:r>
      <w:r w:rsidR="00C039D9">
        <w:t>those performance requirements be divided between equipment factors and the radio link itself?  I presume the first source should be ICAO SARPs or handbook material but what should be used in the absence of definitive information?</w:t>
      </w:r>
    </w:p>
    <w:p w:rsidR="00C039D9" w:rsidRDefault="00C039D9" w:rsidP="00C039D9">
      <w:pPr>
        <w:pStyle w:val="2para"/>
        <w:numPr>
          <w:ilvl w:val="0"/>
          <w:numId w:val="0"/>
        </w:numPr>
        <w:spacing w:after="120"/>
        <w:ind w:left="1418"/>
      </w:pPr>
      <w:r>
        <w:rPr>
          <w:b/>
        </w:rPr>
        <w:t>Distribution of tolerances:</w:t>
      </w:r>
      <w:r>
        <w:t xml:space="preserve">  Should the worst case be used in each case or should it be some form of probability distribution model where in cases the average value would be zero and then some form of standard deviation applied?</w:t>
      </w:r>
    </w:p>
    <w:p w:rsidR="00C039D9" w:rsidRDefault="00C039D9" w:rsidP="00C039D9">
      <w:pPr>
        <w:pStyle w:val="2para"/>
        <w:numPr>
          <w:ilvl w:val="0"/>
          <w:numId w:val="0"/>
        </w:numPr>
        <w:ind w:left="1418"/>
      </w:pPr>
      <w:r w:rsidRPr="00C039D9">
        <w:rPr>
          <w:b/>
        </w:rPr>
        <w:t>Distribution model:</w:t>
      </w:r>
      <w:r>
        <w:t xml:space="preserve">  Assuming the answer to the previous case is to use a probability distribution model then which distribution model should be used?</w:t>
      </w:r>
    </w:p>
    <w:p w:rsidR="00311CB9" w:rsidRDefault="00C039D9" w:rsidP="00C039D9">
      <w:pPr>
        <w:pStyle w:val="2para"/>
      </w:pPr>
      <w:r>
        <w:t>Whilst I am not expecting answers to the above questions at this meeting it would be helpful if members would be prepared to provide advice subsequent to this meeting in such a time frame as to allow work to be done in time for the next meeting.</w:t>
      </w:r>
    </w:p>
    <w:p w:rsidR="00770160" w:rsidRDefault="00770160">
      <w:pPr>
        <w:pStyle w:val="1Heading"/>
      </w:pPr>
      <w:r>
        <w:t>ACTION BY THE MEETING</w:t>
      </w:r>
    </w:p>
    <w:p w:rsidR="00770160" w:rsidRDefault="00770160">
      <w:pPr>
        <w:pStyle w:val="2para"/>
      </w:pPr>
      <w:r>
        <w:t>The meeting is invited to:</w:t>
      </w:r>
    </w:p>
    <w:p w:rsidR="00770160" w:rsidRDefault="00770160">
      <w:pPr>
        <w:pStyle w:val="Listabc"/>
      </w:pPr>
      <w:r>
        <w:rPr>
          <w:lang w:val="en-GB"/>
        </w:rPr>
        <w:t>n</w:t>
      </w:r>
      <w:r>
        <w:t>ote and review the contents of this working paper;</w:t>
      </w:r>
    </w:p>
    <w:p w:rsidR="00770160" w:rsidRDefault="00C039D9">
      <w:pPr>
        <w:pStyle w:val="Listabc"/>
      </w:pPr>
      <w:r>
        <w:lastRenderedPageBreak/>
        <w:t>support the deve</w:t>
      </w:r>
      <w:r w:rsidR="007E1428">
        <w:t>lopment of a new methodolgy for ensuring that aeronautical systems are given suitable protect during compatibility/sharing studies.</w:t>
      </w:r>
      <w:r w:rsidR="00ED62FF">
        <w:t xml:space="preserve"> </w:t>
      </w:r>
    </w:p>
    <w:p w:rsidR="007E1428" w:rsidRDefault="007E1428" w:rsidP="007E1428">
      <w:pPr>
        <w:pStyle w:val="Listabc"/>
        <w:spacing w:after="120"/>
        <w:ind w:left="1797" w:hanging="357"/>
      </w:pPr>
      <w:r>
        <w:t>To provide guidance either during or after the meeting on the following points as eloborated in paragraph 2.6:</w:t>
      </w:r>
    </w:p>
    <w:p w:rsidR="007E1428" w:rsidRDefault="007E1428" w:rsidP="007E1428">
      <w:pPr>
        <w:pStyle w:val="Listabc"/>
        <w:numPr>
          <w:ilvl w:val="0"/>
          <w:numId w:val="12"/>
        </w:numPr>
        <w:spacing w:after="0"/>
        <w:ind w:left="2268" w:hanging="425"/>
      </w:pPr>
      <w:r>
        <w:t>Information source</w:t>
      </w:r>
    </w:p>
    <w:p w:rsidR="00770160" w:rsidRDefault="007E1428" w:rsidP="007E1428">
      <w:pPr>
        <w:pStyle w:val="Listabc"/>
        <w:numPr>
          <w:ilvl w:val="0"/>
          <w:numId w:val="12"/>
        </w:numPr>
        <w:spacing w:after="0"/>
        <w:ind w:left="2268" w:hanging="425"/>
      </w:pPr>
      <w:r>
        <w:t>Distribution of tolerances</w:t>
      </w:r>
      <w:r w:rsidR="00ED62FF">
        <w:t>.</w:t>
      </w:r>
      <w:r w:rsidR="00770160">
        <w:t xml:space="preserve"> </w:t>
      </w:r>
    </w:p>
    <w:p w:rsidR="007E1428" w:rsidRDefault="007E1428" w:rsidP="007E1428">
      <w:pPr>
        <w:pStyle w:val="Listabc"/>
        <w:numPr>
          <w:ilvl w:val="0"/>
          <w:numId w:val="12"/>
        </w:numPr>
        <w:spacing w:after="0"/>
        <w:ind w:left="2268" w:hanging="425"/>
      </w:pPr>
      <w:r>
        <w:t>Distribution model</w:t>
      </w:r>
    </w:p>
    <w:p w:rsidR="00366C76" w:rsidRDefault="00366C76" w:rsidP="00366C76">
      <w:pPr>
        <w:pStyle w:val="Listabc"/>
        <w:numPr>
          <w:ilvl w:val="0"/>
          <w:numId w:val="0"/>
        </w:numPr>
        <w:ind w:left="1800" w:hanging="360"/>
      </w:pPr>
    </w:p>
    <w:p w:rsidR="00366C76" w:rsidRDefault="00366C76">
      <w:pPr>
        <w:jc w:val="left"/>
        <w:rPr>
          <w:noProof/>
          <w:lang w:val="en-AU"/>
        </w:rPr>
      </w:pPr>
      <w:r>
        <w:br w:type="page"/>
      </w:r>
    </w:p>
    <w:p w:rsidR="00366C76" w:rsidRPr="00366C76" w:rsidRDefault="00366C76" w:rsidP="00366C76">
      <w:pPr>
        <w:pStyle w:val="Listabc"/>
        <w:numPr>
          <w:ilvl w:val="0"/>
          <w:numId w:val="0"/>
        </w:numPr>
        <w:ind w:left="360" w:hanging="360"/>
        <w:jc w:val="center"/>
        <w:rPr>
          <w:b/>
        </w:rPr>
      </w:pPr>
      <w:r w:rsidRPr="00366C76">
        <w:rPr>
          <w:b/>
        </w:rPr>
        <w:lastRenderedPageBreak/>
        <w:t>Annex 1</w:t>
      </w:r>
    </w:p>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7E1428">
        <w:trPr>
          <w:trHeight w:val="1790"/>
        </w:trPr>
        <w:tc>
          <w:tcPr>
            <w:tcW w:w="1915" w:type="dxa"/>
            <w:shd w:val="clear" w:color="auto" w:fill="FFFFFF"/>
          </w:tcPr>
          <w:p w:rsidR="007E1428" w:rsidRDefault="00EF7DDD">
            <w:pPr>
              <w:jc w:val="center"/>
            </w:pPr>
            <w:r>
              <w:fldChar w:fldCharType="begin"/>
            </w:r>
            <w:r>
              <w:instrText xml:space="preserve"> </w:instrText>
            </w:r>
            <w:r>
              <w:instrText>INCLUDEPICTURE  "C:\\Program Files\\Default Company Name\\ICAOMainMenuSetup\\Icons\\icaologo.jpg" \* MERGEFORMATINET</w:instrText>
            </w:r>
            <w:r>
              <w:instrText xml:space="preserve"> </w:instrText>
            </w:r>
            <w:r>
              <w:fldChar w:fldCharType="separate"/>
            </w:r>
            <w:r w:rsidR="0028674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69pt">
                  <v:imagedata r:id="rId12" r:href="rId13"/>
                </v:shape>
              </w:pict>
            </w:r>
            <w:r>
              <w:fldChar w:fldCharType="end"/>
            </w:r>
          </w:p>
        </w:tc>
        <w:tc>
          <w:tcPr>
            <w:tcW w:w="3895" w:type="dxa"/>
            <w:shd w:val="clear" w:color="auto" w:fill="FFFFFF"/>
            <w:tcMar>
              <w:right w:w="0" w:type="dxa"/>
            </w:tcMar>
          </w:tcPr>
          <w:p w:rsidR="007E1428" w:rsidRDefault="00EF7DDD">
            <w:pPr>
              <w:rPr>
                <w:rFonts w:ascii="Arial" w:hAnsi="Arial" w:cs="Arial"/>
                <w:szCs w:val="22"/>
              </w:rPr>
            </w:pPr>
            <w:r>
              <w:rPr>
                <w:rFonts w:ascii="Arial" w:hAnsi="Arial" w:cs="Arial"/>
                <w:noProof/>
                <w:szCs w:val="22"/>
                <w:lang w:val="en-US" w:eastAsia="zh-CN"/>
              </w:rPr>
              <w:pict>
                <v:line id="_x0000_s1026" style="position:absolute;left:0;text-align:left;z-index:251659264;mso-position-horizontal-relative:text;mso-position-vertical-relative:text" from="1pt,27pt" to="190pt,27pt"/>
              </w:pict>
            </w:r>
          </w:p>
          <w:p w:rsidR="007E1428" w:rsidRDefault="007E1428">
            <w:pPr>
              <w:rPr>
                <w:rFonts w:ascii="Arial" w:hAnsi="Arial" w:cs="Arial"/>
                <w:szCs w:val="22"/>
              </w:rPr>
            </w:pPr>
            <w:r>
              <w:rPr>
                <w:rFonts w:ascii="Arial" w:hAnsi="Arial" w:cs="Arial"/>
                <w:szCs w:val="22"/>
              </w:rPr>
              <w:t>International Civil Aviation Organization</w:t>
            </w:r>
          </w:p>
          <w:p w:rsidR="007E1428" w:rsidRDefault="007E1428">
            <w:pPr>
              <w:rPr>
                <w:rFonts w:ascii="Arial" w:hAnsi="Arial" w:cs="Arial"/>
                <w:szCs w:val="22"/>
              </w:rPr>
            </w:pPr>
          </w:p>
          <w:p w:rsidR="007E1428" w:rsidRDefault="007E1428">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90"/>
            </w:tblGrid>
            <w:tr w:rsidR="007E1428">
              <w:trPr>
                <w:jc w:val="right"/>
              </w:trPr>
              <w:tc>
                <w:tcPr>
                  <w:tcW w:w="0" w:type="auto"/>
                </w:tcPr>
                <w:p w:rsidR="007E1428" w:rsidRDefault="007E1428" w:rsidP="00286740">
                  <w:pPr>
                    <w:framePr w:hSpace="180" w:wrap="around" w:vAnchor="text" w:hAnchor="text" w:y="1"/>
                    <w:suppressOverlap/>
                    <w:rPr>
                      <w:szCs w:val="22"/>
                      <w:lang w:val="en-US"/>
                    </w:rPr>
                  </w:pPr>
                  <w:r>
                    <w:rPr>
                      <w:szCs w:val="22"/>
                    </w:rPr>
                    <w:fldChar w:fldCharType="begin"/>
                  </w:r>
                  <w:r>
                    <w:rPr>
                      <w:szCs w:val="22"/>
                      <w:lang w:val="en-US"/>
                    </w:rPr>
                    <w:instrText xml:space="preserve"> DOCPROPERTY "BodyAbbrev"  \* MERGEFORMAT </w:instrText>
                  </w:r>
                  <w:r>
                    <w:rPr>
                      <w:szCs w:val="22"/>
                    </w:rPr>
                    <w:fldChar w:fldCharType="separate"/>
                  </w:r>
                  <w:r>
                    <w:rPr>
                      <w:szCs w:val="22"/>
                      <w:lang w:val="en-US"/>
                    </w:rPr>
                    <w:t>ACP-WGF</w:t>
                  </w:r>
                  <w:r>
                    <w:rPr>
                      <w:szCs w:val="22"/>
                    </w:rPr>
                    <w:fldChar w:fldCharType="end"/>
                  </w:r>
                  <w:r>
                    <w:rPr>
                      <w:szCs w:val="22"/>
                    </w:rPr>
                    <w:t>31</w:t>
                  </w:r>
                  <w:r>
                    <w:rPr>
                      <w:szCs w:val="22"/>
                      <w:lang w:val="en-US"/>
                    </w:rPr>
                    <w:t>/</w:t>
                  </w:r>
                  <w:r>
                    <w:rPr>
                      <w:szCs w:val="22"/>
                      <w:lang w:val="es-ES"/>
                    </w:rPr>
                    <w:t>WP</w:t>
                  </w:r>
                  <w:r>
                    <w:rPr>
                      <w:szCs w:val="22"/>
                      <w:lang w:val="en-US"/>
                    </w:rPr>
                    <w:t>-26</w:t>
                  </w:r>
                </w:p>
                <w:p w:rsidR="007E1428" w:rsidRDefault="007E1428" w:rsidP="00286740">
                  <w:pPr>
                    <w:framePr w:hSpace="180" w:wrap="around" w:vAnchor="text" w:hAnchor="text" w:y="1"/>
                    <w:suppressOverlap/>
                  </w:pPr>
                </w:p>
              </w:tc>
            </w:tr>
            <w:tr w:rsidR="007E1428">
              <w:trPr>
                <w:jc w:val="right"/>
              </w:trPr>
              <w:tc>
                <w:tcPr>
                  <w:tcW w:w="720" w:type="dxa"/>
                </w:tcPr>
                <w:p w:rsidR="007E1428" w:rsidRDefault="007E1428" w:rsidP="00286740">
                  <w:pPr>
                    <w:framePr w:hSpace="180" w:wrap="around" w:vAnchor="text" w:hAnchor="text" w:y="1"/>
                    <w:suppressOverlap/>
                    <w:rPr>
                      <w:szCs w:val="22"/>
                    </w:rPr>
                  </w:pPr>
                  <w:bookmarkStart w:id="2" w:name="language"/>
                  <w:bookmarkEnd w:id="2"/>
                </w:p>
              </w:tc>
            </w:tr>
          </w:tbl>
          <w:p w:rsidR="007E1428" w:rsidRDefault="007E1428">
            <w:pPr>
              <w:tabs>
                <w:tab w:val="left" w:pos="720"/>
                <w:tab w:val="left" w:pos="1440"/>
                <w:tab w:val="left" w:pos="1800"/>
                <w:tab w:val="left" w:pos="2160"/>
                <w:tab w:val="left" w:pos="2520"/>
                <w:tab w:val="left" w:pos="2880"/>
              </w:tabs>
              <w:ind w:left="4320"/>
              <w:rPr>
                <w:b/>
                <w:sz w:val="18"/>
                <w:szCs w:val="18"/>
              </w:rPr>
            </w:pPr>
          </w:p>
        </w:tc>
      </w:tr>
    </w:tbl>
    <w:p w:rsidR="007E1428" w:rsidRDefault="007E1428">
      <w:pPr>
        <w:jc w:val="center"/>
        <w:rPr>
          <w:b/>
          <w:sz w:val="26"/>
          <w:szCs w:val="26"/>
        </w:rPr>
      </w:pPr>
      <w:bookmarkStart w:id="3" w:name="text_above"/>
      <w:bookmarkEnd w:id="3"/>
    </w:p>
    <w:p w:rsidR="007E1428" w:rsidRDefault="007E1428">
      <w:pPr>
        <w:jc w:val="center"/>
      </w:pPr>
      <w:r>
        <w:rPr>
          <w:b/>
          <w:sz w:val="26"/>
          <w:szCs w:val="26"/>
        </w:rPr>
        <w:t>AERONAUTICAL COMMUNICATIONS PANEL (ACP)</w:t>
      </w:r>
    </w:p>
    <w:p w:rsidR="007E1428" w:rsidRDefault="007E1428">
      <w:pPr>
        <w:jc w:val="center"/>
        <w:rPr>
          <w:b/>
          <w:sz w:val="26"/>
          <w:szCs w:val="26"/>
        </w:rPr>
      </w:pPr>
      <w:bookmarkStart w:id="4" w:name="city_from_to"/>
      <w:bookmarkEnd w:id="4"/>
    </w:p>
    <w:p w:rsidR="007E1428" w:rsidRDefault="007E1428">
      <w:pPr>
        <w:jc w:val="center"/>
        <w:rPr>
          <w:b/>
          <w:sz w:val="26"/>
          <w:szCs w:val="26"/>
        </w:rPr>
      </w:pPr>
      <w:r>
        <w:rPr>
          <w:b/>
          <w:sz w:val="26"/>
          <w:szCs w:val="26"/>
        </w:rPr>
        <w:t>31</w:t>
      </w:r>
      <w:r w:rsidRPr="003E191D">
        <w:rPr>
          <w:b/>
          <w:sz w:val="26"/>
          <w:szCs w:val="26"/>
          <w:vertAlign w:val="superscript"/>
        </w:rPr>
        <w:t>st</w:t>
      </w:r>
      <w:r>
        <w:rPr>
          <w:b/>
          <w:sz w:val="26"/>
          <w:szCs w:val="26"/>
        </w:rPr>
        <w:t xml:space="preserve"> MEETING OF WORKING GROUP F</w:t>
      </w:r>
    </w:p>
    <w:p w:rsidR="007E1428" w:rsidRDefault="007E1428">
      <w:pPr>
        <w:jc w:val="center"/>
        <w:rPr>
          <w:b/>
          <w:sz w:val="26"/>
          <w:szCs w:val="26"/>
        </w:rPr>
      </w:pPr>
    </w:p>
    <w:p w:rsidR="007E1428" w:rsidRDefault="007E1428">
      <w:pPr>
        <w:jc w:val="center"/>
        <w:rPr>
          <w:b/>
          <w:sz w:val="26"/>
          <w:szCs w:val="26"/>
        </w:rPr>
      </w:pPr>
      <w:r>
        <w:rPr>
          <w:b/>
          <w:szCs w:val="22"/>
        </w:rPr>
        <w:t>Seattle, Washington October 6-10, 2014</w:t>
      </w:r>
    </w:p>
    <w:p w:rsidR="007E1428" w:rsidRDefault="007E1428">
      <w:pPr>
        <w:jc w:val="center"/>
        <w:rPr>
          <w:b/>
          <w:szCs w:val="22"/>
        </w:rPr>
      </w:pPr>
      <w:bookmarkStart w:id="5" w:name="title_below_city_from_to"/>
      <w:bookmarkEnd w:id="5"/>
    </w:p>
    <w:p w:rsidR="007E1428" w:rsidRDefault="007E1428">
      <w:pPr>
        <w:jc w:val="center"/>
        <w:rPr>
          <w:b/>
          <w:szCs w:val="22"/>
        </w:rPr>
      </w:pPr>
    </w:p>
    <w:tbl>
      <w:tblPr>
        <w:tblW w:w="0" w:type="auto"/>
        <w:tblCellMar>
          <w:left w:w="0" w:type="dxa"/>
          <w:right w:w="50" w:type="dxa"/>
        </w:tblCellMar>
        <w:tblLook w:val="01E0" w:firstRow="1" w:lastRow="1" w:firstColumn="1" w:lastColumn="1" w:noHBand="0" w:noVBand="0"/>
      </w:tblPr>
      <w:tblGrid>
        <w:gridCol w:w="1652"/>
        <w:gridCol w:w="7544"/>
      </w:tblGrid>
      <w:tr w:rsidR="007E1428">
        <w:tc>
          <w:tcPr>
            <w:tcW w:w="1644" w:type="dxa"/>
            <w:noWrap/>
          </w:tcPr>
          <w:p w:rsidR="007E1428" w:rsidRDefault="007E1428" w:rsidP="00A62BE4">
            <w:pPr>
              <w:rPr>
                <w:b/>
                <w:szCs w:val="22"/>
              </w:rPr>
            </w:pPr>
            <w:r>
              <w:rPr>
                <w:b/>
                <w:szCs w:val="22"/>
              </w:rPr>
              <w:t>Agenda Item 3:</w:t>
            </w:r>
          </w:p>
        </w:tc>
        <w:tc>
          <w:tcPr>
            <w:tcW w:w="7544" w:type="dxa"/>
          </w:tcPr>
          <w:p w:rsidR="007E1428" w:rsidRPr="00A62BE4" w:rsidRDefault="007E1428" w:rsidP="00A62BE4">
            <w:pPr>
              <w:rPr>
                <w:szCs w:val="22"/>
              </w:rPr>
            </w:pPr>
            <w:r>
              <w:rPr>
                <w:b/>
                <w:szCs w:val="22"/>
              </w:rPr>
              <w:t>Aviation Safety Margins</w:t>
            </w:r>
          </w:p>
        </w:tc>
      </w:tr>
    </w:tbl>
    <w:p w:rsidR="007E1428" w:rsidRDefault="007E1428">
      <w:pPr>
        <w:jc w:val="center"/>
        <w:rPr>
          <w:b/>
          <w:szCs w:val="22"/>
        </w:rPr>
      </w:pPr>
    </w:p>
    <w:p w:rsidR="007E1428" w:rsidRDefault="007E1428">
      <w:pPr>
        <w:jc w:val="center"/>
        <w:rPr>
          <w:b/>
          <w:szCs w:val="22"/>
        </w:rPr>
      </w:pPr>
    </w:p>
    <w:p w:rsidR="007E1428" w:rsidRPr="00A62BE4" w:rsidRDefault="007E1428" w:rsidP="00A62BE4">
      <w:pPr>
        <w:pStyle w:val="TitleMain"/>
        <w:rPr>
          <w:caps/>
        </w:rPr>
      </w:pPr>
      <w:r>
        <w:rPr>
          <w:caps/>
        </w:rPr>
        <w:t>Protection of aeronautical systems</w:t>
      </w:r>
    </w:p>
    <w:p w:rsidR="007E1428" w:rsidRDefault="007E1428">
      <w:pPr>
        <w:pStyle w:val="TitleMain"/>
      </w:pPr>
    </w:p>
    <w:p w:rsidR="007E1428" w:rsidRDefault="007E1428">
      <w:pPr>
        <w:jc w:val="center"/>
        <w:rPr>
          <w:b/>
          <w:szCs w:val="22"/>
        </w:rPr>
      </w:pPr>
    </w:p>
    <w:p w:rsidR="007E1428" w:rsidRDefault="007E1428">
      <w:pPr>
        <w:jc w:val="center"/>
        <w:rPr>
          <w:szCs w:val="22"/>
        </w:rPr>
      </w:pPr>
      <w:bookmarkStart w:id="6" w:name="presented_by"/>
      <w:r>
        <w:rPr>
          <w:szCs w:val="22"/>
        </w:rPr>
        <w:t xml:space="preserve">(Presented by </w:t>
      </w:r>
      <w:r>
        <w:rPr>
          <w:i/>
          <w:iCs/>
          <w:szCs w:val="22"/>
        </w:rPr>
        <w:t xml:space="preserve">John </w:t>
      </w:r>
      <w:proofErr w:type="spellStart"/>
      <w:r>
        <w:rPr>
          <w:i/>
          <w:iCs/>
          <w:szCs w:val="22"/>
        </w:rPr>
        <w:t>Mettrop</w:t>
      </w:r>
      <w:proofErr w:type="spellEnd"/>
      <w:r>
        <w:rPr>
          <w:szCs w:val="22"/>
        </w:rPr>
        <w:t>)</w:t>
      </w:r>
      <w:bookmarkEnd w:id="6"/>
    </w:p>
    <w:p w:rsidR="007E1428" w:rsidRDefault="007E1428">
      <w:pPr>
        <w:jc w:val="center"/>
        <w:rPr>
          <w:szCs w:val="22"/>
        </w:rPr>
      </w:pPr>
      <w:bookmarkStart w:id="7" w:name="addendum_below_title"/>
      <w:bookmarkEnd w:id="7"/>
    </w:p>
    <w:p w:rsidR="007E1428" w:rsidRDefault="007E1428">
      <w:pPr>
        <w:jc w:val="center"/>
        <w:rPr>
          <w:b/>
          <w:szCs w:val="22"/>
        </w:rPr>
      </w:pPr>
      <w:bookmarkStart w:id="8" w:name="document_no_below_title"/>
      <w:bookmarkEnd w:id="8"/>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7E1428">
        <w:trPr>
          <w:jc w:val="center"/>
        </w:trPr>
        <w:tc>
          <w:tcPr>
            <w:tcW w:w="7200" w:type="dxa"/>
            <w:tcBorders>
              <w:bottom w:val="nil"/>
            </w:tcBorders>
          </w:tcPr>
          <w:p w:rsidR="007E1428" w:rsidRDefault="007E1428">
            <w:pPr>
              <w:jc w:val="center"/>
              <w:rPr>
                <w:b/>
                <w:szCs w:val="22"/>
              </w:rPr>
            </w:pPr>
            <w:bookmarkStart w:id="9" w:name="summary_box"/>
            <w:bookmarkEnd w:id="9"/>
            <w:r>
              <w:rPr>
                <w:b/>
                <w:szCs w:val="22"/>
              </w:rPr>
              <w:t>SUMMARY</w:t>
            </w:r>
          </w:p>
        </w:tc>
      </w:tr>
      <w:tr w:rsidR="007E1428">
        <w:trPr>
          <w:jc w:val="center"/>
        </w:trPr>
        <w:tc>
          <w:tcPr>
            <w:tcW w:w="7200" w:type="dxa"/>
            <w:tcBorders>
              <w:top w:val="nil"/>
            </w:tcBorders>
          </w:tcPr>
          <w:p w:rsidR="007E1428" w:rsidRDefault="007E1428" w:rsidP="00DC3854">
            <w:pPr>
              <w:rPr>
                <w:szCs w:val="22"/>
              </w:rPr>
            </w:pPr>
            <w:r>
              <w:rPr>
                <w:szCs w:val="22"/>
              </w:rPr>
              <w:t>This paper revisits the working paper 10 from the 29</w:t>
            </w:r>
            <w:r w:rsidRPr="003E191D">
              <w:rPr>
                <w:szCs w:val="22"/>
                <w:vertAlign w:val="superscript"/>
              </w:rPr>
              <w:t>th</w:t>
            </w:r>
            <w:r>
              <w:rPr>
                <w:szCs w:val="22"/>
              </w:rPr>
              <w:t xml:space="preserve"> meeting of ACP-WG-F with a view to moving the work on the development of justified protection criteria for aeronautical systems further forward. </w:t>
            </w:r>
          </w:p>
        </w:tc>
      </w:tr>
      <w:tr w:rsidR="007E1428">
        <w:trPr>
          <w:jc w:val="center"/>
        </w:trPr>
        <w:tc>
          <w:tcPr>
            <w:tcW w:w="7200" w:type="dxa"/>
            <w:tcBorders>
              <w:bottom w:val="nil"/>
            </w:tcBorders>
          </w:tcPr>
          <w:p w:rsidR="007E1428" w:rsidRDefault="007E1428">
            <w:pPr>
              <w:jc w:val="center"/>
              <w:rPr>
                <w:b/>
                <w:szCs w:val="22"/>
              </w:rPr>
            </w:pPr>
            <w:r>
              <w:rPr>
                <w:b/>
                <w:szCs w:val="22"/>
              </w:rPr>
              <w:t>ACTION</w:t>
            </w:r>
          </w:p>
        </w:tc>
      </w:tr>
      <w:tr w:rsidR="007E1428">
        <w:trPr>
          <w:jc w:val="center"/>
        </w:trPr>
        <w:tc>
          <w:tcPr>
            <w:tcW w:w="7200" w:type="dxa"/>
            <w:tcBorders>
              <w:top w:val="nil"/>
            </w:tcBorders>
          </w:tcPr>
          <w:p w:rsidR="007E1428" w:rsidRDefault="007E1428" w:rsidP="008F15E7">
            <w:pPr>
              <w:rPr>
                <w:szCs w:val="22"/>
              </w:rPr>
            </w:pPr>
            <w:r>
              <w:rPr>
                <w:szCs w:val="22"/>
              </w:rPr>
              <w:t>The meeting is invited to take the following action:-</w:t>
            </w:r>
          </w:p>
          <w:p w:rsidR="007E1428" w:rsidRDefault="007E1428" w:rsidP="007E1428">
            <w:pPr>
              <w:pStyle w:val="2Para0"/>
              <w:numPr>
                <w:ilvl w:val="0"/>
                <w:numId w:val="16"/>
              </w:numPr>
              <w:tabs>
                <w:tab w:val="clear" w:pos="1440"/>
              </w:tabs>
              <w:spacing w:before="120" w:after="120"/>
              <w:ind w:left="680" w:hanging="340"/>
            </w:pPr>
            <w:r>
              <w:t xml:space="preserve">Note the information used within the document </w:t>
            </w:r>
          </w:p>
          <w:p w:rsidR="007E1428" w:rsidRDefault="007E1428" w:rsidP="007E1428">
            <w:pPr>
              <w:pStyle w:val="2Para0"/>
              <w:numPr>
                <w:ilvl w:val="0"/>
                <w:numId w:val="16"/>
              </w:numPr>
              <w:tabs>
                <w:tab w:val="clear" w:pos="1440"/>
              </w:tabs>
              <w:spacing w:before="60" w:after="60"/>
              <w:ind w:left="680" w:hanging="340"/>
            </w:pPr>
            <w:r>
              <w:t>Agree to work, in conjunction with the other relevant groups within ICAO to identify the performance required from various aeronautical systems approached on the approached outlined in this paper or some other method.</w:t>
            </w:r>
          </w:p>
          <w:p w:rsidR="007E1428" w:rsidRDefault="007E1428" w:rsidP="007E1428">
            <w:pPr>
              <w:pStyle w:val="2Para0"/>
              <w:numPr>
                <w:ilvl w:val="0"/>
                <w:numId w:val="16"/>
              </w:numPr>
              <w:tabs>
                <w:tab w:val="clear" w:pos="1440"/>
              </w:tabs>
              <w:spacing w:before="60" w:after="60"/>
              <w:ind w:left="680" w:hanging="340"/>
            </w:pPr>
            <w:r>
              <w:t xml:space="preserve">Continue to using worst case analysis and the addition of a safety margin in studies within the International Telecommunication Union until work on the previous bullet point has been completed. </w:t>
            </w:r>
          </w:p>
          <w:p w:rsidR="007E1428" w:rsidRDefault="007E1428" w:rsidP="008F15E7">
            <w:pPr>
              <w:rPr>
                <w:szCs w:val="22"/>
              </w:rPr>
            </w:pPr>
          </w:p>
          <w:p w:rsidR="007E1428" w:rsidRDefault="007E1428" w:rsidP="008F15E7">
            <w:pPr>
              <w:rPr>
                <w:szCs w:val="22"/>
              </w:rPr>
            </w:pPr>
          </w:p>
        </w:tc>
      </w:tr>
    </w:tbl>
    <w:p w:rsidR="007E1428" w:rsidRDefault="007E1428">
      <w:pPr>
        <w:jc w:val="center"/>
        <w:rPr>
          <w:bCs/>
          <w:szCs w:val="22"/>
        </w:rPr>
      </w:pPr>
    </w:p>
    <w:p w:rsidR="007E1428" w:rsidRDefault="007E1428" w:rsidP="007E1428">
      <w:pPr>
        <w:pStyle w:val="1Heading"/>
        <w:numPr>
          <w:ilvl w:val="0"/>
          <w:numId w:val="15"/>
        </w:numPr>
        <w:spacing w:before="520" w:after="260"/>
      </w:pPr>
      <w:bookmarkStart w:id="10" w:name="beginning"/>
      <w:bookmarkEnd w:id="10"/>
      <w:r>
        <w:lastRenderedPageBreak/>
        <w:t>INTRODUCTION</w:t>
      </w:r>
    </w:p>
    <w:p w:rsidR="007E1428" w:rsidRDefault="007E1428" w:rsidP="007E1428">
      <w:pPr>
        <w:pStyle w:val="2Para0"/>
        <w:numPr>
          <w:ilvl w:val="1"/>
          <w:numId w:val="15"/>
        </w:numPr>
        <w:tabs>
          <w:tab w:val="clear" w:pos="0"/>
        </w:tabs>
      </w:pPr>
      <w:r>
        <w:t>The provision of air traffic management and the required supporting radiocommunication system infrastructure are generally recognised as a safety of life system. In recognition of this the aeronautical mobile (R), aeronautical mobile satellite (R), aeronautical radionavigation and aeronautical radionavigation satellite services are regarded within the International Telecommunication Union as safety of life services. As a result there are a number of special provisions within the Radio Regulations in order to facilitate the protection of systems operating under allocations to those services</w:t>
      </w:r>
    </w:p>
    <w:p w:rsidR="007E1428" w:rsidRDefault="007E1428" w:rsidP="007E1428">
      <w:pPr>
        <w:pStyle w:val="2Para0"/>
        <w:numPr>
          <w:ilvl w:val="1"/>
          <w:numId w:val="15"/>
        </w:numPr>
        <w:tabs>
          <w:tab w:val="clear" w:pos="0"/>
        </w:tabs>
      </w:pPr>
      <w:r>
        <w:t>In carrying out sharing studies aviation traditionally has used a worst case analysis and added a 6dB margin to cover factors that may be present in reality but could not be covered in a theoretical study.  However the realism of scenarios being considered, especially the percentage of time, and the use of a safety margin are increasingly being questioned by those who would for various reasons prefer to see a less stringent sharing condition.</w:t>
      </w:r>
    </w:p>
    <w:p w:rsidR="007E1428" w:rsidRPr="007E1428" w:rsidRDefault="007E1428" w:rsidP="007E1428">
      <w:pPr>
        <w:pStyle w:val="1Heading"/>
        <w:numPr>
          <w:ilvl w:val="0"/>
          <w:numId w:val="15"/>
        </w:numPr>
        <w:spacing w:before="520" w:after="260"/>
        <w:rPr>
          <w:rFonts w:ascii="Times New Roman Bold" w:hAnsi="Times New Roman Bold"/>
          <w:bCs/>
          <w:caps/>
        </w:rPr>
      </w:pPr>
      <w:bookmarkStart w:id="11" w:name="_Ref102271517"/>
      <w:r w:rsidRPr="007E1428">
        <w:rPr>
          <w:rFonts w:ascii="Times New Roman Bold" w:hAnsi="Times New Roman Bold"/>
          <w:bCs/>
          <w:caps/>
        </w:rPr>
        <w:t>discussion</w:t>
      </w:r>
    </w:p>
    <w:p w:rsidR="007E1428" w:rsidRDefault="007E1428" w:rsidP="007E1428">
      <w:pPr>
        <w:pStyle w:val="2Para0"/>
        <w:numPr>
          <w:ilvl w:val="1"/>
          <w:numId w:val="15"/>
        </w:numPr>
        <w:tabs>
          <w:tab w:val="clear" w:pos="0"/>
        </w:tabs>
      </w:pPr>
      <w:r>
        <w:t xml:space="preserve">If aviation as an industry is to remain credible within the radio regulatory environment, especially in the perceived spectral congestion believed to exist, it has to be able to justify not only its needs in terms of spectrum but also the levels of protection it requires in a traceable manner.  </w:t>
      </w:r>
    </w:p>
    <w:p w:rsidR="007E1428" w:rsidRDefault="007E1428" w:rsidP="007E1428">
      <w:pPr>
        <w:pStyle w:val="2Para0"/>
        <w:numPr>
          <w:ilvl w:val="1"/>
          <w:numId w:val="15"/>
        </w:numPr>
        <w:tabs>
          <w:tab w:val="clear" w:pos="0"/>
        </w:tabs>
      </w:pPr>
      <w:r>
        <w:t>If aviation is to be able to able to provide a credible argument for how compatibility should be analysed it must be able to justify not only the scenario proposed but also the various factors included in that scenario such as time percentage and any margins that should be included. The final part of the argument required is the impact of a factor being exceeded.</w:t>
      </w:r>
    </w:p>
    <w:p w:rsidR="007E1428" w:rsidRDefault="007E1428" w:rsidP="007E1428">
      <w:pPr>
        <w:pStyle w:val="2Para0"/>
        <w:numPr>
          <w:ilvl w:val="1"/>
          <w:numId w:val="15"/>
        </w:numPr>
        <w:tabs>
          <w:tab w:val="clear" w:pos="0"/>
        </w:tabs>
      </w:pPr>
      <w:r>
        <w:t>Drawing on some work done in another part of the CAA it might be reasonable to assume that what we are looking at is that for every aircraft there will be a bubble of uncertainty around the location of that aircraft. The size of that bubble being determined by the navigational accuracy of the ground/airborne systems including the update rates of those systems and the ability of the aircraft and/or ground system to detect a deviation from the location 3 dimensional location.</w:t>
      </w:r>
    </w:p>
    <w:p w:rsidR="007E1428" w:rsidRDefault="00286740" w:rsidP="00EE4866">
      <w:pPr>
        <w:pStyle w:val="2Para0"/>
        <w:jc w:val="center"/>
      </w:pPr>
      <w:r>
        <w:pict>
          <v:shape id="_x0000_i1026" type="#_x0000_t75" style="width:322.8pt;height:142.8pt">
            <v:imagedata r:id="rId14" o:title="Picture2"/>
          </v:shape>
        </w:pict>
      </w:r>
    </w:p>
    <w:p w:rsidR="007E1428" w:rsidRDefault="007E1428" w:rsidP="007E1428">
      <w:pPr>
        <w:pStyle w:val="2Para0"/>
        <w:numPr>
          <w:ilvl w:val="1"/>
          <w:numId w:val="15"/>
        </w:numPr>
        <w:tabs>
          <w:tab w:val="clear" w:pos="0"/>
        </w:tabs>
      </w:pPr>
      <w:r>
        <w:t xml:space="preserve">The aim of the air traffic management system is then to ensure that the bubbles of location uncertainty for 2 aircraft do not overlap more than a certain percentage of time which is ideally zero.  In order to achieve this the separation standards are designed to place a sterile zone around an aircraft and its bubble of location uncertainty such that the probability of 2 aircraft bubbles overlapping is kept to an acceptable level </w:t>
      </w:r>
      <w:r>
        <w:lastRenderedPageBreak/>
        <w:t xml:space="preserve">determined by a hazard analysis carried in accordance with ICAO Document 9859.  An extract of the UK CAA publication CAP 670 is contained in the annex to this document giving an example of a Risk/Severity/Probability Matrix and definitions. The size of the sterile zone will depend on a number of factors such as:-  </w:t>
      </w:r>
    </w:p>
    <w:p w:rsidR="007E1428" w:rsidRDefault="007E1428" w:rsidP="007E1428">
      <w:pPr>
        <w:pStyle w:val="2Para0"/>
        <w:numPr>
          <w:ilvl w:val="0"/>
          <w:numId w:val="17"/>
        </w:numPr>
        <w:spacing w:before="120" w:after="120"/>
      </w:pPr>
      <w:r>
        <w:t>Accuracy of surveillance systems</w:t>
      </w:r>
    </w:p>
    <w:p w:rsidR="007E1428" w:rsidRDefault="007E1428" w:rsidP="007E1428">
      <w:pPr>
        <w:pStyle w:val="2Para0"/>
        <w:numPr>
          <w:ilvl w:val="0"/>
          <w:numId w:val="17"/>
        </w:numPr>
        <w:spacing w:before="60" w:after="60"/>
        <w:ind w:left="714" w:hanging="357"/>
      </w:pPr>
      <w:r>
        <w:t>Reaction time of controller/pilot</w:t>
      </w:r>
    </w:p>
    <w:p w:rsidR="007E1428" w:rsidRDefault="007E1428" w:rsidP="007E1428">
      <w:pPr>
        <w:pStyle w:val="2Para0"/>
        <w:numPr>
          <w:ilvl w:val="0"/>
          <w:numId w:val="17"/>
        </w:numPr>
        <w:spacing w:before="60" w:after="60"/>
        <w:ind w:left="714" w:hanging="357"/>
      </w:pPr>
      <w:r>
        <w:t>Communication delay</w:t>
      </w:r>
    </w:p>
    <w:p w:rsidR="007E1428" w:rsidRDefault="007E1428" w:rsidP="007E1428">
      <w:pPr>
        <w:pStyle w:val="2Para0"/>
        <w:numPr>
          <w:ilvl w:val="0"/>
          <w:numId w:val="17"/>
        </w:numPr>
        <w:spacing w:before="60" w:after="60"/>
        <w:ind w:left="714" w:hanging="357"/>
      </w:pPr>
      <w:r>
        <w:t>Performance constraints of the aircraft</w:t>
      </w:r>
    </w:p>
    <w:p w:rsidR="007E1428" w:rsidRDefault="007E1428" w:rsidP="007E1428">
      <w:pPr>
        <w:pStyle w:val="2Para0"/>
        <w:numPr>
          <w:ilvl w:val="0"/>
          <w:numId w:val="17"/>
        </w:numPr>
        <w:spacing w:before="60" w:after="60"/>
        <w:ind w:left="714" w:hanging="357"/>
      </w:pPr>
      <w:proofErr w:type="spellStart"/>
      <w:r>
        <w:t>etc</w:t>
      </w:r>
      <w:proofErr w:type="spellEnd"/>
    </w:p>
    <w:p w:rsidR="007E1428" w:rsidRDefault="007E1428" w:rsidP="007E1428">
      <w:pPr>
        <w:pStyle w:val="2Para0"/>
        <w:numPr>
          <w:ilvl w:val="1"/>
          <w:numId w:val="15"/>
        </w:numPr>
        <w:tabs>
          <w:tab w:val="clear" w:pos="0"/>
        </w:tabs>
      </w:pPr>
      <w:r>
        <w:t xml:space="preserve">Whilst the identification of a sterile zone would not be an easy process and involve a number of factors which if included in the diagram below would make it hard to understand, the simplified example below I hope helps understand this concept. </w:t>
      </w:r>
    </w:p>
    <w:p w:rsidR="007E1428" w:rsidRDefault="00286740" w:rsidP="00EE4866">
      <w:pPr>
        <w:pStyle w:val="2Para0"/>
      </w:pPr>
      <w:r>
        <w:pict>
          <v:shape id="_x0000_i1027" type="#_x0000_t75" style="width:498pt;height:361.2pt">
            <v:imagedata r:id="rId15" o:title="Picture3"/>
          </v:shape>
        </w:pict>
      </w:r>
    </w:p>
    <w:p w:rsidR="007E1428" w:rsidRDefault="007E1428" w:rsidP="007E1428">
      <w:pPr>
        <w:pStyle w:val="2Para0"/>
        <w:numPr>
          <w:ilvl w:val="1"/>
          <w:numId w:val="15"/>
        </w:numPr>
        <w:tabs>
          <w:tab w:val="clear" w:pos="0"/>
        </w:tabs>
      </w:pPr>
      <w:r>
        <w:t>The exact determination of the sterile zone will depend on the identifications of the various hazards, their causes and potential mitigations as well as the impact of such a hazard if uncorrected as illustrated by the following diagram.</w:t>
      </w:r>
    </w:p>
    <w:p w:rsidR="007E1428" w:rsidRDefault="00286740" w:rsidP="00E01471">
      <w:pPr>
        <w:pStyle w:val="2Para0"/>
      </w:pPr>
      <w:r>
        <w:lastRenderedPageBreak/>
        <w:pict>
          <v:shape id="_x0000_i1028" type="#_x0000_t75" style="width:498.6pt;height:346.8pt">
            <v:imagedata r:id="rId16" o:title="Picture4"/>
          </v:shape>
        </w:pict>
      </w:r>
    </w:p>
    <w:p w:rsidR="007E1428" w:rsidRDefault="007E1428" w:rsidP="007E1428">
      <w:pPr>
        <w:pStyle w:val="2Para0"/>
        <w:numPr>
          <w:ilvl w:val="1"/>
          <w:numId w:val="15"/>
        </w:numPr>
        <w:tabs>
          <w:tab w:val="clear" w:pos="0"/>
        </w:tabs>
      </w:pPr>
      <w:r>
        <w:t>In spectrum management terms what we as spectrum engineers need to understand are the critical scenarios, the acceptable level of risk associated with those scenarios and the amount of that acceptable risk can be associated with the availability of the radio link alone.</w:t>
      </w:r>
    </w:p>
    <w:p w:rsidR="007E1428" w:rsidRPr="007E1428" w:rsidRDefault="007E1428" w:rsidP="007E1428">
      <w:pPr>
        <w:pStyle w:val="1Heading"/>
        <w:numPr>
          <w:ilvl w:val="0"/>
          <w:numId w:val="15"/>
        </w:numPr>
        <w:spacing w:before="520" w:after="260"/>
        <w:rPr>
          <w:rFonts w:ascii="Times New Roman Bold" w:hAnsi="Times New Roman Bold"/>
          <w:caps/>
        </w:rPr>
      </w:pPr>
      <w:r w:rsidRPr="007E1428">
        <w:rPr>
          <w:rFonts w:ascii="Times New Roman Bold" w:hAnsi="Times New Roman Bold"/>
          <w:caps/>
        </w:rPr>
        <w:t>Conclusion</w:t>
      </w:r>
    </w:p>
    <w:p w:rsidR="007E1428" w:rsidRDefault="007E1428" w:rsidP="007E1428">
      <w:pPr>
        <w:pStyle w:val="2Para0"/>
        <w:numPr>
          <w:ilvl w:val="1"/>
          <w:numId w:val="15"/>
        </w:numPr>
        <w:tabs>
          <w:tab w:val="clear" w:pos="0"/>
        </w:tabs>
      </w:pPr>
      <w:r>
        <w:t>Aviation needs to improve the way in which it justifies its arguments. However until we can follow an approach such as the one described above we have no alternative but to continue using the approach current used based on worst case scenarios and use of a safety margin.</w:t>
      </w:r>
    </w:p>
    <w:p w:rsidR="007E1428" w:rsidRPr="00BB09A3" w:rsidRDefault="007E1428" w:rsidP="007E1428">
      <w:pPr>
        <w:pStyle w:val="2Para0"/>
        <w:numPr>
          <w:ilvl w:val="1"/>
          <w:numId w:val="15"/>
        </w:numPr>
        <w:tabs>
          <w:tab w:val="clear" w:pos="0"/>
        </w:tabs>
      </w:pPr>
      <w:r>
        <w:t>It is therefore suggested that WG-F work in conjunction with other relevant groups to try and define a model that would allow the identification of the size of the sterile zone, and allowable apportionment of the various factors that go into the determination of the sterile zone that can be attributed to the performance of the radio link.</w:t>
      </w:r>
    </w:p>
    <w:p w:rsidR="007E1428" w:rsidRDefault="007E1428" w:rsidP="007E1428">
      <w:pPr>
        <w:pStyle w:val="1Heading"/>
        <w:numPr>
          <w:ilvl w:val="0"/>
          <w:numId w:val="15"/>
        </w:numPr>
        <w:spacing w:before="520" w:after="260"/>
        <w:rPr>
          <w:b w:val="0"/>
        </w:rPr>
      </w:pPr>
      <w:r>
        <w:t>ACTION BY THE MEETING</w:t>
      </w:r>
    </w:p>
    <w:p w:rsidR="007E1428" w:rsidRDefault="007E1428" w:rsidP="007E1428">
      <w:pPr>
        <w:pStyle w:val="2Para0"/>
        <w:numPr>
          <w:ilvl w:val="1"/>
          <w:numId w:val="15"/>
        </w:numPr>
        <w:tabs>
          <w:tab w:val="clear" w:pos="0"/>
        </w:tabs>
      </w:pPr>
      <w:r>
        <w:t>The ACP WGW is invited to:</w:t>
      </w:r>
    </w:p>
    <w:p w:rsidR="007E1428" w:rsidRDefault="007E1428" w:rsidP="007E1428">
      <w:pPr>
        <w:pStyle w:val="2Para0"/>
        <w:numPr>
          <w:ilvl w:val="0"/>
          <w:numId w:val="16"/>
        </w:numPr>
        <w:spacing w:before="120" w:after="120"/>
        <w:ind w:left="714" w:hanging="357"/>
      </w:pPr>
      <w:r>
        <w:lastRenderedPageBreak/>
        <w:t xml:space="preserve">Note the information used within the document </w:t>
      </w:r>
    </w:p>
    <w:p w:rsidR="007E1428" w:rsidRDefault="007E1428" w:rsidP="007E1428">
      <w:pPr>
        <w:pStyle w:val="2Para0"/>
        <w:numPr>
          <w:ilvl w:val="0"/>
          <w:numId w:val="16"/>
        </w:numPr>
        <w:spacing w:before="120" w:after="120"/>
        <w:ind w:left="714" w:hanging="357"/>
      </w:pPr>
      <w:r>
        <w:t>Agree to work, in conjunction with the other relevant groups within ICAO to identify the performance required from various aeronautical systems approached on the approached outlined in this paper or some other method.</w:t>
      </w:r>
    </w:p>
    <w:p w:rsidR="007E1428" w:rsidRDefault="007E1428" w:rsidP="007E1428">
      <w:pPr>
        <w:pStyle w:val="2Para0"/>
        <w:numPr>
          <w:ilvl w:val="0"/>
          <w:numId w:val="16"/>
        </w:numPr>
        <w:spacing w:before="120" w:after="120"/>
        <w:ind w:left="714" w:hanging="357"/>
      </w:pPr>
      <w:r>
        <w:t xml:space="preserve">Continue to using worst case analysis and the addition of a safety margin in studies within the International Telecommunication Union until work on the previous bullet point has been completed. </w:t>
      </w:r>
      <w:bookmarkEnd w:id="11"/>
    </w:p>
    <w:p w:rsidR="007E1428" w:rsidRPr="007E1428" w:rsidRDefault="007E1428" w:rsidP="00B045DA">
      <w:pPr>
        <w:pStyle w:val="2Para0"/>
        <w:spacing w:before="120" w:after="120"/>
        <w:ind w:left="714"/>
        <w:jc w:val="center"/>
        <w:rPr>
          <w:b/>
        </w:rPr>
      </w:pPr>
      <w:r>
        <w:br w:type="page"/>
      </w:r>
      <w:r w:rsidRPr="007E1428">
        <w:rPr>
          <w:b/>
        </w:rPr>
        <w:lastRenderedPageBreak/>
        <w:t>ANNEX</w:t>
      </w:r>
      <w:r w:rsidRPr="007E1428">
        <w:rPr>
          <w:b/>
        </w:rPr>
        <w:br/>
      </w:r>
      <w:r w:rsidRPr="007E1428">
        <w:rPr>
          <w:b/>
          <w:caps/>
        </w:rPr>
        <w:t>Example Risk/Severity/Probability Matrix</w:t>
      </w:r>
      <w:r w:rsidRPr="007E1428">
        <w:rPr>
          <w:b/>
          <w:caps/>
        </w:rPr>
        <w:br/>
        <w:t>and Definitions</w:t>
      </w:r>
    </w:p>
    <w:p w:rsidR="007E1428" w:rsidRDefault="007E1428" w:rsidP="00B045DA"/>
    <w:p w:rsidR="007E1428" w:rsidRDefault="007E1428" w:rsidP="00B045DA">
      <w:pPr>
        <w:pStyle w:val="2Para0"/>
      </w:pPr>
      <w:r>
        <w:t>The requirements of a safety case are globally defined in ICAO Document 9859 “</w:t>
      </w:r>
      <w:r w:rsidRPr="00111597">
        <w:rPr>
          <w:i/>
        </w:rPr>
        <w:t>Safety Management Manual</w:t>
      </w:r>
      <w:r>
        <w:t>” as implemented through regional/national legislation requiring the production of a safety case.  In Europe this has been done through the 4</w:t>
      </w:r>
      <w:r w:rsidRPr="007C75BB">
        <w:rPr>
          <w:vertAlign w:val="superscript"/>
        </w:rPr>
        <w:t>th</w:t>
      </w:r>
      <w:r>
        <w:t xml:space="preserve"> part of </w:t>
      </w:r>
      <w:proofErr w:type="spellStart"/>
      <w:r>
        <w:t>Eurocontrol</w:t>
      </w:r>
      <w:proofErr w:type="spellEnd"/>
      <w:r>
        <w:t xml:space="preserve"> Safety Regulatory Requirement (ESARR4) brought into legislation by the European Commission Implementing Rule (EU) No 1035/2011. The information below however is taken from CAP 670 but is based on the ICAO and EASA requirements</w:t>
      </w:r>
    </w:p>
    <w:p w:rsidR="007E1428" w:rsidRDefault="007E1428" w:rsidP="00B045DA">
      <w:pPr>
        <w:pStyle w:val="2Para0"/>
      </w:pP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88"/>
      </w:tblGrid>
      <w:tr w:rsidR="007E1428" w:rsidTr="00FE0A54">
        <w:tc>
          <w:tcPr>
            <w:tcW w:w="2405" w:type="dxa"/>
            <w:shd w:val="clear" w:color="auto" w:fill="auto"/>
          </w:tcPr>
          <w:p w:rsidR="007E1428" w:rsidRPr="00FE0A54" w:rsidRDefault="007E1428" w:rsidP="00FE0A54">
            <w:pPr>
              <w:pStyle w:val="2Para0"/>
              <w:spacing w:before="0" w:after="0"/>
              <w:rPr>
                <w:b/>
              </w:rPr>
            </w:pPr>
            <w:r w:rsidRPr="00FE0A54">
              <w:rPr>
                <w:b/>
              </w:rPr>
              <w:t>Accident</w:t>
            </w:r>
          </w:p>
        </w:tc>
        <w:tc>
          <w:tcPr>
            <w:tcW w:w="7768" w:type="dxa"/>
            <w:shd w:val="clear" w:color="auto" w:fill="auto"/>
          </w:tcPr>
          <w:p w:rsidR="007E1428" w:rsidRPr="00616E0D" w:rsidRDefault="007E1428" w:rsidP="00FE0A54">
            <w:r w:rsidRPr="00616E0D">
              <w:t xml:space="preserve">an occurrence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it comes to rest at the end of the flight and the primary propulsion system is shut down, in which: </w:t>
            </w:r>
          </w:p>
          <w:p w:rsidR="007E1428" w:rsidRPr="00616E0D" w:rsidRDefault="007E1428" w:rsidP="00FE0A54">
            <w:pPr>
              <w:pStyle w:val="enumlev1"/>
              <w:tabs>
                <w:tab w:val="clear" w:pos="1134"/>
                <w:tab w:val="left" w:pos="459"/>
              </w:tabs>
            </w:pPr>
            <w:r>
              <w:t>●</w:t>
            </w:r>
            <w:r>
              <w:tab/>
            </w:r>
            <w:r w:rsidRPr="00616E0D">
              <w:t xml:space="preserve">a person is fatally or seriously injured as a result of: </w:t>
            </w:r>
          </w:p>
          <w:p w:rsidR="007E1428" w:rsidRPr="00616E0D" w:rsidRDefault="007E1428" w:rsidP="00FE0A54">
            <w:pPr>
              <w:pStyle w:val="enumlev2"/>
              <w:tabs>
                <w:tab w:val="clear" w:pos="1134"/>
                <w:tab w:val="clear" w:pos="1871"/>
                <w:tab w:val="left" w:pos="1026"/>
              </w:tabs>
              <w:ind w:left="1026" w:hanging="1412"/>
            </w:pPr>
            <w:r>
              <w:t>–</w:t>
            </w:r>
            <w:r>
              <w:tab/>
            </w:r>
            <w:r w:rsidRPr="00616E0D">
              <w:t xml:space="preserve">being in the aircraft, or, </w:t>
            </w:r>
          </w:p>
          <w:p w:rsidR="007E1428" w:rsidRPr="00616E0D" w:rsidRDefault="007E1428" w:rsidP="00FE0A54">
            <w:pPr>
              <w:pStyle w:val="enumlev2"/>
              <w:tabs>
                <w:tab w:val="clear" w:pos="1134"/>
                <w:tab w:val="clear" w:pos="1871"/>
                <w:tab w:val="left" w:pos="1026"/>
              </w:tabs>
              <w:ind w:left="1026" w:hanging="1412"/>
            </w:pPr>
            <w:r>
              <w:t>–</w:t>
            </w:r>
            <w:r>
              <w:tab/>
            </w:r>
            <w:r w:rsidRPr="00616E0D">
              <w:t xml:space="preserve">direct contact with any part of the aircraft, including parts which have become detached from the aircraft, or, </w:t>
            </w:r>
          </w:p>
          <w:p w:rsidR="007E1428" w:rsidRPr="00616E0D" w:rsidRDefault="007E1428" w:rsidP="00FE0A54">
            <w:pPr>
              <w:pStyle w:val="enumlev2"/>
              <w:tabs>
                <w:tab w:val="clear" w:pos="1134"/>
                <w:tab w:val="clear" w:pos="1871"/>
                <w:tab w:val="left" w:pos="1026"/>
              </w:tabs>
              <w:ind w:left="1026" w:hanging="1412"/>
            </w:pPr>
            <w:r>
              <w:t>–</w:t>
            </w:r>
            <w:r>
              <w:tab/>
            </w:r>
            <w:r w:rsidRPr="00616E0D">
              <w:t xml:space="preserve">direct exposure to jet blast, except when the injuries are from natural causes, self- inflicted or inflicted by other persons, or when the injuries are to stowaways hiding outside the areas normally available to the passengers and crew; or </w:t>
            </w:r>
          </w:p>
          <w:p w:rsidR="007E1428" w:rsidRPr="00616E0D" w:rsidRDefault="007E1428" w:rsidP="00FE0A54">
            <w:pPr>
              <w:pStyle w:val="enumlev1"/>
              <w:tabs>
                <w:tab w:val="clear" w:pos="1134"/>
                <w:tab w:val="left" w:pos="459"/>
              </w:tabs>
              <w:ind w:left="459" w:hanging="459"/>
            </w:pPr>
            <w:r>
              <w:t>●</w:t>
            </w:r>
            <w:r>
              <w:tab/>
            </w:r>
            <w:r w:rsidRPr="00616E0D">
              <w:t xml:space="preserve">the aircraft sustains damage or structural failure which adversely affects the structural strength, performance or flight characteristics of the aircraft, and would normally require major repair or replacement of the affected component, except for engine failure or damage, when the damage is limited to a single engine, (including its cowlings or accessories), to propellers, wing tips, antennas, probes, vanes, tires, brakes, wheels, fairings, panels, landing gear doors, windscreens, the aircraft skin (such as small dents or puncture holes) or minor damages to main rotor blades, tail rotor blades, landing gear, and those resulting from hail or bird strike, (including holes in the </w:t>
            </w:r>
            <w:proofErr w:type="spellStart"/>
            <w:r w:rsidRPr="00616E0D">
              <w:t>radome</w:t>
            </w:r>
            <w:proofErr w:type="spellEnd"/>
            <w:r w:rsidRPr="00616E0D">
              <w:t xml:space="preserve">); or </w:t>
            </w:r>
          </w:p>
          <w:p w:rsidR="007E1428" w:rsidRDefault="007E1428" w:rsidP="00FE0A54">
            <w:pPr>
              <w:pStyle w:val="enumlev1"/>
              <w:tabs>
                <w:tab w:val="clear" w:pos="1134"/>
                <w:tab w:val="left" w:pos="459"/>
              </w:tabs>
            </w:pPr>
            <w:r>
              <w:t>●</w:t>
            </w:r>
            <w:r>
              <w:tab/>
            </w:r>
            <w:r w:rsidRPr="00616E0D">
              <w:t xml:space="preserve">the aircraft is missing or is completely inaccessible; </w:t>
            </w:r>
          </w:p>
          <w:p w:rsidR="007E1428" w:rsidRDefault="007E1428" w:rsidP="00FE0A54">
            <w:pPr>
              <w:pStyle w:val="2Para0"/>
              <w:spacing w:before="0" w:after="0"/>
            </w:pPr>
          </w:p>
        </w:tc>
      </w:tr>
      <w:tr w:rsidR="007E1428" w:rsidTr="00FE0A54">
        <w:tc>
          <w:tcPr>
            <w:tcW w:w="2405" w:type="dxa"/>
            <w:shd w:val="clear" w:color="auto" w:fill="auto"/>
          </w:tcPr>
          <w:p w:rsidR="007E1428" w:rsidRPr="00FE0A54" w:rsidRDefault="007E1428" w:rsidP="00FE0A54">
            <w:pPr>
              <w:pStyle w:val="2Para0"/>
              <w:spacing w:before="0" w:after="0"/>
              <w:rPr>
                <w:b/>
              </w:rPr>
            </w:pPr>
            <w:r w:rsidRPr="00FE0A54">
              <w:rPr>
                <w:b/>
              </w:rPr>
              <w:t>Serious Incident</w:t>
            </w:r>
          </w:p>
        </w:tc>
        <w:tc>
          <w:tcPr>
            <w:tcW w:w="7768" w:type="dxa"/>
            <w:shd w:val="clear" w:color="auto" w:fill="auto"/>
          </w:tcPr>
          <w:p w:rsidR="007E1428" w:rsidRDefault="007E1428" w:rsidP="00FE0A54">
            <w:pPr>
              <w:pStyle w:val="2Para0"/>
              <w:spacing w:before="0" w:after="0"/>
            </w:pPr>
            <w:r w:rsidRPr="004D05B0">
              <w:t xml:space="preserve">an incident involving circumstances indicating that there was a high probability of an accident and is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it comes to rest at the end of the </w:t>
            </w:r>
            <w:r w:rsidRPr="004D05B0">
              <w:lastRenderedPageBreak/>
              <w:t>flight and the primary propulsion system is shut down</w:t>
            </w:r>
            <w:r>
              <w:t>.</w:t>
            </w:r>
          </w:p>
        </w:tc>
      </w:tr>
      <w:tr w:rsidR="007E1428" w:rsidTr="00FE0A54">
        <w:tc>
          <w:tcPr>
            <w:tcW w:w="2405" w:type="dxa"/>
            <w:shd w:val="clear" w:color="auto" w:fill="auto"/>
          </w:tcPr>
          <w:p w:rsidR="007E1428" w:rsidRPr="00FE0A54" w:rsidRDefault="007E1428" w:rsidP="00FE0A54">
            <w:pPr>
              <w:pStyle w:val="2Para0"/>
              <w:spacing w:before="0" w:after="0"/>
              <w:rPr>
                <w:b/>
              </w:rPr>
            </w:pPr>
            <w:r w:rsidRPr="00FE0A54">
              <w:rPr>
                <w:b/>
              </w:rPr>
              <w:lastRenderedPageBreak/>
              <w:t>Major Incident</w:t>
            </w:r>
          </w:p>
        </w:tc>
        <w:tc>
          <w:tcPr>
            <w:tcW w:w="7768" w:type="dxa"/>
            <w:shd w:val="clear" w:color="auto" w:fill="auto"/>
          </w:tcPr>
          <w:p w:rsidR="007E1428" w:rsidRDefault="007E1428" w:rsidP="00FE0A54">
            <w:pPr>
              <w:pStyle w:val="2Para0"/>
              <w:spacing w:before="0" w:after="0"/>
            </w:pPr>
            <w:r w:rsidRPr="00FE0A54">
              <w:rPr>
                <w:szCs w:val="24"/>
              </w:rPr>
              <w:t>An incident associated with the operation of an aircraft, in which the safety of the aircraft may have been compromised, having led to a near collision between aircrafts, with ground or obstacles.</w:t>
            </w:r>
          </w:p>
        </w:tc>
      </w:tr>
      <w:tr w:rsidR="007E1428" w:rsidTr="00FE0A54">
        <w:tc>
          <w:tcPr>
            <w:tcW w:w="2405" w:type="dxa"/>
            <w:shd w:val="clear" w:color="auto" w:fill="auto"/>
          </w:tcPr>
          <w:p w:rsidR="007E1428" w:rsidRPr="00FE0A54" w:rsidRDefault="007E1428" w:rsidP="00FE0A54">
            <w:pPr>
              <w:pStyle w:val="2Para0"/>
              <w:spacing w:before="0" w:after="0"/>
              <w:rPr>
                <w:b/>
              </w:rPr>
            </w:pPr>
            <w:r w:rsidRPr="00FE0A54">
              <w:rPr>
                <w:b/>
              </w:rPr>
              <w:t>Significant Incident</w:t>
            </w:r>
          </w:p>
        </w:tc>
        <w:tc>
          <w:tcPr>
            <w:tcW w:w="7768" w:type="dxa"/>
            <w:shd w:val="clear" w:color="auto" w:fill="auto"/>
          </w:tcPr>
          <w:p w:rsidR="007E1428" w:rsidRDefault="007E1428" w:rsidP="00FE0A54">
            <w:pPr>
              <w:pStyle w:val="2Para0"/>
              <w:spacing w:before="0" w:after="0"/>
            </w:pPr>
            <w:r w:rsidRPr="00FE0A54">
              <w:rPr>
                <w:szCs w:val="24"/>
              </w:rPr>
              <w:t>An incident involving circumstances indicating that an accident, a serious or major incident could have occurred, if the risk had not been managed within safety margins, or if another aircraft had been in the vicinity</w:t>
            </w:r>
          </w:p>
        </w:tc>
      </w:tr>
      <w:tr w:rsidR="007E1428" w:rsidTr="00FE0A54">
        <w:tc>
          <w:tcPr>
            <w:tcW w:w="2405" w:type="dxa"/>
            <w:shd w:val="clear" w:color="auto" w:fill="auto"/>
          </w:tcPr>
          <w:p w:rsidR="007E1428" w:rsidRPr="00FE0A54" w:rsidRDefault="007E1428" w:rsidP="00FE0A54">
            <w:pPr>
              <w:pStyle w:val="2Para0"/>
              <w:spacing w:before="0" w:after="0"/>
              <w:rPr>
                <w:b/>
              </w:rPr>
            </w:pPr>
            <w:r w:rsidRPr="00FE0A54">
              <w:rPr>
                <w:b/>
              </w:rPr>
              <w:t>No Effect Immediately</w:t>
            </w:r>
          </w:p>
        </w:tc>
        <w:tc>
          <w:tcPr>
            <w:tcW w:w="7768" w:type="dxa"/>
            <w:shd w:val="clear" w:color="auto" w:fill="auto"/>
          </w:tcPr>
          <w:p w:rsidR="007E1428" w:rsidRDefault="007E1428" w:rsidP="00FE0A54">
            <w:pPr>
              <w:pStyle w:val="2Para0"/>
              <w:spacing w:before="0" w:after="0"/>
            </w:pPr>
            <w:r w:rsidRPr="00FE0A54">
              <w:rPr>
                <w:szCs w:val="24"/>
              </w:rPr>
              <w:t>An incident where there is no immediate effect on safety</w:t>
            </w:r>
          </w:p>
        </w:tc>
      </w:tr>
    </w:tbl>
    <w:p w:rsidR="007E1428" w:rsidRPr="00F26ABE" w:rsidRDefault="007E1428" w:rsidP="00B045DA">
      <w:pPr>
        <w:pStyle w:val="2Para0"/>
        <w:spacing w:before="120"/>
        <w:jc w:val="center"/>
        <w:rPr>
          <w:b/>
        </w:rPr>
      </w:pPr>
      <w:r w:rsidRPr="00F26ABE">
        <w:rPr>
          <w:b/>
        </w:rPr>
        <w:t>Table 1</w:t>
      </w:r>
      <w:r>
        <w:rPr>
          <w:b/>
        </w:rPr>
        <w:t>:</w:t>
      </w:r>
      <w:r w:rsidRPr="00F26ABE">
        <w:rPr>
          <w:b/>
        </w:rPr>
        <w:t xml:space="preserve"> Example Severity Classification Scheme</w:t>
      </w:r>
    </w:p>
    <w:p w:rsidR="007E1428" w:rsidRDefault="007E1428" w:rsidP="007E1428">
      <w:pPr>
        <w:pStyle w:val="2Para0"/>
        <w:numPr>
          <w:ilvl w:val="1"/>
          <w:numId w:val="15"/>
        </w:numPr>
        <w:tabs>
          <w:tab w:val="clear" w:pos="0"/>
        </w:tabs>
      </w:pPr>
      <w:r>
        <w:t>The tolerability of any particular is then assessed in accordance with a risk classification/tolerability matrix an example of which is provided below.</w:t>
      </w:r>
    </w:p>
    <w:tbl>
      <w:tblPr>
        <w:tblW w:w="91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20" w:firstRow="1" w:lastRow="0" w:firstColumn="0" w:lastColumn="0" w:noHBand="0" w:noVBand="1"/>
      </w:tblPr>
      <w:tblGrid>
        <w:gridCol w:w="2184"/>
        <w:gridCol w:w="1275"/>
        <w:gridCol w:w="1276"/>
        <w:gridCol w:w="1418"/>
        <w:gridCol w:w="1417"/>
        <w:gridCol w:w="1559"/>
      </w:tblGrid>
      <w:tr w:rsidR="007E1428" w:rsidRPr="000C7193" w:rsidTr="00FE0A54">
        <w:trPr>
          <w:trHeight w:val="256"/>
          <w:jc w:val="center"/>
        </w:trPr>
        <w:tc>
          <w:tcPr>
            <w:tcW w:w="2184" w:type="dxa"/>
            <w:vMerge w:val="restart"/>
            <w:shd w:val="clear" w:color="auto" w:fill="auto"/>
            <w:tcMar>
              <w:top w:w="57" w:type="dxa"/>
              <w:left w:w="57" w:type="dxa"/>
              <w:bottom w:w="57" w:type="dxa"/>
              <w:right w:w="57" w:type="dxa"/>
            </w:tcMar>
            <w:hideMark/>
          </w:tcPr>
          <w:p w:rsidR="007E1428" w:rsidRPr="001B7806" w:rsidRDefault="007E1428" w:rsidP="00FE0A54">
            <w:pPr>
              <w:pStyle w:val="Tabletext"/>
              <w:jc w:val="center"/>
              <w:rPr>
                <w:b/>
              </w:rPr>
            </w:pPr>
            <w:r w:rsidRPr="001B7806">
              <w:rPr>
                <w:b/>
              </w:rPr>
              <w:t>ESARR 4</w:t>
            </w:r>
          </w:p>
          <w:p w:rsidR="007E1428" w:rsidRPr="001B7806" w:rsidRDefault="007E1428" w:rsidP="00FE0A54">
            <w:pPr>
              <w:pStyle w:val="Tabletext"/>
              <w:jc w:val="center"/>
              <w:rPr>
                <w:b/>
              </w:rPr>
            </w:pPr>
            <w:r w:rsidRPr="001B7806">
              <w:rPr>
                <w:b/>
              </w:rPr>
              <w:t>Severity</w:t>
            </w:r>
          </w:p>
        </w:tc>
        <w:tc>
          <w:tcPr>
            <w:tcW w:w="6945" w:type="dxa"/>
            <w:gridSpan w:val="5"/>
            <w:shd w:val="clear" w:color="auto" w:fill="auto"/>
            <w:tcMar>
              <w:top w:w="72" w:type="dxa"/>
              <w:left w:w="144" w:type="dxa"/>
              <w:bottom w:w="72" w:type="dxa"/>
              <w:right w:w="57" w:type="dxa"/>
            </w:tcMar>
            <w:hideMark/>
          </w:tcPr>
          <w:p w:rsidR="007E1428" w:rsidRPr="001B7806" w:rsidRDefault="007E1428" w:rsidP="00FE0A54">
            <w:pPr>
              <w:pStyle w:val="Tabletext"/>
              <w:jc w:val="center"/>
              <w:rPr>
                <w:b/>
              </w:rPr>
            </w:pPr>
            <w:r w:rsidRPr="001B7806">
              <w:rPr>
                <w:b/>
              </w:rPr>
              <w:t>Probability of Occurrence</w:t>
            </w:r>
          </w:p>
        </w:tc>
      </w:tr>
      <w:tr w:rsidR="007E1428" w:rsidRPr="000C7193" w:rsidTr="00FE0A54">
        <w:trPr>
          <w:trHeight w:val="518"/>
          <w:jc w:val="center"/>
        </w:trPr>
        <w:tc>
          <w:tcPr>
            <w:tcW w:w="2184" w:type="dxa"/>
            <w:vMerge/>
            <w:shd w:val="clear" w:color="auto" w:fill="auto"/>
            <w:hideMark/>
          </w:tcPr>
          <w:p w:rsidR="007E1428" w:rsidRPr="001B7806" w:rsidRDefault="007E1428" w:rsidP="00FE0A54">
            <w:pPr>
              <w:pStyle w:val="Tabletext"/>
              <w:jc w:val="center"/>
              <w:rPr>
                <w:b/>
              </w:rPr>
            </w:pPr>
          </w:p>
        </w:tc>
        <w:tc>
          <w:tcPr>
            <w:tcW w:w="1275" w:type="dxa"/>
            <w:shd w:val="clear" w:color="auto" w:fill="auto"/>
            <w:tcMar>
              <w:top w:w="72" w:type="dxa"/>
              <w:left w:w="28" w:type="dxa"/>
              <w:bottom w:w="72" w:type="dxa"/>
              <w:right w:w="28" w:type="dxa"/>
            </w:tcMar>
            <w:hideMark/>
          </w:tcPr>
          <w:p w:rsidR="007E1428" w:rsidRPr="001B7806" w:rsidRDefault="007E1428" w:rsidP="00FE0A54">
            <w:pPr>
              <w:pStyle w:val="Tabletext"/>
              <w:jc w:val="center"/>
              <w:rPr>
                <w:b/>
              </w:rPr>
            </w:pPr>
            <w:r w:rsidRPr="001B7806">
              <w:rPr>
                <w:b/>
              </w:rPr>
              <w:t>Extremely improbable</w:t>
            </w:r>
          </w:p>
        </w:tc>
        <w:tc>
          <w:tcPr>
            <w:tcW w:w="1276" w:type="dxa"/>
            <w:shd w:val="clear" w:color="auto" w:fill="auto"/>
            <w:tcMar>
              <w:top w:w="72" w:type="dxa"/>
              <w:left w:w="144" w:type="dxa"/>
              <w:bottom w:w="72" w:type="dxa"/>
              <w:right w:w="57" w:type="dxa"/>
            </w:tcMar>
            <w:hideMark/>
          </w:tcPr>
          <w:p w:rsidR="007E1428" w:rsidRPr="001B7806" w:rsidRDefault="007E1428" w:rsidP="00FE0A54">
            <w:pPr>
              <w:pStyle w:val="Tabletext"/>
              <w:jc w:val="center"/>
              <w:rPr>
                <w:b/>
              </w:rPr>
            </w:pPr>
            <w:r w:rsidRPr="001B7806">
              <w:rPr>
                <w:b/>
              </w:rPr>
              <w:t>Extremely remote</w:t>
            </w:r>
          </w:p>
        </w:tc>
        <w:tc>
          <w:tcPr>
            <w:tcW w:w="1418" w:type="dxa"/>
            <w:shd w:val="clear" w:color="auto" w:fill="auto"/>
            <w:tcMar>
              <w:top w:w="72" w:type="dxa"/>
              <w:left w:w="144" w:type="dxa"/>
              <w:bottom w:w="72" w:type="dxa"/>
              <w:right w:w="57" w:type="dxa"/>
            </w:tcMar>
            <w:hideMark/>
          </w:tcPr>
          <w:p w:rsidR="007E1428" w:rsidRPr="001B7806" w:rsidRDefault="007E1428" w:rsidP="00FE0A54">
            <w:pPr>
              <w:pStyle w:val="Tabletext"/>
              <w:jc w:val="center"/>
              <w:rPr>
                <w:b/>
              </w:rPr>
            </w:pPr>
            <w:r w:rsidRPr="001B7806">
              <w:rPr>
                <w:b/>
              </w:rPr>
              <w:t>Remote</w:t>
            </w:r>
          </w:p>
        </w:tc>
        <w:tc>
          <w:tcPr>
            <w:tcW w:w="1417" w:type="dxa"/>
            <w:shd w:val="clear" w:color="auto" w:fill="auto"/>
            <w:tcMar>
              <w:top w:w="72" w:type="dxa"/>
              <w:left w:w="144" w:type="dxa"/>
              <w:bottom w:w="72" w:type="dxa"/>
              <w:right w:w="57" w:type="dxa"/>
            </w:tcMar>
            <w:hideMark/>
          </w:tcPr>
          <w:p w:rsidR="007E1428" w:rsidRPr="001B7806" w:rsidRDefault="007E1428" w:rsidP="00FE0A54">
            <w:pPr>
              <w:pStyle w:val="Tabletext"/>
              <w:jc w:val="center"/>
              <w:rPr>
                <w:b/>
              </w:rPr>
            </w:pPr>
            <w:r w:rsidRPr="001B7806">
              <w:rPr>
                <w:b/>
              </w:rPr>
              <w:t>Reasonably probable</w:t>
            </w:r>
          </w:p>
        </w:tc>
        <w:tc>
          <w:tcPr>
            <w:tcW w:w="1559" w:type="dxa"/>
            <w:shd w:val="clear" w:color="auto" w:fill="auto"/>
            <w:tcMar>
              <w:top w:w="72" w:type="dxa"/>
              <w:left w:w="144" w:type="dxa"/>
              <w:bottom w:w="72" w:type="dxa"/>
              <w:right w:w="57" w:type="dxa"/>
            </w:tcMar>
            <w:hideMark/>
          </w:tcPr>
          <w:p w:rsidR="007E1428" w:rsidRPr="001B7806" w:rsidRDefault="007E1428" w:rsidP="00FE0A54">
            <w:pPr>
              <w:pStyle w:val="Tabletext"/>
              <w:jc w:val="center"/>
              <w:rPr>
                <w:b/>
              </w:rPr>
            </w:pPr>
            <w:r w:rsidRPr="001B7806">
              <w:rPr>
                <w:b/>
              </w:rPr>
              <w:t>Frequency</w:t>
            </w:r>
          </w:p>
        </w:tc>
      </w:tr>
      <w:tr w:rsidR="007E1428" w:rsidRPr="000C7193" w:rsidTr="00FE0A54">
        <w:trPr>
          <w:trHeight w:val="527"/>
          <w:jc w:val="center"/>
        </w:trPr>
        <w:tc>
          <w:tcPr>
            <w:tcW w:w="2184" w:type="dxa"/>
            <w:vMerge/>
            <w:shd w:val="clear" w:color="auto" w:fill="auto"/>
            <w:hideMark/>
          </w:tcPr>
          <w:p w:rsidR="007E1428" w:rsidRPr="001B7806" w:rsidRDefault="007E1428" w:rsidP="00FE0A54">
            <w:pPr>
              <w:pStyle w:val="Tabletext"/>
              <w:jc w:val="center"/>
              <w:rPr>
                <w:b/>
              </w:rPr>
            </w:pPr>
          </w:p>
        </w:tc>
        <w:tc>
          <w:tcPr>
            <w:tcW w:w="1275" w:type="dxa"/>
            <w:shd w:val="clear" w:color="auto" w:fill="auto"/>
            <w:tcMar>
              <w:top w:w="72" w:type="dxa"/>
              <w:left w:w="15" w:type="dxa"/>
              <w:bottom w:w="72" w:type="dxa"/>
              <w:right w:w="15" w:type="dxa"/>
            </w:tcMar>
            <w:hideMark/>
          </w:tcPr>
          <w:p w:rsidR="007E1428" w:rsidRPr="000C7193" w:rsidRDefault="007E1428" w:rsidP="00FE0A54">
            <w:pPr>
              <w:pStyle w:val="Tabletext"/>
              <w:jc w:val="center"/>
            </w:pPr>
            <w:r w:rsidRPr="000C7193">
              <w:t>&lt;10</w:t>
            </w:r>
            <w:r w:rsidRPr="000C7193">
              <w:rPr>
                <w:vertAlign w:val="superscript"/>
              </w:rPr>
              <w:t>-9</w:t>
            </w:r>
            <w:r w:rsidRPr="000C7193">
              <w:t xml:space="preserve"> per hour</w:t>
            </w:r>
          </w:p>
        </w:tc>
        <w:tc>
          <w:tcPr>
            <w:tcW w:w="1276" w:type="dxa"/>
            <w:shd w:val="clear" w:color="auto" w:fill="auto"/>
            <w:tcMar>
              <w:top w:w="72" w:type="dxa"/>
              <w:left w:w="144" w:type="dxa"/>
              <w:bottom w:w="72" w:type="dxa"/>
              <w:right w:w="57" w:type="dxa"/>
            </w:tcMar>
            <w:hideMark/>
          </w:tcPr>
          <w:p w:rsidR="007E1428" w:rsidRPr="000C7193" w:rsidRDefault="007E1428" w:rsidP="00FE0A54">
            <w:pPr>
              <w:pStyle w:val="Tabletext"/>
              <w:jc w:val="center"/>
            </w:pPr>
            <w:r w:rsidRPr="000C7193">
              <w:t>10</w:t>
            </w:r>
            <w:r w:rsidRPr="000C7193">
              <w:rPr>
                <w:vertAlign w:val="superscript"/>
              </w:rPr>
              <w:t>-7</w:t>
            </w:r>
            <w:r w:rsidRPr="000C7193">
              <w:t xml:space="preserve"> to 10</w:t>
            </w:r>
            <w:r w:rsidRPr="000C7193">
              <w:rPr>
                <w:vertAlign w:val="superscript"/>
              </w:rPr>
              <w:t>-9</w:t>
            </w:r>
            <w:r w:rsidRPr="000C7193">
              <w:t xml:space="preserve"> </w:t>
            </w:r>
            <w:r w:rsidRPr="000C7193">
              <w:br/>
              <w:t>per hour</w:t>
            </w:r>
          </w:p>
        </w:tc>
        <w:tc>
          <w:tcPr>
            <w:tcW w:w="1418" w:type="dxa"/>
            <w:shd w:val="clear" w:color="auto" w:fill="auto"/>
            <w:tcMar>
              <w:top w:w="72" w:type="dxa"/>
              <w:left w:w="144" w:type="dxa"/>
              <w:bottom w:w="72" w:type="dxa"/>
              <w:right w:w="57" w:type="dxa"/>
            </w:tcMar>
            <w:hideMark/>
          </w:tcPr>
          <w:p w:rsidR="007E1428" w:rsidRPr="000C7193" w:rsidRDefault="007E1428" w:rsidP="00FE0A54">
            <w:pPr>
              <w:pStyle w:val="Tabletext"/>
              <w:jc w:val="center"/>
            </w:pPr>
            <w:r w:rsidRPr="000C7193">
              <w:t>10</w:t>
            </w:r>
            <w:r w:rsidRPr="000C7193">
              <w:rPr>
                <w:vertAlign w:val="superscript"/>
              </w:rPr>
              <w:t>-5</w:t>
            </w:r>
            <w:r w:rsidRPr="000C7193">
              <w:t xml:space="preserve"> to 10</w:t>
            </w:r>
            <w:r w:rsidRPr="000C7193">
              <w:rPr>
                <w:vertAlign w:val="superscript"/>
              </w:rPr>
              <w:t>-7</w:t>
            </w:r>
            <w:r w:rsidRPr="000C7193">
              <w:t xml:space="preserve"> </w:t>
            </w:r>
            <w:r w:rsidRPr="000C7193">
              <w:br/>
              <w:t>per hour</w:t>
            </w:r>
          </w:p>
        </w:tc>
        <w:tc>
          <w:tcPr>
            <w:tcW w:w="1417" w:type="dxa"/>
            <w:shd w:val="clear" w:color="auto" w:fill="auto"/>
            <w:tcMar>
              <w:top w:w="72" w:type="dxa"/>
              <w:left w:w="144" w:type="dxa"/>
              <w:bottom w:w="72" w:type="dxa"/>
              <w:right w:w="57" w:type="dxa"/>
            </w:tcMar>
            <w:hideMark/>
          </w:tcPr>
          <w:p w:rsidR="007E1428" w:rsidRPr="000C7193" w:rsidRDefault="007E1428" w:rsidP="00FE0A54">
            <w:pPr>
              <w:pStyle w:val="Tabletext"/>
              <w:jc w:val="center"/>
            </w:pPr>
            <w:r w:rsidRPr="000C7193">
              <w:t>10</w:t>
            </w:r>
            <w:r w:rsidRPr="000C7193">
              <w:rPr>
                <w:vertAlign w:val="superscript"/>
              </w:rPr>
              <w:t>-3</w:t>
            </w:r>
            <w:r w:rsidRPr="000C7193">
              <w:t xml:space="preserve"> to 10</w:t>
            </w:r>
            <w:r w:rsidRPr="000C7193">
              <w:rPr>
                <w:vertAlign w:val="superscript"/>
              </w:rPr>
              <w:t>-5</w:t>
            </w:r>
            <w:r w:rsidRPr="000C7193">
              <w:t xml:space="preserve"> </w:t>
            </w:r>
            <w:r w:rsidRPr="000C7193">
              <w:br/>
              <w:t>per hour</w:t>
            </w:r>
          </w:p>
        </w:tc>
        <w:tc>
          <w:tcPr>
            <w:tcW w:w="1559" w:type="dxa"/>
            <w:shd w:val="clear" w:color="auto" w:fill="auto"/>
            <w:tcMar>
              <w:top w:w="72" w:type="dxa"/>
              <w:left w:w="144" w:type="dxa"/>
              <w:bottom w:w="72" w:type="dxa"/>
              <w:right w:w="57" w:type="dxa"/>
            </w:tcMar>
            <w:hideMark/>
          </w:tcPr>
          <w:p w:rsidR="007E1428" w:rsidRPr="000C7193" w:rsidRDefault="007E1428" w:rsidP="00FE0A54">
            <w:pPr>
              <w:pStyle w:val="Tabletext"/>
              <w:jc w:val="center"/>
            </w:pPr>
            <w:r w:rsidRPr="000C7193">
              <w:t>1 to 10</w:t>
            </w:r>
            <w:r w:rsidRPr="000C7193">
              <w:rPr>
                <w:vertAlign w:val="superscript"/>
              </w:rPr>
              <w:t>-3</w:t>
            </w:r>
            <w:r w:rsidRPr="000C7193">
              <w:t xml:space="preserve"> </w:t>
            </w:r>
            <w:r w:rsidRPr="000C7193">
              <w:br/>
              <w:t>per hour</w:t>
            </w:r>
          </w:p>
        </w:tc>
      </w:tr>
      <w:tr w:rsidR="007E1428" w:rsidRPr="000C7193" w:rsidTr="00FE0A54">
        <w:trPr>
          <w:trHeight w:val="282"/>
          <w:jc w:val="center"/>
        </w:trPr>
        <w:tc>
          <w:tcPr>
            <w:tcW w:w="2184" w:type="dxa"/>
            <w:shd w:val="clear" w:color="auto" w:fill="auto"/>
            <w:tcMar>
              <w:top w:w="57" w:type="dxa"/>
              <w:left w:w="144" w:type="dxa"/>
              <w:bottom w:w="72" w:type="dxa"/>
              <w:right w:w="144" w:type="dxa"/>
            </w:tcMar>
            <w:hideMark/>
          </w:tcPr>
          <w:p w:rsidR="007E1428" w:rsidRPr="001B7806" w:rsidRDefault="007E1428" w:rsidP="00FE0A54">
            <w:pPr>
              <w:pStyle w:val="Tabletext"/>
              <w:jc w:val="center"/>
              <w:rPr>
                <w:b/>
              </w:rPr>
            </w:pPr>
            <w:r w:rsidRPr="001B7806">
              <w:rPr>
                <w:b/>
              </w:rPr>
              <w:t>Accidents</w:t>
            </w:r>
          </w:p>
        </w:tc>
        <w:tc>
          <w:tcPr>
            <w:tcW w:w="1275" w:type="dxa"/>
            <w:shd w:val="clear" w:color="auto" w:fill="FFFF00"/>
            <w:tcMar>
              <w:top w:w="57" w:type="dxa"/>
              <w:left w:w="15" w:type="dxa"/>
              <w:bottom w:w="0" w:type="dxa"/>
              <w:right w:w="144" w:type="dxa"/>
            </w:tcMar>
            <w:vAlign w:val="center"/>
            <w:hideMark/>
          </w:tcPr>
          <w:p w:rsidR="007E1428" w:rsidRPr="00F87064" w:rsidRDefault="007E1428" w:rsidP="00FE0A54">
            <w:pPr>
              <w:pStyle w:val="Tabletext"/>
              <w:jc w:val="center"/>
            </w:pPr>
            <w:r w:rsidRPr="00F87064">
              <w:t>Review</w:t>
            </w:r>
          </w:p>
        </w:tc>
        <w:tc>
          <w:tcPr>
            <w:tcW w:w="1276" w:type="dxa"/>
            <w:shd w:val="clear" w:color="auto" w:fill="FF9999"/>
            <w:tcMar>
              <w:top w:w="57" w:type="dxa"/>
              <w:left w:w="15" w:type="dxa"/>
              <w:bottom w:w="0" w:type="dxa"/>
              <w:right w:w="57" w:type="dxa"/>
            </w:tcMar>
            <w:vAlign w:val="center"/>
            <w:hideMark/>
          </w:tcPr>
          <w:p w:rsidR="007E1428" w:rsidRPr="00F87064" w:rsidRDefault="007E1428" w:rsidP="00FE0A54">
            <w:pPr>
              <w:pStyle w:val="Tabletext"/>
              <w:jc w:val="center"/>
            </w:pPr>
            <w:r w:rsidRPr="00F87064">
              <w:t>Unacceptable</w:t>
            </w:r>
          </w:p>
        </w:tc>
        <w:tc>
          <w:tcPr>
            <w:tcW w:w="1418" w:type="dxa"/>
            <w:shd w:val="clear" w:color="auto" w:fill="FF9999"/>
            <w:tcMar>
              <w:top w:w="57" w:type="dxa"/>
              <w:left w:w="15" w:type="dxa"/>
              <w:bottom w:w="0" w:type="dxa"/>
              <w:right w:w="144" w:type="dxa"/>
            </w:tcMar>
            <w:vAlign w:val="center"/>
            <w:hideMark/>
          </w:tcPr>
          <w:p w:rsidR="007E1428" w:rsidRPr="00F87064" w:rsidRDefault="007E1428" w:rsidP="00FE0A54">
            <w:pPr>
              <w:pStyle w:val="Tabletext"/>
              <w:jc w:val="center"/>
            </w:pPr>
            <w:r w:rsidRPr="00F87064">
              <w:t>Unacceptable</w:t>
            </w:r>
          </w:p>
        </w:tc>
        <w:tc>
          <w:tcPr>
            <w:tcW w:w="1417" w:type="dxa"/>
            <w:shd w:val="clear" w:color="auto" w:fill="FF9999"/>
            <w:tcMar>
              <w:top w:w="57" w:type="dxa"/>
              <w:left w:w="15" w:type="dxa"/>
              <w:bottom w:w="0" w:type="dxa"/>
              <w:right w:w="144" w:type="dxa"/>
            </w:tcMar>
            <w:vAlign w:val="center"/>
            <w:hideMark/>
          </w:tcPr>
          <w:p w:rsidR="007E1428" w:rsidRPr="00F87064" w:rsidRDefault="007E1428" w:rsidP="00FE0A54">
            <w:pPr>
              <w:pStyle w:val="Tabletext"/>
              <w:jc w:val="center"/>
            </w:pPr>
            <w:r w:rsidRPr="00F87064">
              <w:t>Unacceptable</w:t>
            </w:r>
          </w:p>
        </w:tc>
        <w:tc>
          <w:tcPr>
            <w:tcW w:w="1559" w:type="dxa"/>
            <w:shd w:val="clear" w:color="auto" w:fill="FF9999"/>
            <w:tcMar>
              <w:top w:w="57" w:type="dxa"/>
              <w:left w:w="15" w:type="dxa"/>
              <w:bottom w:w="0" w:type="dxa"/>
              <w:right w:w="144" w:type="dxa"/>
            </w:tcMar>
            <w:vAlign w:val="center"/>
            <w:hideMark/>
          </w:tcPr>
          <w:p w:rsidR="007E1428" w:rsidRPr="00F87064" w:rsidRDefault="007E1428" w:rsidP="00FE0A54">
            <w:pPr>
              <w:pStyle w:val="Tabletext"/>
              <w:jc w:val="center"/>
            </w:pPr>
            <w:r w:rsidRPr="00F87064">
              <w:t>Unacceptable</w:t>
            </w:r>
          </w:p>
        </w:tc>
      </w:tr>
      <w:tr w:rsidR="007E1428" w:rsidRPr="000C7193" w:rsidTr="00FE0A54">
        <w:trPr>
          <w:trHeight w:val="288"/>
          <w:jc w:val="center"/>
        </w:trPr>
        <w:tc>
          <w:tcPr>
            <w:tcW w:w="2184" w:type="dxa"/>
            <w:shd w:val="clear" w:color="auto" w:fill="auto"/>
            <w:tcMar>
              <w:top w:w="57" w:type="dxa"/>
              <w:left w:w="144" w:type="dxa"/>
              <w:bottom w:w="72" w:type="dxa"/>
              <w:right w:w="144" w:type="dxa"/>
            </w:tcMar>
            <w:hideMark/>
          </w:tcPr>
          <w:p w:rsidR="007E1428" w:rsidRPr="001B7806" w:rsidRDefault="007E1428" w:rsidP="00FE0A54">
            <w:pPr>
              <w:pStyle w:val="Tabletext"/>
              <w:jc w:val="center"/>
              <w:rPr>
                <w:b/>
              </w:rPr>
            </w:pPr>
            <w:r w:rsidRPr="001B7806">
              <w:rPr>
                <w:b/>
              </w:rPr>
              <w:t>Serious incident</w:t>
            </w:r>
          </w:p>
        </w:tc>
        <w:tc>
          <w:tcPr>
            <w:tcW w:w="1275" w:type="dxa"/>
            <w:shd w:val="clear" w:color="auto" w:fill="66FF66"/>
            <w:tcMar>
              <w:top w:w="57" w:type="dxa"/>
              <w:left w:w="15" w:type="dxa"/>
              <w:bottom w:w="0" w:type="dxa"/>
              <w:right w:w="144" w:type="dxa"/>
            </w:tcMar>
            <w:vAlign w:val="center"/>
            <w:hideMark/>
          </w:tcPr>
          <w:p w:rsidR="007E1428" w:rsidRPr="00F87064" w:rsidRDefault="007E1428" w:rsidP="00FE0A54">
            <w:pPr>
              <w:pStyle w:val="Tabletext"/>
              <w:jc w:val="center"/>
            </w:pPr>
            <w:r w:rsidRPr="00F87064">
              <w:t>Acceptable</w:t>
            </w:r>
          </w:p>
        </w:tc>
        <w:tc>
          <w:tcPr>
            <w:tcW w:w="1276" w:type="dxa"/>
            <w:shd w:val="clear" w:color="auto" w:fill="FFFF00"/>
            <w:tcMar>
              <w:top w:w="57" w:type="dxa"/>
              <w:left w:w="15" w:type="dxa"/>
              <w:bottom w:w="0" w:type="dxa"/>
              <w:right w:w="144" w:type="dxa"/>
            </w:tcMar>
            <w:vAlign w:val="center"/>
            <w:hideMark/>
          </w:tcPr>
          <w:p w:rsidR="007E1428" w:rsidRPr="00F87064" w:rsidRDefault="007E1428" w:rsidP="00FE0A54">
            <w:pPr>
              <w:pStyle w:val="Tabletext"/>
              <w:jc w:val="center"/>
            </w:pPr>
            <w:r w:rsidRPr="00F87064">
              <w:t>Review</w:t>
            </w:r>
          </w:p>
        </w:tc>
        <w:tc>
          <w:tcPr>
            <w:tcW w:w="1418" w:type="dxa"/>
            <w:shd w:val="clear" w:color="auto" w:fill="FF9999"/>
            <w:tcMar>
              <w:top w:w="57" w:type="dxa"/>
              <w:left w:w="15" w:type="dxa"/>
              <w:bottom w:w="0" w:type="dxa"/>
              <w:right w:w="144" w:type="dxa"/>
            </w:tcMar>
            <w:vAlign w:val="center"/>
            <w:hideMark/>
          </w:tcPr>
          <w:p w:rsidR="007E1428" w:rsidRPr="00F87064" w:rsidRDefault="007E1428" w:rsidP="00FE0A54">
            <w:pPr>
              <w:pStyle w:val="Tabletext"/>
              <w:jc w:val="center"/>
            </w:pPr>
            <w:r w:rsidRPr="00F87064">
              <w:t>Unacceptable</w:t>
            </w:r>
          </w:p>
        </w:tc>
        <w:tc>
          <w:tcPr>
            <w:tcW w:w="1417" w:type="dxa"/>
            <w:shd w:val="clear" w:color="auto" w:fill="FF9999"/>
            <w:tcMar>
              <w:top w:w="57" w:type="dxa"/>
              <w:left w:w="15" w:type="dxa"/>
              <w:bottom w:w="0" w:type="dxa"/>
              <w:right w:w="144" w:type="dxa"/>
            </w:tcMar>
            <w:vAlign w:val="center"/>
            <w:hideMark/>
          </w:tcPr>
          <w:p w:rsidR="007E1428" w:rsidRPr="00F87064" w:rsidRDefault="007E1428" w:rsidP="00FE0A54">
            <w:pPr>
              <w:pStyle w:val="Tabletext"/>
              <w:jc w:val="center"/>
            </w:pPr>
            <w:r w:rsidRPr="00F87064">
              <w:t>Unacceptable</w:t>
            </w:r>
          </w:p>
        </w:tc>
        <w:tc>
          <w:tcPr>
            <w:tcW w:w="1559" w:type="dxa"/>
            <w:shd w:val="clear" w:color="auto" w:fill="FF9999"/>
            <w:tcMar>
              <w:top w:w="57" w:type="dxa"/>
              <w:left w:w="15" w:type="dxa"/>
              <w:bottom w:w="0" w:type="dxa"/>
              <w:right w:w="144" w:type="dxa"/>
            </w:tcMar>
            <w:vAlign w:val="center"/>
            <w:hideMark/>
          </w:tcPr>
          <w:p w:rsidR="007E1428" w:rsidRPr="00F87064" w:rsidRDefault="007E1428" w:rsidP="00FE0A54">
            <w:pPr>
              <w:pStyle w:val="Tabletext"/>
              <w:jc w:val="center"/>
            </w:pPr>
            <w:r w:rsidRPr="00F87064">
              <w:t>Unacceptable</w:t>
            </w:r>
          </w:p>
        </w:tc>
      </w:tr>
      <w:tr w:rsidR="007E1428" w:rsidRPr="000C7193" w:rsidTr="00FE0A54">
        <w:trPr>
          <w:trHeight w:val="266"/>
          <w:jc w:val="center"/>
        </w:trPr>
        <w:tc>
          <w:tcPr>
            <w:tcW w:w="2184" w:type="dxa"/>
            <w:shd w:val="clear" w:color="auto" w:fill="auto"/>
            <w:tcMar>
              <w:top w:w="57" w:type="dxa"/>
              <w:left w:w="144" w:type="dxa"/>
              <w:bottom w:w="72" w:type="dxa"/>
              <w:right w:w="144" w:type="dxa"/>
            </w:tcMar>
            <w:hideMark/>
          </w:tcPr>
          <w:p w:rsidR="007E1428" w:rsidRPr="001B7806" w:rsidRDefault="007E1428" w:rsidP="00FE0A54">
            <w:pPr>
              <w:pStyle w:val="Tabletext"/>
              <w:jc w:val="center"/>
              <w:rPr>
                <w:b/>
              </w:rPr>
            </w:pPr>
            <w:r w:rsidRPr="001B7806">
              <w:rPr>
                <w:b/>
              </w:rPr>
              <w:t>Major incident</w:t>
            </w:r>
          </w:p>
        </w:tc>
        <w:tc>
          <w:tcPr>
            <w:tcW w:w="1275" w:type="dxa"/>
            <w:shd w:val="clear" w:color="auto" w:fill="66FF66"/>
            <w:tcMar>
              <w:top w:w="57" w:type="dxa"/>
              <w:left w:w="15" w:type="dxa"/>
              <w:bottom w:w="0" w:type="dxa"/>
              <w:right w:w="15" w:type="dxa"/>
            </w:tcMar>
            <w:vAlign w:val="center"/>
            <w:hideMark/>
          </w:tcPr>
          <w:p w:rsidR="007E1428" w:rsidRPr="00F87064" w:rsidRDefault="007E1428" w:rsidP="00FE0A54">
            <w:pPr>
              <w:pStyle w:val="Tabletext"/>
              <w:jc w:val="center"/>
            </w:pPr>
            <w:r w:rsidRPr="00F87064">
              <w:t>Acceptable</w:t>
            </w:r>
          </w:p>
        </w:tc>
        <w:tc>
          <w:tcPr>
            <w:tcW w:w="1276" w:type="dxa"/>
            <w:shd w:val="clear" w:color="auto" w:fill="66FF66"/>
            <w:tcMar>
              <w:top w:w="57" w:type="dxa"/>
              <w:left w:w="15" w:type="dxa"/>
              <w:bottom w:w="0" w:type="dxa"/>
              <w:right w:w="144" w:type="dxa"/>
            </w:tcMar>
            <w:vAlign w:val="center"/>
            <w:hideMark/>
          </w:tcPr>
          <w:p w:rsidR="007E1428" w:rsidRPr="00F87064" w:rsidRDefault="007E1428" w:rsidP="00FE0A54">
            <w:pPr>
              <w:pStyle w:val="Tabletext"/>
              <w:jc w:val="center"/>
            </w:pPr>
            <w:r w:rsidRPr="00F87064">
              <w:t>Acceptable</w:t>
            </w:r>
          </w:p>
        </w:tc>
        <w:tc>
          <w:tcPr>
            <w:tcW w:w="1418" w:type="dxa"/>
            <w:shd w:val="clear" w:color="auto" w:fill="FFFF00"/>
            <w:tcMar>
              <w:top w:w="57" w:type="dxa"/>
              <w:left w:w="15" w:type="dxa"/>
              <w:bottom w:w="0" w:type="dxa"/>
              <w:right w:w="144" w:type="dxa"/>
            </w:tcMar>
            <w:vAlign w:val="center"/>
            <w:hideMark/>
          </w:tcPr>
          <w:p w:rsidR="007E1428" w:rsidRPr="00F87064" w:rsidRDefault="007E1428" w:rsidP="00FE0A54">
            <w:pPr>
              <w:pStyle w:val="Tabletext"/>
              <w:jc w:val="center"/>
            </w:pPr>
            <w:r w:rsidRPr="00F87064">
              <w:t>Review</w:t>
            </w:r>
          </w:p>
        </w:tc>
        <w:tc>
          <w:tcPr>
            <w:tcW w:w="1417" w:type="dxa"/>
            <w:shd w:val="clear" w:color="auto" w:fill="FF9999"/>
            <w:tcMar>
              <w:top w:w="57" w:type="dxa"/>
              <w:left w:w="15" w:type="dxa"/>
              <w:bottom w:w="0" w:type="dxa"/>
              <w:right w:w="144" w:type="dxa"/>
            </w:tcMar>
            <w:vAlign w:val="center"/>
            <w:hideMark/>
          </w:tcPr>
          <w:p w:rsidR="007E1428" w:rsidRPr="00F87064" w:rsidRDefault="007E1428" w:rsidP="00FE0A54">
            <w:pPr>
              <w:pStyle w:val="Tabletext"/>
              <w:jc w:val="center"/>
            </w:pPr>
            <w:r w:rsidRPr="00F87064">
              <w:t>Unacceptable</w:t>
            </w:r>
          </w:p>
        </w:tc>
        <w:tc>
          <w:tcPr>
            <w:tcW w:w="1559" w:type="dxa"/>
            <w:shd w:val="clear" w:color="auto" w:fill="FF9999"/>
            <w:tcMar>
              <w:top w:w="57" w:type="dxa"/>
              <w:left w:w="15" w:type="dxa"/>
              <w:bottom w:w="0" w:type="dxa"/>
              <w:right w:w="144" w:type="dxa"/>
            </w:tcMar>
            <w:vAlign w:val="center"/>
            <w:hideMark/>
          </w:tcPr>
          <w:p w:rsidR="007E1428" w:rsidRPr="00F87064" w:rsidRDefault="007E1428" w:rsidP="00FE0A54">
            <w:pPr>
              <w:pStyle w:val="Tabletext"/>
              <w:jc w:val="center"/>
            </w:pPr>
            <w:r w:rsidRPr="00F87064">
              <w:t>Unacceptable</w:t>
            </w:r>
          </w:p>
        </w:tc>
      </w:tr>
      <w:tr w:rsidR="007E1428" w:rsidRPr="000C7193" w:rsidTr="00FE0A54">
        <w:trPr>
          <w:trHeight w:val="271"/>
          <w:jc w:val="center"/>
        </w:trPr>
        <w:tc>
          <w:tcPr>
            <w:tcW w:w="2184" w:type="dxa"/>
            <w:shd w:val="clear" w:color="auto" w:fill="auto"/>
            <w:tcMar>
              <w:top w:w="57" w:type="dxa"/>
              <w:left w:w="57" w:type="dxa"/>
              <w:bottom w:w="57" w:type="dxa"/>
              <w:right w:w="57" w:type="dxa"/>
            </w:tcMar>
            <w:hideMark/>
          </w:tcPr>
          <w:p w:rsidR="007E1428" w:rsidRPr="001B7806" w:rsidRDefault="007E1428" w:rsidP="00FE0A54">
            <w:pPr>
              <w:pStyle w:val="Tabletext"/>
              <w:jc w:val="center"/>
              <w:rPr>
                <w:b/>
              </w:rPr>
            </w:pPr>
            <w:r w:rsidRPr="001B7806">
              <w:rPr>
                <w:b/>
              </w:rPr>
              <w:t>Significant incident</w:t>
            </w:r>
          </w:p>
        </w:tc>
        <w:tc>
          <w:tcPr>
            <w:tcW w:w="1275" w:type="dxa"/>
            <w:shd w:val="clear" w:color="auto" w:fill="66FF66"/>
            <w:tcMar>
              <w:top w:w="57" w:type="dxa"/>
              <w:left w:w="15" w:type="dxa"/>
              <w:bottom w:w="0" w:type="dxa"/>
              <w:right w:w="144" w:type="dxa"/>
            </w:tcMar>
            <w:vAlign w:val="center"/>
            <w:hideMark/>
          </w:tcPr>
          <w:p w:rsidR="007E1428" w:rsidRPr="00F87064" w:rsidRDefault="007E1428" w:rsidP="00FE0A54">
            <w:pPr>
              <w:pStyle w:val="Tabletext"/>
              <w:jc w:val="center"/>
            </w:pPr>
            <w:r w:rsidRPr="00F87064">
              <w:t>Acceptable</w:t>
            </w:r>
          </w:p>
        </w:tc>
        <w:tc>
          <w:tcPr>
            <w:tcW w:w="1276" w:type="dxa"/>
            <w:shd w:val="clear" w:color="auto" w:fill="66FF66"/>
            <w:tcMar>
              <w:top w:w="57" w:type="dxa"/>
              <w:left w:w="15" w:type="dxa"/>
              <w:bottom w:w="0" w:type="dxa"/>
              <w:right w:w="144" w:type="dxa"/>
            </w:tcMar>
            <w:vAlign w:val="center"/>
            <w:hideMark/>
          </w:tcPr>
          <w:p w:rsidR="007E1428" w:rsidRPr="00F87064" w:rsidRDefault="007E1428" w:rsidP="00FE0A54">
            <w:pPr>
              <w:pStyle w:val="Tabletext"/>
              <w:jc w:val="center"/>
            </w:pPr>
            <w:r w:rsidRPr="00F87064">
              <w:t>Acceptable</w:t>
            </w:r>
          </w:p>
        </w:tc>
        <w:tc>
          <w:tcPr>
            <w:tcW w:w="1418" w:type="dxa"/>
            <w:shd w:val="clear" w:color="auto" w:fill="66FF66"/>
            <w:tcMar>
              <w:top w:w="57" w:type="dxa"/>
              <w:left w:w="15" w:type="dxa"/>
              <w:bottom w:w="0" w:type="dxa"/>
              <w:right w:w="144" w:type="dxa"/>
            </w:tcMar>
            <w:vAlign w:val="center"/>
            <w:hideMark/>
          </w:tcPr>
          <w:p w:rsidR="007E1428" w:rsidRPr="00F87064" w:rsidRDefault="007E1428" w:rsidP="00FE0A54">
            <w:pPr>
              <w:pStyle w:val="Tabletext"/>
              <w:jc w:val="center"/>
            </w:pPr>
            <w:r w:rsidRPr="00F87064">
              <w:t>Acceptable</w:t>
            </w:r>
          </w:p>
        </w:tc>
        <w:tc>
          <w:tcPr>
            <w:tcW w:w="1417" w:type="dxa"/>
            <w:shd w:val="clear" w:color="auto" w:fill="FFFF00"/>
            <w:tcMar>
              <w:top w:w="57" w:type="dxa"/>
              <w:left w:w="15" w:type="dxa"/>
              <w:bottom w:w="0" w:type="dxa"/>
              <w:right w:w="144" w:type="dxa"/>
            </w:tcMar>
            <w:vAlign w:val="center"/>
            <w:hideMark/>
          </w:tcPr>
          <w:p w:rsidR="007E1428" w:rsidRPr="00F87064" w:rsidRDefault="007E1428" w:rsidP="00FE0A54">
            <w:pPr>
              <w:pStyle w:val="Tabletext"/>
              <w:jc w:val="center"/>
            </w:pPr>
            <w:r w:rsidRPr="00F87064">
              <w:t>Review</w:t>
            </w:r>
          </w:p>
        </w:tc>
        <w:tc>
          <w:tcPr>
            <w:tcW w:w="1559" w:type="dxa"/>
            <w:shd w:val="clear" w:color="auto" w:fill="FF9999"/>
            <w:tcMar>
              <w:top w:w="57" w:type="dxa"/>
              <w:left w:w="15" w:type="dxa"/>
              <w:bottom w:w="0" w:type="dxa"/>
              <w:right w:w="144" w:type="dxa"/>
            </w:tcMar>
            <w:vAlign w:val="center"/>
            <w:hideMark/>
          </w:tcPr>
          <w:p w:rsidR="007E1428" w:rsidRPr="00F87064" w:rsidRDefault="007E1428" w:rsidP="00FE0A54">
            <w:pPr>
              <w:pStyle w:val="Tabletext"/>
              <w:jc w:val="center"/>
            </w:pPr>
            <w:r w:rsidRPr="00F87064">
              <w:t>Unacceptable</w:t>
            </w:r>
          </w:p>
        </w:tc>
      </w:tr>
      <w:tr w:rsidR="007E1428" w:rsidRPr="000C7193" w:rsidTr="00FE0A54">
        <w:trPr>
          <w:trHeight w:val="334"/>
          <w:jc w:val="center"/>
        </w:trPr>
        <w:tc>
          <w:tcPr>
            <w:tcW w:w="2184" w:type="dxa"/>
            <w:shd w:val="clear" w:color="auto" w:fill="auto"/>
            <w:tcMar>
              <w:top w:w="15" w:type="dxa"/>
              <w:left w:w="144" w:type="dxa"/>
              <w:bottom w:w="0" w:type="dxa"/>
              <w:right w:w="57" w:type="dxa"/>
            </w:tcMar>
            <w:hideMark/>
          </w:tcPr>
          <w:p w:rsidR="007E1428" w:rsidRPr="001B7806" w:rsidRDefault="007E1428" w:rsidP="00FE0A54">
            <w:pPr>
              <w:pStyle w:val="Tabletext"/>
              <w:jc w:val="center"/>
              <w:rPr>
                <w:b/>
              </w:rPr>
            </w:pPr>
            <w:r w:rsidRPr="001B7806">
              <w:rPr>
                <w:b/>
              </w:rPr>
              <w:t>No immediate effect</w:t>
            </w:r>
          </w:p>
        </w:tc>
        <w:tc>
          <w:tcPr>
            <w:tcW w:w="1275" w:type="dxa"/>
            <w:shd w:val="clear" w:color="auto" w:fill="66FF66"/>
            <w:tcMar>
              <w:top w:w="15" w:type="dxa"/>
              <w:left w:w="15" w:type="dxa"/>
              <w:bottom w:w="0" w:type="dxa"/>
              <w:right w:w="57" w:type="dxa"/>
            </w:tcMar>
            <w:vAlign w:val="center"/>
            <w:hideMark/>
          </w:tcPr>
          <w:p w:rsidR="007E1428" w:rsidRPr="00F87064" w:rsidRDefault="007E1428" w:rsidP="00FE0A54">
            <w:pPr>
              <w:pStyle w:val="Tabletext"/>
              <w:jc w:val="center"/>
            </w:pPr>
            <w:r w:rsidRPr="00F87064">
              <w:t>Acceptable</w:t>
            </w:r>
          </w:p>
        </w:tc>
        <w:tc>
          <w:tcPr>
            <w:tcW w:w="1276" w:type="dxa"/>
            <w:shd w:val="clear" w:color="auto" w:fill="66FF66"/>
            <w:tcMar>
              <w:top w:w="15" w:type="dxa"/>
              <w:left w:w="15" w:type="dxa"/>
              <w:bottom w:w="0" w:type="dxa"/>
              <w:right w:w="57" w:type="dxa"/>
            </w:tcMar>
            <w:vAlign w:val="center"/>
            <w:hideMark/>
          </w:tcPr>
          <w:p w:rsidR="007E1428" w:rsidRPr="00F87064" w:rsidRDefault="007E1428" w:rsidP="00FE0A54">
            <w:pPr>
              <w:pStyle w:val="Tabletext"/>
              <w:jc w:val="center"/>
            </w:pPr>
            <w:r w:rsidRPr="00F87064">
              <w:t>Acceptable</w:t>
            </w:r>
          </w:p>
        </w:tc>
        <w:tc>
          <w:tcPr>
            <w:tcW w:w="1418" w:type="dxa"/>
            <w:shd w:val="clear" w:color="auto" w:fill="66FF66"/>
            <w:tcMar>
              <w:top w:w="15" w:type="dxa"/>
              <w:left w:w="15" w:type="dxa"/>
              <w:bottom w:w="0" w:type="dxa"/>
              <w:right w:w="57" w:type="dxa"/>
            </w:tcMar>
            <w:vAlign w:val="center"/>
            <w:hideMark/>
          </w:tcPr>
          <w:p w:rsidR="007E1428" w:rsidRPr="00F87064" w:rsidRDefault="007E1428" w:rsidP="00FE0A54">
            <w:pPr>
              <w:pStyle w:val="Tabletext"/>
              <w:jc w:val="center"/>
            </w:pPr>
            <w:r w:rsidRPr="00F87064">
              <w:t>Acceptable</w:t>
            </w:r>
          </w:p>
        </w:tc>
        <w:tc>
          <w:tcPr>
            <w:tcW w:w="1417" w:type="dxa"/>
            <w:shd w:val="clear" w:color="auto" w:fill="66FF66"/>
            <w:tcMar>
              <w:top w:w="15" w:type="dxa"/>
              <w:left w:w="15" w:type="dxa"/>
              <w:bottom w:w="0" w:type="dxa"/>
              <w:right w:w="57" w:type="dxa"/>
            </w:tcMar>
            <w:vAlign w:val="center"/>
            <w:hideMark/>
          </w:tcPr>
          <w:p w:rsidR="007E1428" w:rsidRPr="00F87064" w:rsidRDefault="007E1428" w:rsidP="00FE0A54">
            <w:pPr>
              <w:pStyle w:val="Tabletext"/>
              <w:jc w:val="center"/>
            </w:pPr>
            <w:r w:rsidRPr="00F87064">
              <w:t>Acceptable</w:t>
            </w:r>
          </w:p>
        </w:tc>
        <w:tc>
          <w:tcPr>
            <w:tcW w:w="1559" w:type="dxa"/>
            <w:shd w:val="clear" w:color="auto" w:fill="FFFF00"/>
            <w:tcMar>
              <w:top w:w="15" w:type="dxa"/>
              <w:left w:w="15" w:type="dxa"/>
              <w:bottom w:w="0" w:type="dxa"/>
              <w:right w:w="57" w:type="dxa"/>
            </w:tcMar>
            <w:vAlign w:val="center"/>
            <w:hideMark/>
          </w:tcPr>
          <w:p w:rsidR="007E1428" w:rsidRPr="00F87064" w:rsidRDefault="007E1428" w:rsidP="00FE0A54">
            <w:pPr>
              <w:pStyle w:val="Tabletext"/>
              <w:jc w:val="center"/>
            </w:pPr>
            <w:r w:rsidRPr="00F87064">
              <w:t>Review</w:t>
            </w:r>
          </w:p>
        </w:tc>
      </w:tr>
    </w:tbl>
    <w:p w:rsidR="007E1428" w:rsidRPr="001B7806" w:rsidRDefault="007E1428" w:rsidP="00B045DA">
      <w:pPr>
        <w:pStyle w:val="2Para0"/>
        <w:spacing w:before="120"/>
        <w:jc w:val="center"/>
        <w:rPr>
          <w:b/>
        </w:rPr>
      </w:pPr>
      <w:r w:rsidRPr="001B7806">
        <w:rPr>
          <w:b/>
        </w:rPr>
        <w:t>Table 2: Example Risk Classification/Tolerability Matrix</w:t>
      </w:r>
    </w:p>
    <w:p w:rsidR="007E1428" w:rsidRDefault="007E1428" w:rsidP="007E1428">
      <w:pPr>
        <w:pStyle w:val="2Para0"/>
        <w:numPr>
          <w:ilvl w:val="1"/>
          <w:numId w:val="15"/>
        </w:numPr>
        <w:tabs>
          <w:tab w:val="clear" w:pos="0"/>
        </w:tabs>
      </w:pPr>
      <w:r>
        <w:t>The tolerability of a risk being defined as follows:-</w:t>
      </w:r>
    </w:p>
    <w:p w:rsidR="007E1428" w:rsidRDefault="007E1428" w:rsidP="00B045DA">
      <w:pPr>
        <w:pStyle w:val="2Para0"/>
        <w:spacing w:before="120" w:after="120"/>
        <w:ind w:left="851"/>
      </w:pPr>
      <w:r w:rsidRPr="00616E0D">
        <w:rPr>
          <w:b/>
          <w:bCs/>
        </w:rPr>
        <w:t xml:space="preserve">Acceptable </w:t>
      </w:r>
      <w:r w:rsidRPr="00616E0D">
        <w:t>- the consequence is so unlikely or not severe enough to be of concern. The risk is tolerable and the Safety Objective has been met. However, consideration should be given to reducing the risk further to as low as reasonably practical in order to further minimise the risk of an accident or incident</w:t>
      </w:r>
      <w:r>
        <w:t>.</w:t>
      </w:r>
    </w:p>
    <w:p w:rsidR="007E1428" w:rsidRDefault="007E1428" w:rsidP="00B045DA">
      <w:pPr>
        <w:pStyle w:val="2Para0"/>
        <w:spacing w:before="120" w:after="120"/>
        <w:ind w:left="851"/>
      </w:pPr>
      <w:r w:rsidRPr="00616E0D">
        <w:rPr>
          <w:b/>
          <w:bCs/>
        </w:rPr>
        <w:t xml:space="preserve">Review </w:t>
      </w:r>
      <w:r w:rsidRPr="00616E0D">
        <w:t>- the consequence and/or likelihood is of concern; measures to mitigate the risk to as low as reasonably possible should be sought. Where the risk still lies within the 'Review' region after as low as reasonably possible risk reduction has been undertaken, then the risk may be accepted provided that the risk is understood and has the endorsement of the individual ultimately accountable for safety within the organisation</w:t>
      </w:r>
      <w:r>
        <w:t>.</w:t>
      </w:r>
    </w:p>
    <w:p w:rsidR="007E1428" w:rsidRDefault="007E1428" w:rsidP="00B045DA">
      <w:pPr>
        <w:pStyle w:val="2Para0"/>
        <w:spacing w:before="120" w:after="120"/>
        <w:ind w:left="851"/>
      </w:pPr>
      <w:r w:rsidRPr="00616E0D">
        <w:rPr>
          <w:b/>
          <w:bCs/>
        </w:rPr>
        <w:t xml:space="preserve">Unacceptable </w:t>
      </w:r>
      <w:r w:rsidRPr="00616E0D">
        <w:t>- the likelihood and/or severity of the consequence is intolerable. Major mitigation or redesign of the system may be necessary to reduce the likelihood or severity of the consequences associated with the hazard</w:t>
      </w:r>
      <w:r>
        <w:t xml:space="preserve">. </w:t>
      </w:r>
    </w:p>
    <w:p w:rsidR="007E1428" w:rsidRDefault="007E1428" w:rsidP="00B045DA">
      <w:pPr>
        <w:pStyle w:val="2Para0"/>
        <w:spacing w:before="120" w:after="120"/>
      </w:pPr>
    </w:p>
    <w:p w:rsidR="00770160" w:rsidRDefault="00770160">
      <w:pPr>
        <w:spacing w:before="600"/>
        <w:jc w:val="center"/>
      </w:pPr>
      <w:r>
        <w:lastRenderedPageBreak/>
        <w:t>— END —</w:t>
      </w:r>
    </w:p>
    <w:p w:rsidR="00A12CBA" w:rsidRDefault="00A12CBA">
      <w:pPr>
        <w:spacing w:before="600"/>
        <w:jc w:val="center"/>
      </w:pPr>
    </w:p>
    <w:sectPr w:rsidR="00A12CBA">
      <w:headerReference w:type="even" r:id="rId17"/>
      <w:headerReference w:type="default" r:id="rId18"/>
      <w:headerReference w:type="first" r:id="rId19"/>
      <w:footerReference w:type="first" r:id="rId20"/>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DDD" w:rsidRDefault="00EF7DDD">
      <w:r>
        <w:separator/>
      </w:r>
    </w:p>
  </w:endnote>
  <w:endnote w:type="continuationSeparator" w:id="0">
    <w:p w:rsidR="00EF7DDD" w:rsidRDefault="00EF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D9" w:rsidRDefault="00C039D9">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286740">
      <w:rPr>
        <w:noProof/>
        <w:sz w:val="18"/>
        <w:lang w:val="fr-FR"/>
      </w:rPr>
      <w:t>11</w:t>
    </w:r>
    <w:r>
      <w:rPr>
        <w:sz w:val="18"/>
        <w:lang w:val="en-US"/>
      </w:rPr>
      <w:fldChar w:fldCharType="end"/>
    </w:r>
    <w:r>
      <w:rPr>
        <w:sz w:val="18"/>
        <w:lang w:val="fr-FR"/>
      </w:rPr>
      <w:t xml:space="preserve"> pages)</w:t>
    </w:r>
  </w:p>
  <w:p w:rsidR="00C039D9" w:rsidRPr="00286740" w:rsidRDefault="00C039D9">
    <w:pPr>
      <w:pStyle w:val="Footer"/>
      <w:rPr>
        <w:lang w:val="fr-CA"/>
      </w:rPr>
    </w:pPr>
    <w:r>
      <w:rPr>
        <w:sz w:val="18"/>
        <w:lang w:val="en-US"/>
      </w:rPr>
      <w:fldChar w:fldCharType="begin"/>
    </w:r>
    <w:r w:rsidRPr="00286740">
      <w:rPr>
        <w:sz w:val="18"/>
        <w:lang w:val="fr-CA"/>
      </w:rPr>
      <w:instrText xml:space="preserve"> FILENAME  \* MERGEFORMAT </w:instrText>
    </w:r>
    <w:r>
      <w:rPr>
        <w:sz w:val="18"/>
        <w:lang w:val="en-US"/>
      </w:rPr>
      <w:fldChar w:fldCharType="separate"/>
    </w:r>
    <w:r w:rsidR="00286740" w:rsidRPr="00286740">
      <w:rPr>
        <w:noProof/>
        <w:sz w:val="18"/>
        <w:lang w:val="fr-CA"/>
      </w:rPr>
      <w:t>FSMP-WG02-WP24 Protection.docx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DDD" w:rsidRDefault="00EF7DDD">
      <w:r>
        <w:separator/>
      </w:r>
    </w:p>
  </w:footnote>
  <w:footnote w:type="continuationSeparator" w:id="0">
    <w:p w:rsidR="00EF7DDD" w:rsidRDefault="00EF7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D9" w:rsidRDefault="00C039D9" w:rsidP="00286740">
    <w:pPr>
      <w:tabs>
        <w:tab w:val="center" w:pos="4876"/>
      </w:tabs>
      <w:spacing w:after="600"/>
    </w:pPr>
    <w:r>
      <w:t>FSMP</w:t>
    </w:r>
    <w:r w:rsidR="00286740">
      <w:t xml:space="preserve">-WG/2 </w:t>
    </w:r>
    <w:r>
      <w:t>WP/</w:t>
    </w:r>
    <w:r w:rsidR="00286740">
      <w:t>24</w:t>
    </w:r>
    <w:r>
      <w:tab/>
      <w:t xml:space="preserve">- </w:t>
    </w:r>
    <w:r>
      <w:rPr>
        <w:rStyle w:val="PageNumber"/>
      </w:rPr>
      <w:fldChar w:fldCharType="begin"/>
    </w:r>
    <w:r>
      <w:rPr>
        <w:rStyle w:val="PageNumber"/>
      </w:rPr>
      <w:instrText xml:space="preserve"> PAGE </w:instrText>
    </w:r>
    <w:r>
      <w:rPr>
        <w:rStyle w:val="PageNumber"/>
      </w:rPr>
      <w:fldChar w:fldCharType="separate"/>
    </w:r>
    <w:r w:rsidR="00286740">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D9" w:rsidRDefault="00C039D9" w:rsidP="00286740">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286740">
      <w:rPr>
        <w:rStyle w:val="PageNumber"/>
        <w:noProof/>
      </w:rPr>
      <w:t>3</w:t>
    </w:r>
    <w:r>
      <w:rPr>
        <w:rStyle w:val="PageNumber"/>
      </w:rPr>
      <w:fldChar w:fldCharType="end"/>
    </w:r>
    <w:r>
      <w:rPr>
        <w:rStyle w:val="PageNumber"/>
      </w:rPr>
      <w:t xml:space="preserve"> -</w:t>
    </w:r>
    <w:r>
      <w:rPr>
        <w:rStyle w:val="PageNumber"/>
      </w:rPr>
      <w:tab/>
    </w:r>
    <w:r>
      <w:t>FSMP</w:t>
    </w:r>
    <w:r w:rsidR="00286740">
      <w:t xml:space="preserve">-WG/2 </w:t>
    </w:r>
    <w:r>
      <w:t>WP/</w:t>
    </w:r>
    <w:r w:rsidR="00286740">
      <w:t>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C039D9" w:rsidTr="00664C07">
      <w:trPr>
        <w:trHeight w:val="1790"/>
      </w:trPr>
      <w:tc>
        <w:tcPr>
          <w:tcW w:w="1915" w:type="dxa"/>
          <w:shd w:val="clear" w:color="auto" w:fill="FFFFFF"/>
        </w:tcPr>
        <w:p w:rsidR="00C039D9" w:rsidRDefault="00C039D9" w:rsidP="00664C07">
          <w:bookmarkStart w:id="12" w:name="logo"/>
          <w:r w:rsidRPr="00484298">
            <w:rPr>
              <w:noProof/>
              <w:lang w:eastAsia="zh-CN"/>
            </w:rPr>
            <w:drawing>
              <wp:inline distT="0" distB="0" distL="0" distR="0" wp14:anchorId="34CBA85F" wp14:editId="040723F9">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2"/>
        </w:p>
      </w:tc>
      <w:tc>
        <w:tcPr>
          <w:tcW w:w="3895" w:type="dxa"/>
          <w:shd w:val="clear" w:color="auto" w:fill="FFFFFF"/>
          <w:tcMar>
            <w:right w:w="0" w:type="dxa"/>
          </w:tcMar>
        </w:tcPr>
        <w:p w:rsidR="00C039D9" w:rsidRPr="00066AB7" w:rsidRDefault="00C039D9"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20FBCAAC" wp14:editId="769AD956">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E5F86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C039D9" w:rsidRPr="00066AB7" w:rsidRDefault="00C039D9" w:rsidP="00664C07">
          <w:pPr>
            <w:rPr>
              <w:rFonts w:ascii="Arial" w:hAnsi="Arial" w:cs="Arial"/>
              <w:szCs w:val="22"/>
            </w:rPr>
          </w:pPr>
          <w:r w:rsidRPr="00066AB7">
            <w:rPr>
              <w:rFonts w:ascii="Arial" w:hAnsi="Arial" w:cs="Arial"/>
              <w:szCs w:val="22"/>
            </w:rPr>
            <w:t>International Civil Aviation Organization</w:t>
          </w:r>
        </w:p>
        <w:p w:rsidR="00C039D9" w:rsidRPr="00066AB7" w:rsidRDefault="00C039D9" w:rsidP="00664C07">
          <w:pPr>
            <w:rPr>
              <w:rFonts w:ascii="Arial" w:hAnsi="Arial" w:cs="Arial"/>
              <w:szCs w:val="22"/>
            </w:rPr>
          </w:pPr>
        </w:p>
        <w:p w:rsidR="00C039D9" w:rsidRPr="00066AB7" w:rsidRDefault="00C039D9"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C039D9" w:rsidTr="00664C07">
            <w:trPr>
              <w:jc w:val="right"/>
            </w:trPr>
            <w:tc>
              <w:tcPr>
                <w:tcW w:w="0" w:type="auto"/>
              </w:tcPr>
              <w:p w:rsidR="00C039D9" w:rsidRPr="00066AB7" w:rsidRDefault="00C039D9" w:rsidP="00286740">
                <w:pPr>
                  <w:framePr w:hSpace="180" w:wrap="around" w:vAnchor="text" w:hAnchor="text" w:y="1"/>
                  <w:suppressOverlap/>
                  <w:jc w:val="left"/>
                  <w:rPr>
                    <w:szCs w:val="22"/>
                  </w:rPr>
                </w:pPr>
                <w:bookmarkStart w:id="13" w:name="document_no"/>
                <w:r>
                  <w:rPr>
                    <w:szCs w:val="22"/>
                  </w:rPr>
                  <w:t>FSMP</w:t>
                </w:r>
                <w:r w:rsidR="00286740">
                  <w:rPr>
                    <w:szCs w:val="22"/>
                  </w:rPr>
                  <w:t>-WG</w:t>
                </w:r>
                <w:r w:rsidRPr="00066AB7">
                  <w:rPr>
                    <w:szCs w:val="22"/>
                  </w:rPr>
                  <w:t>/</w:t>
                </w:r>
                <w:r>
                  <w:rPr>
                    <w:szCs w:val="22"/>
                  </w:rPr>
                  <w:t>2</w:t>
                </w:r>
                <w:r w:rsidR="00286740">
                  <w:rPr>
                    <w:szCs w:val="22"/>
                  </w:rPr>
                  <w:t xml:space="preserve"> </w:t>
                </w:r>
                <w:r w:rsidRPr="00066AB7">
                  <w:rPr>
                    <w:szCs w:val="22"/>
                  </w:rPr>
                  <w:t>WP/</w:t>
                </w:r>
                <w:r w:rsidR="00286740">
                  <w:rPr>
                    <w:szCs w:val="22"/>
                  </w:rPr>
                  <w:t>24</w:t>
                </w:r>
                <w:bookmarkEnd w:id="13"/>
              </w:p>
              <w:p w:rsidR="00C039D9" w:rsidRPr="00066AB7" w:rsidRDefault="00286740" w:rsidP="00286740">
                <w:pPr>
                  <w:framePr w:hSpace="180" w:wrap="around" w:vAnchor="text" w:hAnchor="text" w:y="1"/>
                  <w:suppressOverlap/>
                  <w:jc w:val="left"/>
                  <w:rPr>
                    <w:b/>
                  </w:rPr>
                </w:pPr>
                <w:bookmarkStart w:id="14" w:name="restricted"/>
                <w:bookmarkStart w:id="15" w:name="addendum_corrigendum_appendix"/>
                <w:bookmarkStart w:id="16" w:name="revision_no"/>
                <w:bookmarkStart w:id="17" w:name="revision_date"/>
                <w:bookmarkStart w:id="18" w:name="related_to"/>
                <w:bookmarkStart w:id="19" w:name="info_paper"/>
                <w:bookmarkEnd w:id="14"/>
                <w:bookmarkEnd w:id="15"/>
                <w:bookmarkEnd w:id="16"/>
                <w:bookmarkEnd w:id="17"/>
                <w:bookmarkEnd w:id="18"/>
                <w:bookmarkEnd w:id="19"/>
                <w:r>
                  <w:rPr>
                    <w:sz w:val="18"/>
                    <w:szCs w:val="18"/>
                  </w:rPr>
                  <w:t>2016-02-12</w:t>
                </w:r>
              </w:p>
            </w:tc>
          </w:tr>
          <w:tr w:rsidR="00C039D9" w:rsidTr="00664C07">
            <w:trPr>
              <w:jc w:val="right"/>
            </w:trPr>
            <w:tc>
              <w:tcPr>
                <w:tcW w:w="0" w:type="auto"/>
              </w:tcPr>
              <w:p w:rsidR="00C039D9" w:rsidRPr="00066AB7" w:rsidRDefault="00C039D9" w:rsidP="00286740">
                <w:pPr>
                  <w:framePr w:hSpace="180" w:wrap="around" w:vAnchor="text" w:hAnchor="text" w:y="1"/>
                  <w:suppressOverlap/>
                  <w:jc w:val="left"/>
                  <w:rPr>
                    <w:szCs w:val="22"/>
                  </w:rPr>
                </w:pPr>
              </w:p>
            </w:tc>
          </w:tr>
        </w:tbl>
        <w:p w:rsidR="00C039D9" w:rsidRPr="00066AB7" w:rsidRDefault="00C039D9" w:rsidP="00664C07">
          <w:pPr>
            <w:tabs>
              <w:tab w:val="left" w:pos="720"/>
              <w:tab w:val="left" w:pos="1440"/>
              <w:tab w:val="left" w:pos="1800"/>
              <w:tab w:val="left" w:pos="2160"/>
              <w:tab w:val="left" w:pos="2520"/>
              <w:tab w:val="left" w:pos="2880"/>
            </w:tabs>
            <w:ind w:left="4320"/>
            <w:rPr>
              <w:b/>
              <w:sz w:val="18"/>
              <w:szCs w:val="18"/>
            </w:rPr>
          </w:pPr>
        </w:p>
      </w:tc>
    </w:tr>
  </w:tbl>
  <w:p w:rsidR="00C039D9" w:rsidRDefault="00C039D9" w:rsidP="00F1687B">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lvlText w:val="%1)"/>
      <w:lvlJc w:val="left"/>
      <w:pPr>
        <w:tabs>
          <w:tab w:val="num" w:pos="2160"/>
        </w:tabs>
      </w:pPr>
      <w:rPr>
        <w:rFonts w:ascii="Times New Roman" w:hAnsi="Times New Roman" w:cs="Times New Roman"/>
        <w:sz w:val="22"/>
        <w:szCs w:val="22"/>
      </w:rPr>
    </w:lvl>
  </w:abstractNum>
  <w:abstractNum w:abstractNumId="1">
    <w:nsid w:val="02AB1215"/>
    <w:multiLevelType w:val="hybridMultilevel"/>
    <w:tmpl w:val="CC067E9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nsid w:val="13DA4B70"/>
    <w:multiLevelType w:val="hybridMultilevel"/>
    <w:tmpl w:val="9294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680AE5"/>
    <w:multiLevelType w:val="hybridMultilevel"/>
    <w:tmpl w:val="510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950FF"/>
    <w:multiLevelType w:val="hybridMultilevel"/>
    <w:tmpl w:val="22B045F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7">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8">
    <w:nsid w:val="34BF38DA"/>
    <w:multiLevelType w:val="hybridMultilevel"/>
    <w:tmpl w:val="C6BCD27C"/>
    <w:lvl w:ilvl="0" w:tplc="F6969E42">
      <w:start w:val="1"/>
      <w:numFmt w:val="decimal"/>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0">
    <w:nsid w:val="5A860E59"/>
    <w:multiLevelType w:val="hybridMultilevel"/>
    <w:tmpl w:val="3788C2A0"/>
    <w:lvl w:ilvl="0" w:tplc="2BE8D06E">
      <w:start w:val="4"/>
      <w:numFmt w:val="decimal"/>
      <w:lvlText w:val="%1."/>
      <w:lvlJc w:val="left"/>
      <w:pPr>
        <w:ind w:left="144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2">
    <w:nsid w:val="6B5869C6"/>
    <w:multiLevelType w:val="hybridMultilevel"/>
    <w:tmpl w:val="CB9239F0"/>
    <w:lvl w:ilvl="0" w:tplc="19F6726A">
      <w:start w:val="5"/>
      <w:numFmt w:val="bullet"/>
      <w:lvlText w:val="-"/>
      <w:lvlJc w:val="left"/>
      <w:pPr>
        <w:ind w:left="1636" w:hanging="360"/>
      </w:pPr>
      <w:rPr>
        <w:rFonts w:ascii="Times New Roman" w:eastAsia="SimSun" w:hAnsi="Times New Roman" w:hint="default"/>
      </w:rPr>
    </w:lvl>
    <w:lvl w:ilvl="1" w:tplc="08090003" w:tentative="1">
      <w:start w:val="1"/>
      <w:numFmt w:val="bullet"/>
      <w:lvlText w:val="o"/>
      <w:lvlJc w:val="left"/>
      <w:pPr>
        <w:ind w:left="2356" w:hanging="360"/>
      </w:pPr>
      <w:rPr>
        <w:rFonts w:ascii="Courier New" w:hAnsi="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3">
    <w:nsid w:val="6CE97BBE"/>
    <w:multiLevelType w:val="multilevel"/>
    <w:tmpl w:val="074EAB7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nsid w:val="7FD150A6"/>
    <w:multiLevelType w:val="hybridMultilevel"/>
    <w:tmpl w:val="5F6880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11"/>
  </w:num>
  <w:num w:numId="3">
    <w:abstractNumId w:val="6"/>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14"/>
  </w:num>
  <w:num w:numId="9">
    <w:abstractNumId w:val="12"/>
  </w:num>
  <w:num w:numId="10">
    <w:abstractNumId w:val="8"/>
  </w:num>
  <w:num w:numId="11">
    <w:abstractNumId w:val="10"/>
  </w:num>
  <w:num w:numId="12">
    <w:abstractNumId w:val="1"/>
  </w:num>
  <w:num w:numId="13">
    <w:abstractNumId w:val="0"/>
    <w:lvlOverride w:ilvl="0">
      <w:lvl w:ilvl="0">
        <w:start w:val="1"/>
        <w:numFmt w:val="decimal"/>
        <w:lvlText w:val="%1)"/>
        <w:lvlJc w:val="left"/>
        <w:pPr>
          <w:tabs>
            <w:tab w:val="num" w:pos="1800"/>
          </w:tabs>
          <w:ind w:left="1800" w:firstLine="0"/>
        </w:pPr>
        <w:rPr>
          <w:rFonts w:ascii="Times New Roman" w:hAnsi="Times New Roman" w:hint="default"/>
          <w:b w:val="0"/>
          <w:i w:val="0"/>
          <w:sz w:val="22"/>
          <w:szCs w:val="22"/>
        </w:rPr>
      </w:lvl>
    </w:lvlOverride>
  </w:num>
  <w:num w:numId="14">
    <w:abstractNumId w:val="0"/>
    <w:lvlOverride w:ilvl="0">
      <w:lvl w:ilvl="0">
        <w:start w:val="1"/>
        <w:numFmt w:val="decimal"/>
        <w:lvlText w:val="%1)"/>
        <w:lvlJc w:val="left"/>
        <w:pPr>
          <w:tabs>
            <w:tab w:val="num" w:pos="1800"/>
          </w:tabs>
          <w:ind w:left="1800" w:firstLine="0"/>
        </w:pPr>
      </w:lvl>
    </w:lvlOverride>
  </w:num>
  <w:num w:numId="15">
    <w:abstractNumId w:val="7"/>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273D2"/>
    <w:rsid w:val="0004677E"/>
    <w:rsid w:val="00076BFB"/>
    <w:rsid w:val="000B4280"/>
    <w:rsid w:val="000C2D98"/>
    <w:rsid w:val="000D26D5"/>
    <w:rsid w:val="000D6DA8"/>
    <w:rsid w:val="000F46A3"/>
    <w:rsid w:val="001511A0"/>
    <w:rsid w:val="00183AE7"/>
    <w:rsid w:val="00193256"/>
    <w:rsid w:val="00193819"/>
    <w:rsid w:val="001A2E64"/>
    <w:rsid w:val="001C4621"/>
    <w:rsid w:val="001C4BDB"/>
    <w:rsid w:val="001C58D5"/>
    <w:rsid w:val="001D1C21"/>
    <w:rsid w:val="001E1486"/>
    <w:rsid w:val="001E2645"/>
    <w:rsid w:val="001F7895"/>
    <w:rsid w:val="002247A5"/>
    <w:rsid w:val="002379C0"/>
    <w:rsid w:val="00286740"/>
    <w:rsid w:val="002A4E3D"/>
    <w:rsid w:val="002C7EBD"/>
    <w:rsid w:val="002F5FC6"/>
    <w:rsid w:val="00311CB9"/>
    <w:rsid w:val="0032656A"/>
    <w:rsid w:val="00366C76"/>
    <w:rsid w:val="003A34E1"/>
    <w:rsid w:val="003B375C"/>
    <w:rsid w:val="003D7FD8"/>
    <w:rsid w:val="003E45F9"/>
    <w:rsid w:val="00466346"/>
    <w:rsid w:val="004735BC"/>
    <w:rsid w:val="00475464"/>
    <w:rsid w:val="0049280E"/>
    <w:rsid w:val="004D59BC"/>
    <w:rsid w:val="004F594E"/>
    <w:rsid w:val="00563DB3"/>
    <w:rsid w:val="005949EA"/>
    <w:rsid w:val="005E7886"/>
    <w:rsid w:val="00613ACF"/>
    <w:rsid w:val="00625E2A"/>
    <w:rsid w:val="00627A2A"/>
    <w:rsid w:val="00664C07"/>
    <w:rsid w:val="00676D91"/>
    <w:rsid w:val="007070EF"/>
    <w:rsid w:val="00712394"/>
    <w:rsid w:val="00725205"/>
    <w:rsid w:val="00725B25"/>
    <w:rsid w:val="007625A2"/>
    <w:rsid w:val="00770160"/>
    <w:rsid w:val="00773E50"/>
    <w:rsid w:val="007A0C13"/>
    <w:rsid w:val="007E1428"/>
    <w:rsid w:val="00856397"/>
    <w:rsid w:val="00860FB4"/>
    <w:rsid w:val="0086330B"/>
    <w:rsid w:val="00897B82"/>
    <w:rsid w:val="008B54C4"/>
    <w:rsid w:val="008D747D"/>
    <w:rsid w:val="00920C27"/>
    <w:rsid w:val="00951F12"/>
    <w:rsid w:val="009A518B"/>
    <w:rsid w:val="009B2279"/>
    <w:rsid w:val="009D5A7F"/>
    <w:rsid w:val="00A03CFF"/>
    <w:rsid w:val="00A12B00"/>
    <w:rsid w:val="00A12CBA"/>
    <w:rsid w:val="00A232A8"/>
    <w:rsid w:val="00A232B4"/>
    <w:rsid w:val="00A25092"/>
    <w:rsid w:val="00A41CB4"/>
    <w:rsid w:val="00A466E1"/>
    <w:rsid w:val="00A53025"/>
    <w:rsid w:val="00AC2031"/>
    <w:rsid w:val="00AC2634"/>
    <w:rsid w:val="00B20DED"/>
    <w:rsid w:val="00B82112"/>
    <w:rsid w:val="00BB2693"/>
    <w:rsid w:val="00C00322"/>
    <w:rsid w:val="00C039D9"/>
    <w:rsid w:val="00C65492"/>
    <w:rsid w:val="00C75C66"/>
    <w:rsid w:val="00CF72A2"/>
    <w:rsid w:val="00D4479B"/>
    <w:rsid w:val="00D55CCE"/>
    <w:rsid w:val="00D6339D"/>
    <w:rsid w:val="00D64593"/>
    <w:rsid w:val="00DD75C0"/>
    <w:rsid w:val="00DF76D3"/>
    <w:rsid w:val="00E44B33"/>
    <w:rsid w:val="00E478B3"/>
    <w:rsid w:val="00E60D3D"/>
    <w:rsid w:val="00E710E7"/>
    <w:rsid w:val="00E77340"/>
    <w:rsid w:val="00ED62FF"/>
    <w:rsid w:val="00ED77AE"/>
    <w:rsid w:val="00EF7DDD"/>
    <w:rsid w:val="00EF7F66"/>
    <w:rsid w:val="00F04861"/>
    <w:rsid w:val="00F13169"/>
    <w:rsid w:val="00F1687B"/>
    <w:rsid w:val="00F3371E"/>
    <w:rsid w:val="00F520A1"/>
    <w:rsid w:val="00F53717"/>
    <w:rsid w:val="00F549DA"/>
    <w:rsid w:val="00F625B5"/>
    <w:rsid w:val="00F716F2"/>
    <w:rsid w:val="00F77364"/>
    <w:rsid w:val="00F91FCE"/>
    <w:rsid w:val="00FB0867"/>
    <w:rsid w:val="00FC287E"/>
    <w:rsid w:val="00FE28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character" w:styleId="FootnoteReference">
    <w:name w:val="footnote reference"/>
    <w:aliases w:val="Appel note de bas de p,Footnote Reference/"/>
    <w:basedOn w:val="DefaultParagraphFont"/>
    <w:rsid w:val="00F53717"/>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53717"/>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53717"/>
    <w:rPr>
      <w:sz w:val="24"/>
      <w:lang w:eastAsia="en-US"/>
    </w:rPr>
  </w:style>
  <w:style w:type="character" w:customStyle="1" w:styleId="Artref">
    <w:name w:val="Art_ref"/>
    <w:basedOn w:val="DefaultParagraphFont"/>
    <w:rsid w:val="00AC2031"/>
  </w:style>
  <w:style w:type="character" w:customStyle="1" w:styleId="Tablefreq">
    <w:name w:val="Table_freq"/>
    <w:basedOn w:val="DefaultParagraphFont"/>
    <w:rsid w:val="00AC2031"/>
    <w:rPr>
      <w:b/>
      <w:color w:val="auto"/>
      <w:sz w:val="20"/>
    </w:rPr>
  </w:style>
  <w:style w:type="paragraph" w:customStyle="1" w:styleId="TableTextS5">
    <w:name w:val="Table_TextS5"/>
    <w:basedOn w:val="Normal"/>
    <w:rsid w:val="00AC2031"/>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head">
    <w:name w:val="Table_head"/>
    <w:basedOn w:val="Normal"/>
    <w:rsid w:val="00AC2031"/>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character" w:customStyle="1" w:styleId="Artdef">
    <w:name w:val="Art_def"/>
    <w:basedOn w:val="DefaultParagraphFont"/>
    <w:rsid w:val="00F13169"/>
    <w:rPr>
      <w:rFonts w:ascii="Times New Roman" w:hAnsi="Times New Roman"/>
      <w:b/>
    </w:rPr>
  </w:style>
  <w:style w:type="character" w:customStyle="1" w:styleId="ArtrefBold">
    <w:name w:val="Art_ref + Bold"/>
    <w:basedOn w:val="Artref"/>
    <w:rsid w:val="00F13169"/>
    <w:rPr>
      <w:b/>
      <w:bCs/>
      <w:color w:val="auto"/>
    </w:rPr>
  </w:style>
  <w:style w:type="paragraph" w:customStyle="1" w:styleId="Note2">
    <w:name w:val="Note2"/>
    <w:basedOn w:val="Note"/>
    <w:link w:val="Note2Char"/>
    <w:qFormat/>
    <w:rsid w:val="00F13169"/>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basedOn w:val="DefaultParagraphFont"/>
    <w:link w:val="Note2"/>
    <w:rsid w:val="00F13169"/>
    <w:rPr>
      <w:szCs w:val="16"/>
      <w:lang w:eastAsia="en-US"/>
    </w:rPr>
  </w:style>
  <w:style w:type="character" w:customStyle="1" w:styleId="ApprefBold">
    <w:name w:val="App_ref + Bold"/>
    <w:basedOn w:val="DefaultParagraphFont"/>
    <w:qFormat/>
    <w:rsid w:val="00F13169"/>
    <w:rPr>
      <w:b/>
      <w:bCs/>
      <w:color w:val="000000"/>
    </w:rPr>
  </w:style>
  <w:style w:type="paragraph" w:customStyle="1" w:styleId="1Para">
    <w:name w:val="1Para"/>
    <w:basedOn w:val="Normal"/>
    <w:rsid w:val="007E1428"/>
    <w:pPr>
      <w:tabs>
        <w:tab w:val="left" w:pos="1440"/>
      </w:tabs>
      <w:spacing w:before="260" w:after="260"/>
    </w:pPr>
    <w:rPr>
      <w:szCs w:val="22"/>
    </w:rPr>
  </w:style>
  <w:style w:type="paragraph" w:customStyle="1" w:styleId="2Para0">
    <w:name w:val="2Para"/>
    <w:basedOn w:val="Normal"/>
    <w:rsid w:val="007E1428"/>
    <w:pPr>
      <w:tabs>
        <w:tab w:val="left" w:pos="1440"/>
      </w:tabs>
      <w:spacing w:before="260" w:after="260"/>
    </w:pPr>
    <w:rPr>
      <w:szCs w:val="22"/>
    </w:rPr>
  </w:style>
  <w:style w:type="paragraph" w:customStyle="1" w:styleId="3Para0">
    <w:name w:val="3Para"/>
    <w:basedOn w:val="Normal"/>
    <w:rsid w:val="007E1428"/>
    <w:pPr>
      <w:tabs>
        <w:tab w:val="left" w:pos="1440"/>
      </w:tabs>
      <w:autoSpaceDE w:val="0"/>
      <w:autoSpaceDN w:val="0"/>
      <w:adjustRightInd w:val="0"/>
      <w:spacing w:before="260" w:after="260"/>
    </w:pPr>
    <w:rPr>
      <w:szCs w:val="24"/>
    </w:rPr>
  </w:style>
  <w:style w:type="paragraph" w:customStyle="1" w:styleId="4Para0">
    <w:name w:val="4Para"/>
    <w:basedOn w:val="Normal"/>
    <w:rsid w:val="007E1428"/>
    <w:pPr>
      <w:tabs>
        <w:tab w:val="left" w:pos="1440"/>
      </w:tabs>
      <w:spacing w:before="260" w:after="260"/>
    </w:pPr>
    <w:rPr>
      <w:szCs w:val="24"/>
    </w:rPr>
  </w:style>
  <w:style w:type="paragraph" w:customStyle="1" w:styleId="5Para0">
    <w:name w:val="5Para"/>
    <w:basedOn w:val="Normal"/>
    <w:rsid w:val="007E1428"/>
    <w:pPr>
      <w:tabs>
        <w:tab w:val="left" w:pos="1440"/>
      </w:tabs>
      <w:spacing w:before="260" w:after="260"/>
    </w:pPr>
    <w:rPr>
      <w:szCs w:val="24"/>
    </w:rPr>
  </w:style>
  <w:style w:type="paragraph" w:customStyle="1" w:styleId="6Para0">
    <w:name w:val="6Para"/>
    <w:basedOn w:val="Normal"/>
    <w:rsid w:val="007E1428"/>
    <w:pPr>
      <w:tabs>
        <w:tab w:val="left" w:pos="1440"/>
      </w:tabs>
      <w:spacing w:before="260" w:after="260"/>
    </w:pPr>
    <w:rPr>
      <w:szCs w:val="24"/>
    </w:rPr>
  </w:style>
  <w:style w:type="paragraph" w:customStyle="1" w:styleId="7Para0">
    <w:name w:val="7Para"/>
    <w:basedOn w:val="Normal"/>
    <w:rsid w:val="007E1428"/>
    <w:pPr>
      <w:tabs>
        <w:tab w:val="left" w:pos="1440"/>
      </w:tabs>
      <w:spacing w:before="260" w:after="260"/>
    </w:pPr>
    <w:rPr>
      <w:szCs w:val="24"/>
    </w:rPr>
  </w:style>
  <w:style w:type="paragraph" w:customStyle="1" w:styleId="8Para0">
    <w:name w:val="8Para"/>
    <w:basedOn w:val="Normal"/>
    <w:rsid w:val="007E1428"/>
    <w:pPr>
      <w:tabs>
        <w:tab w:val="left" w:pos="1440"/>
      </w:tabs>
      <w:spacing w:before="260" w:after="260"/>
    </w:pPr>
    <w:rPr>
      <w:szCs w:val="24"/>
    </w:rPr>
  </w:style>
  <w:style w:type="paragraph" w:customStyle="1" w:styleId="TitleMain">
    <w:name w:val="TitleMain"/>
    <w:basedOn w:val="Normal"/>
    <w:rsid w:val="007E1428"/>
    <w:pPr>
      <w:widowControl w:val="0"/>
      <w:autoSpaceDE w:val="0"/>
      <w:autoSpaceDN w:val="0"/>
      <w:adjustRightInd w:val="0"/>
      <w:ind w:left="1080" w:right="1080"/>
      <w:jc w:val="center"/>
    </w:pPr>
    <w:rPr>
      <w:b/>
      <w:szCs w:val="22"/>
    </w:rPr>
  </w:style>
  <w:style w:type="paragraph" w:customStyle="1" w:styleId="Tabletext">
    <w:name w:val="Table_text"/>
    <w:basedOn w:val="Normal"/>
    <w:link w:val="TabletextChar"/>
    <w:rsid w:val="007E142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rPr>
  </w:style>
  <w:style w:type="character" w:customStyle="1" w:styleId="TabletextChar">
    <w:name w:val="Table_text Char"/>
    <w:link w:val="Tabletext"/>
    <w:locked/>
    <w:rsid w:val="007E1428"/>
    <w:rPr>
      <w:lang w:eastAsia="en-US"/>
    </w:rPr>
  </w:style>
  <w:style w:type="paragraph" w:customStyle="1" w:styleId="enumlev1">
    <w:name w:val="enumlev1"/>
    <w:basedOn w:val="Normal"/>
    <w:rsid w:val="007E1428"/>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paragraph" w:customStyle="1" w:styleId="enumlev2">
    <w:name w:val="enumlev2"/>
    <w:basedOn w:val="enumlev1"/>
    <w:rsid w:val="007E1428"/>
    <w:pPr>
      <w:ind w:left="1871" w:hanging="737"/>
    </w:pPr>
  </w:style>
  <w:style w:type="paragraph" w:styleId="BalloonText">
    <w:name w:val="Balloon Text"/>
    <w:basedOn w:val="Normal"/>
    <w:link w:val="BalloonTextChar"/>
    <w:rsid w:val="00286740"/>
    <w:rPr>
      <w:rFonts w:ascii="Tahoma" w:hAnsi="Tahoma" w:cs="Tahoma"/>
      <w:sz w:val="16"/>
      <w:szCs w:val="16"/>
    </w:rPr>
  </w:style>
  <w:style w:type="character" w:customStyle="1" w:styleId="BalloonTextChar">
    <w:name w:val="Balloon Text Char"/>
    <w:basedOn w:val="DefaultParagraphFont"/>
    <w:link w:val="BalloonText"/>
    <w:rsid w:val="0028674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character" w:styleId="FootnoteReference">
    <w:name w:val="footnote reference"/>
    <w:aliases w:val="Appel note de bas de p,Footnote Reference/"/>
    <w:basedOn w:val="DefaultParagraphFont"/>
    <w:rsid w:val="00F53717"/>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53717"/>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53717"/>
    <w:rPr>
      <w:sz w:val="24"/>
      <w:lang w:eastAsia="en-US"/>
    </w:rPr>
  </w:style>
  <w:style w:type="character" w:customStyle="1" w:styleId="Artref">
    <w:name w:val="Art_ref"/>
    <w:basedOn w:val="DefaultParagraphFont"/>
    <w:rsid w:val="00AC2031"/>
  </w:style>
  <w:style w:type="character" w:customStyle="1" w:styleId="Tablefreq">
    <w:name w:val="Table_freq"/>
    <w:basedOn w:val="DefaultParagraphFont"/>
    <w:rsid w:val="00AC2031"/>
    <w:rPr>
      <w:b/>
      <w:color w:val="auto"/>
      <w:sz w:val="20"/>
    </w:rPr>
  </w:style>
  <w:style w:type="paragraph" w:customStyle="1" w:styleId="TableTextS5">
    <w:name w:val="Table_TextS5"/>
    <w:basedOn w:val="Normal"/>
    <w:rsid w:val="00AC2031"/>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head">
    <w:name w:val="Table_head"/>
    <w:basedOn w:val="Normal"/>
    <w:rsid w:val="00AC2031"/>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character" w:customStyle="1" w:styleId="Artdef">
    <w:name w:val="Art_def"/>
    <w:basedOn w:val="DefaultParagraphFont"/>
    <w:rsid w:val="00F13169"/>
    <w:rPr>
      <w:rFonts w:ascii="Times New Roman" w:hAnsi="Times New Roman"/>
      <w:b/>
    </w:rPr>
  </w:style>
  <w:style w:type="character" w:customStyle="1" w:styleId="ArtrefBold">
    <w:name w:val="Art_ref + Bold"/>
    <w:basedOn w:val="Artref"/>
    <w:rsid w:val="00F13169"/>
    <w:rPr>
      <w:b/>
      <w:bCs/>
      <w:color w:val="auto"/>
    </w:rPr>
  </w:style>
  <w:style w:type="paragraph" w:customStyle="1" w:styleId="Note2">
    <w:name w:val="Note2"/>
    <w:basedOn w:val="Note"/>
    <w:link w:val="Note2Char"/>
    <w:qFormat/>
    <w:rsid w:val="00F13169"/>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basedOn w:val="DefaultParagraphFont"/>
    <w:link w:val="Note2"/>
    <w:rsid w:val="00F13169"/>
    <w:rPr>
      <w:szCs w:val="16"/>
      <w:lang w:eastAsia="en-US"/>
    </w:rPr>
  </w:style>
  <w:style w:type="character" w:customStyle="1" w:styleId="ApprefBold">
    <w:name w:val="App_ref + Bold"/>
    <w:basedOn w:val="DefaultParagraphFont"/>
    <w:qFormat/>
    <w:rsid w:val="00F13169"/>
    <w:rPr>
      <w:b/>
      <w:bCs/>
      <w:color w:val="000000"/>
    </w:rPr>
  </w:style>
  <w:style w:type="paragraph" w:customStyle="1" w:styleId="1Para">
    <w:name w:val="1Para"/>
    <w:basedOn w:val="Normal"/>
    <w:rsid w:val="007E1428"/>
    <w:pPr>
      <w:tabs>
        <w:tab w:val="left" w:pos="1440"/>
      </w:tabs>
      <w:spacing w:before="260" w:after="260"/>
    </w:pPr>
    <w:rPr>
      <w:szCs w:val="22"/>
    </w:rPr>
  </w:style>
  <w:style w:type="paragraph" w:customStyle="1" w:styleId="2Para0">
    <w:name w:val="2Para"/>
    <w:basedOn w:val="Normal"/>
    <w:rsid w:val="007E1428"/>
    <w:pPr>
      <w:tabs>
        <w:tab w:val="left" w:pos="1440"/>
      </w:tabs>
      <w:spacing w:before="260" w:after="260"/>
    </w:pPr>
    <w:rPr>
      <w:szCs w:val="22"/>
    </w:rPr>
  </w:style>
  <w:style w:type="paragraph" w:customStyle="1" w:styleId="3Para0">
    <w:name w:val="3Para"/>
    <w:basedOn w:val="Normal"/>
    <w:rsid w:val="007E1428"/>
    <w:pPr>
      <w:tabs>
        <w:tab w:val="left" w:pos="1440"/>
      </w:tabs>
      <w:autoSpaceDE w:val="0"/>
      <w:autoSpaceDN w:val="0"/>
      <w:adjustRightInd w:val="0"/>
      <w:spacing w:before="260" w:after="260"/>
    </w:pPr>
    <w:rPr>
      <w:szCs w:val="24"/>
    </w:rPr>
  </w:style>
  <w:style w:type="paragraph" w:customStyle="1" w:styleId="4Para0">
    <w:name w:val="4Para"/>
    <w:basedOn w:val="Normal"/>
    <w:rsid w:val="007E1428"/>
    <w:pPr>
      <w:tabs>
        <w:tab w:val="left" w:pos="1440"/>
      </w:tabs>
      <w:spacing w:before="260" w:after="260"/>
    </w:pPr>
    <w:rPr>
      <w:szCs w:val="24"/>
    </w:rPr>
  </w:style>
  <w:style w:type="paragraph" w:customStyle="1" w:styleId="5Para0">
    <w:name w:val="5Para"/>
    <w:basedOn w:val="Normal"/>
    <w:rsid w:val="007E1428"/>
    <w:pPr>
      <w:tabs>
        <w:tab w:val="left" w:pos="1440"/>
      </w:tabs>
      <w:spacing w:before="260" w:after="260"/>
    </w:pPr>
    <w:rPr>
      <w:szCs w:val="24"/>
    </w:rPr>
  </w:style>
  <w:style w:type="paragraph" w:customStyle="1" w:styleId="6Para0">
    <w:name w:val="6Para"/>
    <w:basedOn w:val="Normal"/>
    <w:rsid w:val="007E1428"/>
    <w:pPr>
      <w:tabs>
        <w:tab w:val="left" w:pos="1440"/>
      </w:tabs>
      <w:spacing w:before="260" w:after="260"/>
    </w:pPr>
    <w:rPr>
      <w:szCs w:val="24"/>
    </w:rPr>
  </w:style>
  <w:style w:type="paragraph" w:customStyle="1" w:styleId="7Para0">
    <w:name w:val="7Para"/>
    <w:basedOn w:val="Normal"/>
    <w:rsid w:val="007E1428"/>
    <w:pPr>
      <w:tabs>
        <w:tab w:val="left" w:pos="1440"/>
      </w:tabs>
      <w:spacing w:before="260" w:after="260"/>
    </w:pPr>
    <w:rPr>
      <w:szCs w:val="24"/>
    </w:rPr>
  </w:style>
  <w:style w:type="paragraph" w:customStyle="1" w:styleId="8Para0">
    <w:name w:val="8Para"/>
    <w:basedOn w:val="Normal"/>
    <w:rsid w:val="007E1428"/>
    <w:pPr>
      <w:tabs>
        <w:tab w:val="left" w:pos="1440"/>
      </w:tabs>
      <w:spacing w:before="260" w:after="260"/>
    </w:pPr>
    <w:rPr>
      <w:szCs w:val="24"/>
    </w:rPr>
  </w:style>
  <w:style w:type="paragraph" w:customStyle="1" w:styleId="TitleMain">
    <w:name w:val="TitleMain"/>
    <w:basedOn w:val="Normal"/>
    <w:rsid w:val="007E1428"/>
    <w:pPr>
      <w:widowControl w:val="0"/>
      <w:autoSpaceDE w:val="0"/>
      <w:autoSpaceDN w:val="0"/>
      <w:adjustRightInd w:val="0"/>
      <w:ind w:left="1080" w:right="1080"/>
      <w:jc w:val="center"/>
    </w:pPr>
    <w:rPr>
      <w:b/>
      <w:szCs w:val="22"/>
    </w:rPr>
  </w:style>
  <w:style w:type="paragraph" w:customStyle="1" w:styleId="Tabletext">
    <w:name w:val="Table_text"/>
    <w:basedOn w:val="Normal"/>
    <w:link w:val="TabletextChar"/>
    <w:rsid w:val="007E142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rPr>
  </w:style>
  <w:style w:type="character" w:customStyle="1" w:styleId="TabletextChar">
    <w:name w:val="Table_text Char"/>
    <w:link w:val="Tabletext"/>
    <w:locked/>
    <w:rsid w:val="007E1428"/>
    <w:rPr>
      <w:lang w:eastAsia="en-US"/>
    </w:rPr>
  </w:style>
  <w:style w:type="paragraph" w:customStyle="1" w:styleId="enumlev1">
    <w:name w:val="enumlev1"/>
    <w:basedOn w:val="Normal"/>
    <w:rsid w:val="007E1428"/>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paragraph" w:customStyle="1" w:styleId="enumlev2">
    <w:name w:val="enumlev2"/>
    <w:basedOn w:val="enumlev1"/>
    <w:rsid w:val="007E1428"/>
    <w:pPr>
      <w:ind w:left="1871" w:hanging="737"/>
    </w:pPr>
  </w:style>
  <w:style w:type="paragraph" w:styleId="BalloonText">
    <w:name w:val="Balloon Text"/>
    <w:basedOn w:val="Normal"/>
    <w:link w:val="BalloonTextChar"/>
    <w:rsid w:val="00286740"/>
    <w:rPr>
      <w:rFonts w:ascii="Tahoma" w:hAnsi="Tahoma" w:cs="Tahoma"/>
      <w:sz w:val="16"/>
      <w:szCs w:val="16"/>
    </w:rPr>
  </w:style>
  <w:style w:type="character" w:customStyle="1" w:styleId="BalloonTextChar">
    <w:name w:val="Balloon Text Char"/>
    <w:basedOn w:val="DefaultParagraphFont"/>
    <w:link w:val="BalloonText"/>
    <w:rsid w:val="0028674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Program%20Files/Default%20Company%20Name/ICAOMainMenuSetup/Icons/icaologo.jp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EC7DD-E2F3-40F5-9238-52C570BDAFD5}"/>
</file>

<file path=customXml/itemProps2.xml><?xml version="1.0" encoding="utf-8"?>
<ds:datastoreItem xmlns:ds="http://schemas.openxmlformats.org/officeDocument/2006/customXml" ds:itemID="{286874F4-ABAD-48A8-B6E0-9840D11064CC}"/>
</file>

<file path=customXml/itemProps3.xml><?xml version="1.0" encoding="utf-8"?>
<ds:datastoreItem xmlns:ds="http://schemas.openxmlformats.org/officeDocument/2006/customXml" ds:itemID="{58935C20-4399-4226-A12E-56593F294005}"/>
</file>

<file path=customXml/itemProps4.xml><?xml version="1.0" encoding="utf-8"?>
<ds:datastoreItem xmlns:ds="http://schemas.openxmlformats.org/officeDocument/2006/customXml" ds:itemID="{C2B3140C-8E59-41C9-BED5-DB5674022D91}"/>
</file>

<file path=docProps/app.xml><?xml version="1.0" encoding="utf-8"?>
<Properties xmlns="http://schemas.openxmlformats.org/officeDocument/2006/extended-properties" xmlns:vt="http://schemas.openxmlformats.org/officeDocument/2006/docPropsVTypes">
  <Template>ATMRPP_WG_WHL_1.dot</Template>
  <TotalTime>3</TotalTime>
  <Pages>11</Pages>
  <Words>2667</Words>
  <Characters>14085</Characters>
  <Application>Microsoft Office Word</Application>
  <DocSecurity>0</DocSecurity>
  <Lines>328</Lines>
  <Paragraphs>140</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Jonasson2</cp:lastModifiedBy>
  <cp:revision>3</cp:revision>
  <cp:lastPrinted>2005-03-16T13:26:00Z</cp:lastPrinted>
  <dcterms:created xsi:type="dcterms:W3CDTF">2016-02-12T10:51:00Z</dcterms:created>
  <dcterms:modified xsi:type="dcterms:W3CDTF">2016-02-12T16:35:00Z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