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proofErr w:type="gramStart"/>
      <w:r w:rsidR="00050E23">
        <w:rPr>
          <w:lang w:val="sv-SE"/>
        </w:rPr>
        <w:t xml:space="preserve">a  </w:t>
      </w:r>
      <w:r>
        <w:rPr>
          <w:lang w:val="sv-SE"/>
        </w:rPr>
        <w:t>:</w:t>
      </w:r>
      <w:proofErr w:type="gramEnd"/>
      <w:r>
        <w:rPr>
          <w:lang w:val="sv-SE"/>
        </w:rPr>
        <w:tab/>
      </w:r>
      <w:r w:rsidR="00BD0D8E">
        <w:rPr>
          <w:lang w:val="sv-SE"/>
        </w:rPr>
        <w:t xml:space="preserve">ICAO WRC-19 Position – </w:t>
      </w:r>
      <w:proofErr w:type="spellStart"/>
      <w:r w:rsidR="00BD0D8E">
        <w:rPr>
          <w:lang w:val="sv-SE"/>
        </w:rPr>
        <w:t>Updates</w:t>
      </w:r>
      <w:proofErr w:type="spellEnd"/>
      <w:r w:rsidR="00BD0D8E">
        <w:rPr>
          <w:lang w:val="sv-SE"/>
        </w:rPr>
        <w:t xml:space="preserve">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0AB5C332" w:rsidR="00770160" w:rsidRDefault="00BD0D8E">
      <w:pPr>
        <w:pStyle w:val="Maintitle"/>
      </w:pPr>
      <w:proofErr w:type="spellStart"/>
      <w:r>
        <w:t>Porposed</w:t>
      </w:r>
      <w:proofErr w:type="spellEnd"/>
      <w:r>
        <w:t xml:space="preserve"> Updates to the ICAO WRC-19 Position on Agenda item </w:t>
      </w:r>
      <w:r w:rsidR="0097397F">
        <w:t>9.1.4</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 xml:space="preserve">John </w:t>
      </w:r>
      <w:proofErr w:type="spellStart"/>
      <w:r w:rsidR="008E132E">
        <w:t>Mettrop</w:t>
      </w:r>
      <w:proofErr w:type="spellEnd"/>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67CCDF1E" w:rsidR="00770160" w:rsidRDefault="00BD0D8E">
            <w:pPr>
              <w:rPr>
                <w:lang w:val="en-US"/>
              </w:rPr>
            </w:pPr>
            <w:r>
              <w:rPr>
                <w:lang w:val="en-US"/>
              </w:rPr>
              <w:t xml:space="preserve">This paper proposes that the ICAO position </w:t>
            </w:r>
            <w:r w:rsidR="00E209C6">
              <w:rPr>
                <w:lang w:val="en-US"/>
              </w:rPr>
              <w:t xml:space="preserve">on agenda item </w:t>
            </w:r>
            <w:r w:rsidR="0097397F">
              <w:rPr>
                <w:lang w:val="en-US"/>
              </w:rPr>
              <w:t>9.1.4</w:t>
            </w:r>
            <w:r w:rsidR="00E209C6">
              <w:rPr>
                <w:lang w:val="en-US"/>
              </w:rPr>
              <w:t xml:space="preserve"> </w:t>
            </w:r>
            <w:r>
              <w:rPr>
                <w:lang w:val="en-US"/>
              </w:rPr>
              <w:t xml:space="preserve">should be updated to </w:t>
            </w:r>
            <w:proofErr w:type="spellStart"/>
            <w:r>
              <w:rPr>
                <w:lang w:val="en-US"/>
              </w:rPr>
              <w:t>relect</w:t>
            </w:r>
            <w:proofErr w:type="spellEnd"/>
            <w:r>
              <w:rPr>
                <w:lang w:val="en-US"/>
              </w:rPr>
              <w:t xml:space="preserve"> the current results of studies</w:t>
            </w:r>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2F08E701" w:rsidR="00EC428C" w:rsidRDefault="00144FF5" w:rsidP="00EC428C">
      <w:pPr>
        <w:pStyle w:val="2para"/>
        <w:numPr>
          <w:ilvl w:val="1"/>
          <w:numId w:val="1"/>
        </w:numPr>
        <w:tabs>
          <w:tab w:val="clear" w:pos="720"/>
        </w:tabs>
        <w:ind w:left="0" w:hanging="11"/>
      </w:pPr>
      <w:r>
        <w:t xml:space="preserve">Space planes or sub-orbital vehicles are an emerging industry that, if successful, could provide significant commercial advantage in a number of areas such as reduced flight times for </w:t>
      </w:r>
      <w:proofErr w:type="spellStart"/>
      <w:r>
        <w:t>longhaul</w:t>
      </w:r>
      <w:proofErr w:type="spellEnd"/>
      <w:r>
        <w:t xml:space="preserve"> commercial flights and reduced costs of satellite launches when compared to current alternative</w:t>
      </w:r>
      <w:r w:rsidR="003F6EA0">
        <w:t>.</w:t>
      </w:r>
      <w:r>
        <w:t xml:space="preserve">  Studies to date have indicated that whilst current aeronautical systems could support the safe operation of such vehicles however, there would be an impact </w:t>
      </w:r>
      <w:proofErr w:type="gramStart"/>
      <w:r>
        <w:t>on  capacity</w:t>
      </w:r>
      <w:proofErr w:type="gramEnd"/>
      <w:r>
        <w:t xml:space="preserve"> which would fairly quickly become unacceptable for existing aeronautical operations.</w:t>
      </w:r>
    </w:p>
    <w:p w14:paraId="5A75A6F4" w14:textId="3099EDF3" w:rsidR="00884F38" w:rsidRPr="00884F38" w:rsidRDefault="00144FF5" w:rsidP="003B5603">
      <w:pPr>
        <w:pStyle w:val="2para"/>
        <w:numPr>
          <w:ilvl w:val="1"/>
          <w:numId w:val="1"/>
        </w:numPr>
        <w:tabs>
          <w:tab w:val="clear" w:pos="720"/>
        </w:tabs>
        <w:ind w:left="0" w:hanging="11"/>
        <w:rPr>
          <w:i/>
          <w:color w:val="444444"/>
          <w:szCs w:val="22"/>
          <w:lang w:val="en" w:eastAsia="en-GB"/>
        </w:rPr>
      </w:pPr>
      <w:r>
        <w:t xml:space="preserve">The way forward support is to obtain a future WRC agenda item, preferable for WRC-23, that will allow the additional spectral requirement to be </w:t>
      </w:r>
      <w:proofErr w:type="spellStart"/>
      <w:r>
        <w:t>quatified</w:t>
      </w:r>
      <w:proofErr w:type="spellEnd"/>
      <w:r>
        <w:t xml:space="preserve"> and addressed</w:t>
      </w:r>
      <w:r w:rsidR="003F6EA0">
        <w:t xml:space="preserve"> It is therefore </w:t>
      </w:r>
      <w:r w:rsidR="003B5603">
        <w:t xml:space="preserve">proposed </w:t>
      </w:r>
      <w:r w:rsidR="008050EF">
        <w:t>that th</w:t>
      </w:r>
      <w:r w:rsidR="003B5603">
        <w:t xml:space="preserve">e modified ICAO </w:t>
      </w:r>
      <w:proofErr w:type="spellStart"/>
      <w:r w:rsidR="003B5603">
        <w:t>postion</w:t>
      </w:r>
      <w:proofErr w:type="spellEnd"/>
      <w:r w:rsidR="003B5603">
        <w:t xml:space="preserve"> carried forward from the previous meeting on this agenda item </w:t>
      </w:r>
      <w:r w:rsidR="008050EF">
        <w:t xml:space="preserve">be further amended </w:t>
      </w:r>
      <w:r w:rsidR="003B5603">
        <w:t>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512F88CC" w14:textId="77777777" w:rsidR="00BD0D8E" w:rsidRPr="00617EAC" w:rsidRDefault="00BD0D8E" w:rsidP="00BD0D8E">
      <w:pPr>
        <w:rPr>
          <w:sz w:val="20"/>
        </w:rPr>
      </w:pPr>
    </w:p>
    <w:p w14:paraId="4B077943" w14:textId="77777777" w:rsidR="008050EF" w:rsidRDefault="008050EF" w:rsidP="008050EF">
      <w:pPr>
        <w:pStyle w:val="BodyText"/>
        <w:spacing w:before="4"/>
        <w:rPr>
          <w:b/>
          <w:sz w:val="23"/>
        </w:rPr>
      </w:pPr>
    </w:p>
    <w:p w14:paraId="78C3EA56" w14:textId="77777777" w:rsidR="008050EF" w:rsidRDefault="008050EF" w:rsidP="008050EF">
      <w:pPr>
        <w:pStyle w:val="BodyText"/>
        <w:spacing w:line="20" w:lineRule="exact"/>
        <w:ind w:left="2221"/>
        <w:rPr>
          <w:sz w:val="2"/>
        </w:rPr>
      </w:pPr>
      <w:r>
        <w:rPr>
          <w:noProof/>
          <w:sz w:val="2"/>
        </w:rPr>
        <mc:AlternateContent>
          <mc:Choice Requires="wpg">
            <w:drawing>
              <wp:inline distT="0" distB="0" distL="0" distR="0" wp14:anchorId="6BD7FB9E" wp14:editId="57DCC1A0">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98A49C"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14:paraId="0F01CDC5" w14:textId="1C792398" w:rsidR="008050EF" w:rsidRDefault="008050EF" w:rsidP="008050EF">
      <w:pPr>
        <w:pStyle w:val="Heading1"/>
        <w:spacing w:before="20" w:after="21"/>
        <w:ind w:left="1837" w:right="1855"/>
      </w:pPr>
      <w:r>
        <w:t xml:space="preserve">WRC-19 Agenda Item </w:t>
      </w:r>
      <w:r w:rsidR="008F7124">
        <w:t>9.1</w:t>
      </w:r>
    </w:p>
    <w:p w14:paraId="533FC107" w14:textId="77777777" w:rsidR="008050EF" w:rsidRDefault="008050EF" w:rsidP="008050EF">
      <w:pPr>
        <w:pStyle w:val="BodyText"/>
        <w:spacing w:line="20" w:lineRule="exact"/>
        <w:ind w:left="2221"/>
        <w:rPr>
          <w:sz w:val="2"/>
        </w:rPr>
      </w:pPr>
      <w:r>
        <w:rPr>
          <w:noProof/>
          <w:sz w:val="2"/>
        </w:rPr>
        <mc:AlternateContent>
          <mc:Choice Requires="wpg">
            <w:drawing>
              <wp:inline distT="0" distB="0" distL="0" distR="0" wp14:anchorId="4AFD0040" wp14:editId="66FF6B05">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FA6195"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4FDD07CD" w14:textId="77777777" w:rsidR="008050EF" w:rsidRDefault="008050EF" w:rsidP="008050EF">
      <w:pPr>
        <w:pStyle w:val="BodyText"/>
        <w:rPr>
          <w:b/>
          <w:sz w:val="19"/>
        </w:rPr>
      </w:pPr>
    </w:p>
    <w:p w14:paraId="70AA17E5" w14:textId="77777777" w:rsidR="0097397F" w:rsidRDefault="0097397F" w:rsidP="0097397F">
      <w:pPr>
        <w:spacing w:before="91"/>
        <w:ind w:left="100"/>
        <w:rPr>
          <w:b/>
        </w:rPr>
      </w:pPr>
      <w:r>
        <w:rPr>
          <w:b/>
        </w:rPr>
        <w:t>Agenda Item Title:</w:t>
      </w:r>
    </w:p>
    <w:p w14:paraId="48639D7C" w14:textId="77777777" w:rsidR="0097397F" w:rsidRDefault="0097397F" w:rsidP="0097397F">
      <w:pPr>
        <w:pStyle w:val="BodyText"/>
        <w:spacing w:before="11"/>
        <w:rPr>
          <w:b/>
          <w:sz w:val="21"/>
        </w:rPr>
      </w:pPr>
    </w:p>
    <w:p w14:paraId="309D6A1A" w14:textId="77777777" w:rsidR="0097397F" w:rsidRDefault="0097397F" w:rsidP="0097397F">
      <w:pPr>
        <w:ind w:left="100"/>
        <w:rPr>
          <w:b/>
        </w:rPr>
      </w:pPr>
      <w:r>
        <w:rPr>
          <w:b/>
        </w:rPr>
        <w:t>To consider and approve the report of the Director of the Radiocommunication Bureau, in accordance with Article 7 of the Convention:</w:t>
      </w:r>
    </w:p>
    <w:p w14:paraId="21FC28EF" w14:textId="77777777" w:rsidR="0097397F" w:rsidRDefault="0097397F" w:rsidP="0097397F">
      <w:pPr>
        <w:pStyle w:val="BodyText"/>
        <w:rPr>
          <w:b/>
        </w:rPr>
      </w:pPr>
    </w:p>
    <w:p w14:paraId="61BB2938" w14:textId="77777777" w:rsidR="0097397F" w:rsidRDefault="0097397F" w:rsidP="0097397F">
      <w:pPr>
        <w:ind w:left="100"/>
        <w:rPr>
          <w:b/>
        </w:rPr>
      </w:pPr>
      <w:r>
        <w:rPr>
          <w:b/>
        </w:rPr>
        <w:t>On the activities of the Radiocommunication Sector since WRC-15.</w:t>
      </w:r>
    </w:p>
    <w:p w14:paraId="642945B9" w14:textId="77777777" w:rsidR="0097397F" w:rsidRDefault="0097397F" w:rsidP="0097397F">
      <w:pPr>
        <w:pStyle w:val="BodyText"/>
        <w:spacing w:before="6"/>
        <w:rPr>
          <w:b/>
          <w:sz w:val="21"/>
        </w:rPr>
      </w:pPr>
    </w:p>
    <w:p w14:paraId="59CACD6A" w14:textId="77777777" w:rsidR="0097397F" w:rsidRDefault="0097397F" w:rsidP="0097397F">
      <w:pPr>
        <w:pStyle w:val="Heading1"/>
        <w:spacing w:before="91"/>
      </w:pPr>
      <w:r>
        <w:t>Issue 9.1.4:</w:t>
      </w:r>
    </w:p>
    <w:p w14:paraId="54373725" w14:textId="77777777" w:rsidR="0097397F" w:rsidRDefault="0097397F" w:rsidP="0097397F">
      <w:pPr>
        <w:pStyle w:val="BodyText"/>
        <w:spacing w:before="11"/>
        <w:rPr>
          <w:b/>
          <w:sz w:val="21"/>
        </w:rPr>
      </w:pPr>
    </w:p>
    <w:p w14:paraId="654B65E6" w14:textId="77777777" w:rsidR="0097397F" w:rsidRDefault="0097397F" w:rsidP="0097397F">
      <w:pPr>
        <w:spacing w:line="480" w:lineRule="auto"/>
        <w:ind w:left="100" w:right="3275"/>
        <w:rPr>
          <w:b/>
        </w:rPr>
      </w:pPr>
      <w:r>
        <w:rPr>
          <w:b/>
        </w:rPr>
        <w:t>Resolution 763 (WRC-15) – Stations on board sub-orbital vehicles Discussion:</w:t>
      </w:r>
    </w:p>
    <w:p w14:paraId="18911222" w14:textId="380463E1" w:rsidR="0097397F" w:rsidRDefault="0097397F" w:rsidP="0097397F">
      <w:pPr>
        <w:pStyle w:val="BodyText"/>
        <w:spacing w:before="2"/>
        <w:ind w:left="100" w:right="117"/>
        <w:jc w:val="both"/>
      </w:pPr>
      <w:r>
        <w:t>Sub-orbital vehicles, including space planes, have been developed to reach altitudes and velocities that are much higher than conventional aircraft. Re-usable sub-orbital vehicles that launch like traditional rockets have become routine</w:t>
      </w:r>
      <w:r w:rsidRPr="00144FF5">
        <w:rPr>
          <w:highlight w:val="cyan"/>
        </w:rPr>
        <w:t>. H</w:t>
      </w:r>
      <w:r>
        <w:t>owever, with the advances in technology, re-useable space vehicles that routinely take off and land on a traditional runway are close to becoming a reality with a number of companies actually testing vehicles. These vehicles perform various missions, such as deploying a space vehicle, conducting scientific research, carrying passengers and cargo, and then return to Earth’s surface. It is expected that such vehicles will provide hypersonic travel that could cut the time taken to travel from Europe to Australia from approximately 24 hours to 90</w:t>
      </w:r>
      <w:r>
        <w:rPr>
          <w:spacing w:val="-28"/>
        </w:rPr>
        <w:t xml:space="preserve"> </w:t>
      </w:r>
      <w:r>
        <w:t>minutes.</w:t>
      </w:r>
    </w:p>
    <w:p w14:paraId="10715335" w14:textId="77777777" w:rsidR="0097397F" w:rsidRDefault="0097397F" w:rsidP="0097397F">
      <w:pPr>
        <w:pStyle w:val="BodyText"/>
      </w:pPr>
    </w:p>
    <w:p w14:paraId="3707733A" w14:textId="45B7AEB0" w:rsidR="00B63335" w:rsidRDefault="0097397F" w:rsidP="0097397F">
      <w:pPr>
        <w:pStyle w:val="BodyText"/>
        <w:spacing w:before="5"/>
      </w:pPr>
      <w:r>
        <w:t xml:space="preserve">The introduction of such vehicles will bring a number of challenges to the spectrum and frequency management communities. Sub-orbital vehicles must safely share airspace used by conventional aircraft during certain phases of flight. There is a need to track and communicate with the sub-orbital vehicle for the entire duration of the flight to integrate those operations with all other airspace users. With respect to spectrum, for systems and applications related to aviation safety, ICAO standardized systems are necessary for harmonization and interoperability with air traffic management (ATM) systems. However, since sub-orbital vehicles are intended to reach space and hence do not always perform as aircraft, stations on board that are standardized by ICAO for terrestrial use may not necessarily be consistent with the definitions in the radio regulations when used in space. </w:t>
      </w:r>
      <w:proofErr w:type="gramStart"/>
      <w:r w:rsidR="00B63335">
        <w:t>Therefore</w:t>
      </w:r>
      <w:proofErr w:type="gramEnd"/>
      <w:r w:rsidR="00B63335">
        <w:t xml:space="preserve"> there is not a clear regulatory understanding as to how sub-orbital vehicles should be addressed </w:t>
      </w:r>
      <w:r w:rsidR="00B63335" w:rsidRPr="00144FF5">
        <w:rPr>
          <w:highlight w:val="cyan"/>
        </w:rPr>
        <w:t xml:space="preserve">and hence no clear understanding as to the </w:t>
      </w:r>
      <w:r w:rsidRPr="00144FF5">
        <w:rPr>
          <w:highlight w:val="cyan"/>
        </w:rPr>
        <w:t xml:space="preserve">radio service(s) </w:t>
      </w:r>
      <w:r w:rsidR="00B63335" w:rsidRPr="00144FF5">
        <w:rPr>
          <w:highlight w:val="cyan"/>
        </w:rPr>
        <w:t>under which they should operate</w:t>
      </w:r>
      <w:r w:rsidRPr="00144FF5">
        <w:rPr>
          <w:highlight w:val="cyan"/>
        </w:rPr>
        <w:t>.</w:t>
      </w:r>
    </w:p>
    <w:p w14:paraId="2647C8EE" w14:textId="716731C1" w:rsidR="00B63335" w:rsidRDefault="00B63335" w:rsidP="0097397F">
      <w:pPr>
        <w:pStyle w:val="BodyText"/>
        <w:spacing w:before="5"/>
      </w:pPr>
    </w:p>
    <w:p w14:paraId="1EECBF9D" w14:textId="41C1F8F5" w:rsidR="00B63335" w:rsidRPr="00144FF5" w:rsidRDefault="00B63335" w:rsidP="0097397F">
      <w:pPr>
        <w:pStyle w:val="BodyText"/>
        <w:spacing w:before="5"/>
        <w:rPr>
          <w:highlight w:val="cyan"/>
        </w:rPr>
      </w:pPr>
      <w:r w:rsidRPr="00144FF5">
        <w:rPr>
          <w:highlight w:val="cyan"/>
        </w:rPr>
        <w:t xml:space="preserve">Studies have shown that in principle from a </w:t>
      </w:r>
      <w:proofErr w:type="gramStart"/>
      <w:r w:rsidRPr="00144FF5">
        <w:rPr>
          <w:highlight w:val="cyan"/>
        </w:rPr>
        <w:t>technical perspective current ICAO systems</w:t>
      </w:r>
      <w:proofErr w:type="gramEnd"/>
      <w:r w:rsidRPr="00144FF5">
        <w:rPr>
          <w:highlight w:val="cyan"/>
        </w:rPr>
        <w:t xml:space="preserve"> should have the capability to provide suitable radio links for sub-orbital vehicles to operate safely except in regions where communication blackout are experienced.  However, from a frequency planning perspective the additional height and velocity of sub-orbital vehicles would require current planning criteria to be amended with an associated adverse impact on system capacity which is unlikely to be acceptable and hence additional spectral capacity is likely to be required.</w:t>
      </w:r>
    </w:p>
    <w:p w14:paraId="77DBF0B6" w14:textId="5D72F15A" w:rsidR="00144FF5" w:rsidRDefault="00144FF5" w:rsidP="0097397F">
      <w:pPr>
        <w:pStyle w:val="BodyText"/>
        <w:spacing w:before="5"/>
      </w:pPr>
    </w:p>
    <w:p w14:paraId="04B9FA28" w14:textId="2F717F1C" w:rsidR="0097397F" w:rsidRDefault="0097397F" w:rsidP="0097397F">
      <w:pPr>
        <w:pStyle w:val="BodyText"/>
        <w:spacing w:before="5"/>
      </w:pPr>
      <w:r>
        <w:t xml:space="preserve">Additional regulatory and technical analysis is required to address the questions and concerns raised in the studies called for by Resolution </w:t>
      </w:r>
      <w:r>
        <w:rPr>
          <w:b/>
        </w:rPr>
        <w:t>763 (WRC-15)</w:t>
      </w:r>
      <w:r w:rsidRPr="00DB1BC3">
        <w:t>.</w:t>
      </w:r>
    </w:p>
    <w:p w14:paraId="6DBE91A4" w14:textId="77777777" w:rsidR="0097397F" w:rsidRDefault="0097397F" w:rsidP="0097397F">
      <w:pPr>
        <w:pStyle w:val="Heading1"/>
      </w:pPr>
    </w:p>
    <w:p w14:paraId="42E63ADC" w14:textId="77777777" w:rsidR="0097397F" w:rsidRDefault="0097397F" w:rsidP="0097397F">
      <w:pPr>
        <w:pStyle w:val="Heading1"/>
      </w:pPr>
      <w:r>
        <w:t>ICAO Position:</w:t>
      </w:r>
    </w:p>
    <w:p w14:paraId="156CF48C" w14:textId="77777777" w:rsidR="0097397F" w:rsidRDefault="0097397F" w:rsidP="0097397F">
      <w:pPr>
        <w:pStyle w:val="BodyText"/>
        <w:spacing w:before="8"/>
        <w:rPr>
          <w:b/>
          <w:sz w:val="18"/>
        </w:rPr>
      </w:pPr>
      <w:r>
        <w:rPr>
          <w:noProof/>
        </w:rPr>
        <mc:AlternateContent>
          <mc:Choice Requires="wps">
            <w:drawing>
              <wp:anchor distT="0" distB="0" distL="0" distR="0" simplePos="0" relativeHeight="251659264" behindDoc="0" locked="0" layoutInCell="1" allowOverlap="1" wp14:anchorId="4793FF7D" wp14:editId="707BBA40">
                <wp:simplePos x="0" y="0"/>
                <wp:positionH relativeFrom="page">
                  <wp:posOffset>2076450</wp:posOffset>
                </wp:positionH>
                <wp:positionV relativeFrom="paragraph">
                  <wp:posOffset>172720</wp:posOffset>
                </wp:positionV>
                <wp:extent cx="3658235" cy="1714500"/>
                <wp:effectExtent l="0" t="0" r="18415" b="1905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714500"/>
                        </a:xfrm>
                        <a:prstGeom prst="rect">
                          <a:avLst/>
                        </a:prstGeom>
                        <a:solidFill>
                          <a:srgbClr val="D9D9D9"/>
                        </a:solidFill>
                        <a:ln w="12192">
                          <a:solidFill>
                            <a:srgbClr val="000000"/>
                          </a:solidFill>
                          <a:prstDash val="solid"/>
                          <a:miter lim="800000"/>
                          <a:headEnd/>
                          <a:tailEnd/>
                        </a:ln>
                      </wps:spPr>
                      <wps:txbx>
                        <w:txbxContent>
                          <w:p w14:paraId="090D2ED8" w14:textId="2A77F961" w:rsidR="0097397F" w:rsidRDefault="0097397F" w:rsidP="0097397F">
                            <w:pPr>
                              <w:pStyle w:val="BodyText"/>
                              <w:spacing w:before="119"/>
                              <w:ind w:left="148" w:right="150"/>
                              <w:jc w:val="both"/>
                            </w:pPr>
                            <w:r>
                              <w:t xml:space="preserve">Based on the issues raised by the studies called for by Resolution </w:t>
                            </w:r>
                            <w:r>
                              <w:rPr>
                                <w:b/>
                              </w:rPr>
                              <w:t xml:space="preserve">763 (WRC-15) </w:t>
                            </w:r>
                            <w:r>
                              <w:t xml:space="preserve">support proposals for </w:t>
                            </w:r>
                            <w:proofErr w:type="gramStart"/>
                            <w:r>
                              <w:t>an  agenda</w:t>
                            </w:r>
                            <w:proofErr w:type="gramEnd"/>
                            <w:r>
                              <w:t xml:space="preserve"> item for a future conference to resolve the regulatory and technical questions and concerns; including as necessary any new allocations.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FF7D" id="_x0000_t202" coordsize="21600,21600" o:spt="202" path="m,l,21600r21600,l21600,xe">
                <v:stroke joinstyle="miter"/>
                <v:path gradientshapeok="t" o:connecttype="rect"/>
              </v:shapetype>
              <v:shape id="Text Box 5" o:spid="_x0000_s1026" type="#_x0000_t202" style="position:absolute;margin-left:163.5pt;margin-top:13.6pt;width:288.05pt;height: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" fillcolor="#d9d9d9" strokeweight=".96pt">
                <v:textbox inset="0,0,0,0">
                  <w:txbxContent>
                    <w:p w14:paraId="090D2ED8" w14:textId="2A77F961" w:rsidR="0097397F" w:rsidRDefault="0097397F" w:rsidP="0097397F">
                      <w:pPr>
                        <w:pStyle w:val="BodyText"/>
                        <w:spacing w:before="119"/>
                        <w:ind w:left="148" w:right="150"/>
                        <w:jc w:val="both"/>
                      </w:pPr>
                      <w:r>
                        <w:t xml:space="preserve">Based on the issues raised by the studies called for by Resolution </w:t>
                      </w:r>
                      <w:r>
                        <w:rPr>
                          <w:b/>
                        </w:rPr>
                        <w:t xml:space="preserve">763 (WRC-15) </w:t>
                      </w:r>
                      <w:r>
                        <w:t xml:space="preserve">support proposals for </w:t>
                      </w:r>
                      <w:proofErr w:type="gramStart"/>
                      <w:r>
                        <w:t>an  agenda</w:t>
                      </w:r>
                      <w:proofErr w:type="gramEnd"/>
                      <w:r>
                        <w:t xml:space="preserve"> item for a future conference to resolve the regulatory and technical questions and concerns; including as necessary any new allocations.</w:t>
                      </w:r>
                    </w:p>
                  </w:txbxContent>
                </v:textbox>
                <w10:wrap type="topAndBottom" anchorx="page"/>
              </v:shape>
            </w:pict>
          </mc:Fallback>
        </mc:AlternateContent>
      </w:r>
    </w:p>
    <w:p w14:paraId="0FEE648C" w14:textId="77777777" w:rsidR="0097397F" w:rsidRDefault="0097397F" w:rsidP="0097397F">
      <w:pPr>
        <w:rPr>
          <w:sz w:val="18"/>
        </w:rPr>
        <w:sectPr w:rsidR="0097397F" w:rsidSect="00D44D33">
          <w:headerReference w:type="even" r:id="rId10"/>
          <w:headerReference w:type="default" r:id="rId11"/>
          <w:footerReference w:type="even" r:id="rId12"/>
          <w:footerReference w:type="default" r:id="rId13"/>
          <w:headerReference w:type="first" r:id="rId14"/>
          <w:footerReference w:type="first" r:id="rId15"/>
          <w:pgSz w:w="12240" w:h="15840"/>
          <w:pgMar w:top="1280" w:right="1320" w:bottom="280" w:left="1340" w:header="1042" w:footer="0" w:gutter="0"/>
          <w:cols w:space="720"/>
          <w:titlePg/>
          <w:docGrid w:linePitch="299"/>
        </w:sectPr>
      </w:pPr>
    </w:p>
    <w:p w14:paraId="7561F86F" w14:textId="77777777" w:rsidR="00BD0D8E" w:rsidRDefault="00BD0D8E">
      <w:pPr>
        <w:pStyle w:val="2para"/>
      </w:pPr>
    </w:p>
    <w:p w14:paraId="1194DBB2" w14:textId="497DF877" w:rsidR="00A12CBA" w:rsidRDefault="00770160">
      <w:pPr>
        <w:spacing w:before="600"/>
        <w:jc w:val="center"/>
      </w:pPr>
      <w:r>
        <w:t>— END —</w:t>
      </w:r>
    </w:p>
    <w:sectPr w:rsidR="00A12CBA">
      <w:headerReference w:type="even" r:id="rId16"/>
      <w:head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7801" w14:textId="77777777" w:rsidR="0003767D" w:rsidRDefault="0003767D">
      <w:r>
        <w:separator/>
      </w:r>
    </w:p>
  </w:endnote>
  <w:endnote w:type="continuationSeparator" w:id="0">
    <w:p w14:paraId="42ABB484" w14:textId="77777777" w:rsidR="0003767D" w:rsidRDefault="0003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A4DD" w14:textId="77777777" w:rsidR="00D44D33" w:rsidRDefault="00D4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7411" w14:textId="77777777" w:rsidR="00D44D33" w:rsidRDefault="00D4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E8C8" w14:textId="77777777" w:rsidR="00D44D33" w:rsidRDefault="00D44D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7777777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B238" w14:textId="77777777" w:rsidR="0003767D" w:rsidRDefault="0003767D">
      <w:r>
        <w:separator/>
      </w:r>
    </w:p>
  </w:footnote>
  <w:footnote w:type="continuationSeparator" w:id="0">
    <w:p w14:paraId="5A29634A" w14:textId="77777777" w:rsidR="0003767D" w:rsidRDefault="0003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38C" w14:textId="77777777" w:rsidR="00D44D33" w:rsidRDefault="00D44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D691" w14:textId="56BA5C24" w:rsidR="00D44D33" w:rsidRPr="00D44D33" w:rsidRDefault="00D44D33" w:rsidP="00D44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44D33" w14:paraId="3E99E005" w14:textId="77777777" w:rsidTr="008D7BB5">
      <w:trPr>
        <w:trHeight w:val="1790"/>
      </w:trPr>
      <w:tc>
        <w:tcPr>
          <w:tcW w:w="1915" w:type="dxa"/>
          <w:shd w:val="clear" w:color="auto" w:fill="FFFFFF"/>
        </w:tcPr>
        <w:p w14:paraId="2EC12AD4" w14:textId="77777777" w:rsidR="00D44D33" w:rsidRDefault="00D44D33" w:rsidP="00D44D33">
          <w:r>
            <w:rPr>
              <w:noProof/>
              <w:lang w:eastAsia="zh-CN"/>
            </w:rPr>
            <w:drawing>
              <wp:inline distT="0" distB="0" distL="0" distR="0" wp14:anchorId="718218B0" wp14:editId="26FA0EDA">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4394CAFA" w14:textId="77777777" w:rsidR="00D44D33" w:rsidRPr="00066AB7" w:rsidRDefault="00D44D33" w:rsidP="00D44D33">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776" behindDoc="0" locked="0" layoutInCell="1" allowOverlap="1" wp14:anchorId="62187EDC" wp14:editId="60C7AA91">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EAFD"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14:paraId="3E3BA8FE" w14:textId="77777777" w:rsidR="00D44D33" w:rsidRPr="00066AB7" w:rsidRDefault="00D44D33" w:rsidP="00D44D33">
          <w:pPr>
            <w:rPr>
              <w:rFonts w:ascii="Arial" w:hAnsi="Arial" w:cs="Arial"/>
              <w:szCs w:val="22"/>
            </w:rPr>
          </w:pPr>
          <w:r w:rsidRPr="00066AB7">
            <w:rPr>
              <w:rFonts w:ascii="Arial" w:hAnsi="Arial" w:cs="Arial"/>
              <w:szCs w:val="22"/>
            </w:rPr>
            <w:t>International Civil Aviation Organization</w:t>
          </w:r>
        </w:p>
        <w:p w14:paraId="11CEFFC1" w14:textId="77777777" w:rsidR="00D44D33" w:rsidRPr="00066AB7" w:rsidRDefault="00D44D33" w:rsidP="00D44D33">
          <w:pPr>
            <w:rPr>
              <w:rFonts w:ascii="Arial" w:hAnsi="Arial" w:cs="Arial"/>
              <w:szCs w:val="22"/>
            </w:rPr>
          </w:pPr>
        </w:p>
        <w:p w14:paraId="4D363CAB" w14:textId="77777777" w:rsidR="00D44D33" w:rsidRPr="00066AB7" w:rsidRDefault="00D44D33" w:rsidP="00D44D33">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D44D33" w14:paraId="2E2AC088" w14:textId="77777777" w:rsidTr="008D7BB5">
            <w:trPr>
              <w:jc w:val="right"/>
            </w:trPr>
            <w:tc>
              <w:tcPr>
                <w:tcW w:w="0" w:type="auto"/>
              </w:tcPr>
              <w:p w14:paraId="34C256BF" w14:textId="561C7E89" w:rsidR="00D44D33" w:rsidRPr="00066AB7" w:rsidRDefault="00D44D33" w:rsidP="00D44D33">
                <w:pPr>
                  <w:framePr w:hSpace="180" w:wrap="around" w:vAnchor="text" w:hAnchor="text" w:y="1"/>
                  <w:suppressOverlap/>
                  <w:jc w:val="left"/>
                  <w:rPr>
                    <w:szCs w:val="22"/>
                  </w:rPr>
                </w:pPr>
                <w:r>
                  <w:rPr>
                    <w:szCs w:val="22"/>
                  </w:rPr>
                  <w:t>FSMP-WG</w:t>
                </w:r>
                <w:r w:rsidRPr="00066AB7">
                  <w:rPr>
                    <w:szCs w:val="22"/>
                  </w:rPr>
                  <w:t>/</w:t>
                </w:r>
                <w:r>
                  <w:rPr>
                    <w:szCs w:val="22"/>
                  </w:rPr>
                  <w:t xml:space="preserve">8 </w:t>
                </w:r>
                <w:r w:rsidRPr="00066AB7">
                  <w:rPr>
                    <w:szCs w:val="22"/>
                  </w:rPr>
                  <w:t>WP/</w:t>
                </w:r>
                <w:r>
                  <w:rPr>
                    <w:szCs w:val="22"/>
                  </w:rPr>
                  <w:t>2</w:t>
                </w:r>
                <w:r>
                  <w:rPr>
                    <w:szCs w:val="22"/>
                  </w:rPr>
                  <w:t>6</w:t>
                </w:r>
              </w:p>
              <w:p w14:paraId="1E86A313" w14:textId="77777777" w:rsidR="00D44D33" w:rsidRPr="00066AB7" w:rsidRDefault="00D44D33" w:rsidP="00D44D33">
                <w:pPr>
                  <w:framePr w:hSpace="180" w:wrap="around" w:vAnchor="text" w:hAnchor="text" w:y="1"/>
                  <w:suppressOverlap/>
                  <w:jc w:val="left"/>
                  <w:rPr>
                    <w:b/>
                  </w:rPr>
                </w:pPr>
                <w:r>
                  <w:rPr>
                    <w:sz w:val="18"/>
                    <w:szCs w:val="18"/>
                  </w:rPr>
                  <w:t>2019-01-21</w:t>
                </w:r>
                <w:r w:rsidRPr="00066AB7">
                  <w:rPr>
                    <w:b/>
                    <w:sz w:val="18"/>
                    <w:szCs w:val="18"/>
                  </w:rPr>
                  <w:t xml:space="preserve"> </w:t>
                </w:r>
              </w:p>
            </w:tc>
          </w:tr>
          <w:tr w:rsidR="00D44D33" w14:paraId="7391D930" w14:textId="77777777" w:rsidTr="008D7BB5">
            <w:trPr>
              <w:jc w:val="right"/>
            </w:trPr>
            <w:tc>
              <w:tcPr>
                <w:tcW w:w="0" w:type="auto"/>
              </w:tcPr>
              <w:p w14:paraId="3928F6D3" w14:textId="77777777" w:rsidR="00D44D33" w:rsidRPr="00066AB7" w:rsidRDefault="00D44D33" w:rsidP="00D44D33">
                <w:pPr>
                  <w:framePr w:hSpace="180" w:wrap="around" w:vAnchor="text" w:hAnchor="text" w:y="1"/>
                  <w:suppressOverlap/>
                  <w:jc w:val="left"/>
                  <w:rPr>
                    <w:szCs w:val="22"/>
                  </w:rPr>
                </w:pPr>
              </w:p>
            </w:tc>
          </w:tr>
        </w:tbl>
        <w:p w14:paraId="3D45ECCA" w14:textId="77777777" w:rsidR="00D44D33" w:rsidRPr="00066AB7" w:rsidRDefault="00D44D33" w:rsidP="00D44D33">
          <w:pPr>
            <w:tabs>
              <w:tab w:val="left" w:pos="720"/>
              <w:tab w:val="left" w:pos="1440"/>
              <w:tab w:val="left" w:pos="1800"/>
              <w:tab w:val="left" w:pos="2160"/>
              <w:tab w:val="left" w:pos="2520"/>
              <w:tab w:val="left" w:pos="2880"/>
            </w:tabs>
            <w:ind w:left="4320"/>
            <w:rPr>
              <w:b/>
              <w:sz w:val="18"/>
              <w:szCs w:val="18"/>
            </w:rPr>
          </w:pPr>
        </w:p>
      </w:tc>
    </w:tr>
  </w:tbl>
  <w:p w14:paraId="3033E31A" w14:textId="77777777" w:rsidR="00D44D33" w:rsidRPr="002D01A4" w:rsidRDefault="00D44D33" w:rsidP="00D44D33">
    <w:pPr>
      <w:pStyle w:val="Header"/>
    </w:pPr>
  </w:p>
  <w:p w14:paraId="519C3AA1" w14:textId="77777777" w:rsidR="00D44D33" w:rsidRDefault="00D44D33" w:rsidP="00D44D33">
    <w:pPr>
      <w:pStyle w:val="Header"/>
    </w:pPr>
  </w:p>
  <w:p w14:paraId="66271E66" w14:textId="77777777" w:rsidR="00D44D33" w:rsidRDefault="00D44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77777777" w:rsidR="008F70E3" w:rsidRDefault="008F70E3" w:rsidP="00725205">
    <w:pPr>
      <w:tabs>
        <w:tab w:val="center" w:pos="4876"/>
      </w:tabs>
      <w:spacing w:after="600"/>
    </w:pPr>
    <w:r>
      <w:t>FSMP WG-F/8-WP/xxx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AC01" w14:textId="0F79280A" w:rsidR="008F70E3" w:rsidRPr="00D44D33" w:rsidRDefault="008F70E3" w:rsidP="00D44D33">
    <w:pPr>
      <w:pStyle w:val="Header"/>
    </w:pPr>
    <w:bookmarkStart w:id="3" w:name="_GoBack"/>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3"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1"/>
  </w:num>
  <w:num w:numId="9">
    <w:abstractNumId w:val="6"/>
  </w:num>
  <w:num w:numId="10">
    <w:abstractNumId w:val="1"/>
  </w:num>
  <w:num w:numId="11">
    <w:abstractNumId w:val="8"/>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3767D"/>
    <w:rsid w:val="00050E23"/>
    <w:rsid w:val="00051078"/>
    <w:rsid w:val="000778F6"/>
    <w:rsid w:val="000D26D5"/>
    <w:rsid w:val="00144FF5"/>
    <w:rsid w:val="00194F8A"/>
    <w:rsid w:val="001B69AE"/>
    <w:rsid w:val="001E6992"/>
    <w:rsid w:val="001F6AC0"/>
    <w:rsid w:val="00236DD1"/>
    <w:rsid w:val="00237BEC"/>
    <w:rsid w:val="002604D7"/>
    <w:rsid w:val="002674F5"/>
    <w:rsid w:val="002A1B9A"/>
    <w:rsid w:val="002E641D"/>
    <w:rsid w:val="003B5603"/>
    <w:rsid w:val="003D7FD8"/>
    <w:rsid w:val="003E3CDE"/>
    <w:rsid w:val="003F6EA0"/>
    <w:rsid w:val="00425343"/>
    <w:rsid w:val="004411C6"/>
    <w:rsid w:val="004548BD"/>
    <w:rsid w:val="00455F75"/>
    <w:rsid w:val="00467CD5"/>
    <w:rsid w:val="004735BC"/>
    <w:rsid w:val="0049280E"/>
    <w:rsid w:val="004A0E66"/>
    <w:rsid w:val="004E3C6F"/>
    <w:rsid w:val="004E5490"/>
    <w:rsid w:val="00524960"/>
    <w:rsid w:val="005D6FB7"/>
    <w:rsid w:val="00625E2A"/>
    <w:rsid w:val="00664C07"/>
    <w:rsid w:val="00680513"/>
    <w:rsid w:val="00694BF9"/>
    <w:rsid w:val="006D5213"/>
    <w:rsid w:val="00725205"/>
    <w:rsid w:val="00743B8C"/>
    <w:rsid w:val="00770160"/>
    <w:rsid w:val="00785A9A"/>
    <w:rsid w:val="007C450D"/>
    <w:rsid w:val="008050EF"/>
    <w:rsid w:val="008509DE"/>
    <w:rsid w:val="008565D4"/>
    <w:rsid w:val="00860FB4"/>
    <w:rsid w:val="00876897"/>
    <w:rsid w:val="00880734"/>
    <w:rsid w:val="00884F38"/>
    <w:rsid w:val="008B54C4"/>
    <w:rsid w:val="008D4A94"/>
    <w:rsid w:val="008E132E"/>
    <w:rsid w:val="008F70E3"/>
    <w:rsid w:val="008F7124"/>
    <w:rsid w:val="008F7F3F"/>
    <w:rsid w:val="00920C27"/>
    <w:rsid w:val="00940469"/>
    <w:rsid w:val="009729B6"/>
    <w:rsid w:val="0097397F"/>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63335"/>
    <w:rsid w:val="00B70934"/>
    <w:rsid w:val="00B803D8"/>
    <w:rsid w:val="00BB7240"/>
    <w:rsid w:val="00BD0D8E"/>
    <w:rsid w:val="00BE4487"/>
    <w:rsid w:val="00C2516F"/>
    <w:rsid w:val="00C94A6C"/>
    <w:rsid w:val="00C97091"/>
    <w:rsid w:val="00CF72A2"/>
    <w:rsid w:val="00D159E1"/>
    <w:rsid w:val="00D26F88"/>
    <w:rsid w:val="00D44D33"/>
    <w:rsid w:val="00D7113D"/>
    <w:rsid w:val="00D71EFF"/>
    <w:rsid w:val="00D91301"/>
    <w:rsid w:val="00DF76D3"/>
    <w:rsid w:val="00E207F4"/>
    <w:rsid w:val="00E209C6"/>
    <w:rsid w:val="00E464A6"/>
    <w:rsid w:val="00E7165B"/>
    <w:rsid w:val="00E77340"/>
    <w:rsid w:val="00E97E72"/>
    <w:rsid w:val="00EB217F"/>
    <w:rsid w:val="00EC428C"/>
    <w:rsid w:val="00EE31BF"/>
    <w:rsid w:val="00EF5596"/>
    <w:rsid w:val="00F5499D"/>
    <w:rsid w:val="00F770FB"/>
    <w:rsid w:val="00F87EF1"/>
    <w:rsid w:val="00FC0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 w:type="paragraph" w:styleId="ListParagraph">
    <w:name w:val="List Paragraph"/>
    <w:basedOn w:val="Normal"/>
    <w:uiPriority w:val="1"/>
    <w:qFormat/>
    <w:rsid w:val="008050EF"/>
    <w:pPr>
      <w:widowControl w:val="0"/>
      <w:autoSpaceDE w:val="0"/>
      <w:autoSpaceDN w:val="0"/>
      <w:ind w:left="100"/>
    </w:pPr>
    <w:rPr>
      <w:szCs w:val="22"/>
      <w:lang w:val="en-US"/>
    </w:rPr>
  </w:style>
  <w:style w:type="character" w:customStyle="1" w:styleId="HeaderChar">
    <w:name w:val="Header Char"/>
    <w:basedOn w:val="DefaultParagraphFont"/>
    <w:link w:val="Header"/>
    <w:rsid w:val="00D44D3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EE1AB-84E1-4251-83C2-A2C082270DA4}"/>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1CCFA6C8-A1E6-4126-BAE6-9BC7FED87E0D}"/>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3845</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2005-03-16T13:26:00Z</cp:lastPrinted>
  <dcterms:created xsi:type="dcterms:W3CDTF">2019-01-18T13:41:00Z</dcterms:created>
  <dcterms:modified xsi:type="dcterms:W3CDTF">2019-01-21T14:48:00Z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