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23E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4930B094" w14:textId="77777777" w:rsidR="00770160" w:rsidRDefault="00770160">
      <w:pPr>
        <w:tabs>
          <w:tab w:val="left" w:pos="6972"/>
        </w:tabs>
        <w:jc w:val="center"/>
        <w:rPr>
          <w:b/>
        </w:rPr>
      </w:pPr>
    </w:p>
    <w:p w14:paraId="6BF2F3EE" w14:textId="77777777" w:rsidR="00770160" w:rsidRDefault="00A202BE" w:rsidP="00DF76D3">
      <w:pPr>
        <w:pStyle w:val="Maintitle"/>
      </w:pPr>
      <w:r>
        <w:t>Eighth Working Group Meeting</w:t>
      </w:r>
    </w:p>
    <w:p w14:paraId="6284ED51" w14:textId="77777777" w:rsidR="00770160" w:rsidRDefault="00770160"/>
    <w:p w14:paraId="20912002"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7A85AF8F" w14:textId="77777777" w:rsidR="00770160" w:rsidRDefault="00770160">
      <w:pPr>
        <w:tabs>
          <w:tab w:val="left" w:pos="0"/>
          <w:tab w:val="left" w:pos="1570"/>
          <w:tab w:val="left" w:pos="1857"/>
        </w:tabs>
      </w:pPr>
      <w:bookmarkStart w:id="1" w:name="agenda_item"/>
      <w:bookmarkEnd w:id="1"/>
    </w:p>
    <w:p w14:paraId="75AD020C" w14:textId="77777777" w:rsidR="00770160" w:rsidRDefault="00770160">
      <w:pPr>
        <w:tabs>
          <w:tab w:val="left" w:pos="0"/>
          <w:tab w:val="left" w:pos="1570"/>
          <w:tab w:val="left" w:pos="1857"/>
        </w:tabs>
      </w:pPr>
    </w:p>
    <w:p w14:paraId="0934855E" w14:textId="77777777" w:rsidR="00770160" w:rsidRDefault="00770160" w:rsidP="00AB1D69">
      <w:pPr>
        <w:pStyle w:val="Agendaitemtitle"/>
        <w:ind w:left="2160" w:hanging="2160"/>
        <w:rPr>
          <w:lang w:val="sv-SE"/>
        </w:rPr>
      </w:pPr>
      <w:r>
        <w:rPr>
          <w:lang w:val="sv-SE"/>
        </w:rPr>
        <w:t>Agenda Item</w:t>
      </w:r>
      <w:r w:rsidR="00A202BE">
        <w:rPr>
          <w:lang w:val="sv-SE"/>
        </w:rPr>
        <w:t xml:space="preserve"> </w:t>
      </w:r>
      <w:r w:rsidR="00AB1D69">
        <w:rPr>
          <w:lang w:val="sv-SE"/>
        </w:rPr>
        <w:t>3 &amp; 7</w:t>
      </w:r>
      <w:r>
        <w:rPr>
          <w:lang w:val="sv-SE"/>
        </w:rPr>
        <w:t>..:</w:t>
      </w:r>
      <w:r>
        <w:rPr>
          <w:lang w:val="sv-SE"/>
        </w:rPr>
        <w:tab/>
      </w:r>
      <w:r w:rsidR="00AB1D69">
        <w:rPr>
          <w:lang w:val="sv-SE"/>
        </w:rPr>
        <w:t>Radio Altimeter and Wireless Aircraft Intra-Communications (WAIC) issues</w:t>
      </w:r>
      <w:r w:rsidR="00AB1D69">
        <w:rPr>
          <w:lang w:val="sv-SE"/>
        </w:rPr>
        <w:br/>
      </w:r>
      <w:r w:rsidR="00A202BE">
        <w:rPr>
          <w:lang w:val="sv-SE"/>
        </w:rPr>
        <w:t>Interference from Non-Aeronautical Sources</w:t>
      </w:r>
    </w:p>
    <w:p w14:paraId="3EED1621" w14:textId="77777777" w:rsidR="00770160" w:rsidRDefault="00770160">
      <w:pPr>
        <w:pStyle w:val="Agendaitemtitle"/>
        <w:rPr>
          <w:b w:val="0"/>
          <w:lang w:val="sv-SE"/>
        </w:rPr>
      </w:pPr>
    </w:p>
    <w:p w14:paraId="2876C58F" w14:textId="77777777" w:rsidR="00770160" w:rsidRDefault="00770160">
      <w:pPr>
        <w:tabs>
          <w:tab w:val="left" w:pos="6972"/>
        </w:tabs>
        <w:rPr>
          <w:b/>
          <w:lang w:val="sv-SE"/>
        </w:rPr>
      </w:pPr>
    </w:p>
    <w:p w14:paraId="6F85C30E" w14:textId="77777777" w:rsidR="00770160" w:rsidRDefault="00AB1D69">
      <w:pPr>
        <w:pStyle w:val="Maintitle"/>
      </w:pPr>
      <w:r>
        <w:t>Inconsistency in Recommendation ITU-R SM.1541</w:t>
      </w:r>
    </w:p>
    <w:p w14:paraId="7998F48E" w14:textId="77777777" w:rsidR="00770160" w:rsidRDefault="00770160">
      <w:pPr>
        <w:tabs>
          <w:tab w:val="left" w:pos="6972"/>
        </w:tabs>
      </w:pPr>
    </w:p>
    <w:p w14:paraId="7BEAF12E" w14:textId="77777777" w:rsidR="00770160" w:rsidRDefault="00770160">
      <w:pPr>
        <w:tabs>
          <w:tab w:val="left" w:pos="6972"/>
        </w:tabs>
      </w:pPr>
    </w:p>
    <w:p w14:paraId="7F336CD1" w14:textId="77777777" w:rsidR="00770160" w:rsidRDefault="00770160">
      <w:pPr>
        <w:jc w:val="center"/>
      </w:pPr>
      <w:r>
        <w:t>(Presented by</w:t>
      </w:r>
      <w:bookmarkStart w:id="2" w:name="presented_by"/>
      <w:bookmarkEnd w:id="2"/>
      <w:r>
        <w:t xml:space="preserve"> </w:t>
      </w:r>
      <w:r w:rsidR="008E132E">
        <w:t>John Mettrop</w:t>
      </w:r>
      <w:r>
        <w:t>)</w:t>
      </w:r>
    </w:p>
    <w:p w14:paraId="72E2788C" w14:textId="77777777" w:rsidR="00770160" w:rsidRDefault="00770160"/>
    <w:p w14:paraId="75377EFA"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7D45D9AE" w14:textId="77777777">
        <w:trPr>
          <w:cantSplit/>
          <w:trHeight w:hRule="exact" w:val="480"/>
          <w:jc w:val="center"/>
        </w:trPr>
        <w:tc>
          <w:tcPr>
            <w:tcW w:w="7200" w:type="dxa"/>
            <w:vAlign w:val="center"/>
          </w:tcPr>
          <w:p w14:paraId="6D0F4137" w14:textId="77777777" w:rsidR="00770160" w:rsidRDefault="00770160">
            <w:pPr>
              <w:jc w:val="center"/>
              <w:rPr>
                <w:sz w:val="24"/>
                <w:lang w:val="en-US"/>
              </w:rPr>
            </w:pPr>
            <w:r>
              <w:rPr>
                <w:b/>
              </w:rPr>
              <w:t>SUMMARY</w:t>
            </w:r>
          </w:p>
        </w:tc>
      </w:tr>
      <w:tr w:rsidR="00770160" w14:paraId="1A12F1E9" w14:textId="77777777">
        <w:trPr>
          <w:cantSplit/>
          <w:jc w:val="center"/>
        </w:trPr>
        <w:tc>
          <w:tcPr>
            <w:tcW w:w="7200" w:type="dxa"/>
          </w:tcPr>
          <w:p w14:paraId="7BBCEE67" w14:textId="77777777" w:rsidR="00770160" w:rsidRDefault="008E132E">
            <w:pPr>
              <w:rPr>
                <w:lang w:val="en-US"/>
              </w:rPr>
            </w:pPr>
            <w:r>
              <w:rPr>
                <w:lang w:val="en-US"/>
              </w:rPr>
              <w:t xml:space="preserve">This paper provides information </w:t>
            </w:r>
            <w:r w:rsidR="00AB1D69">
              <w:rPr>
                <w:lang w:val="en-US"/>
              </w:rPr>
              <w:t>on an inconsistency in Recommendation ITU-R SM.1541</w:t>
            </w:r>
            <w:r w:rsidR="00B0146B">
              <w:rPr>
                <w:lang w:val="en-US"/>
              </w:rPr>
              <w:t xml:space="preserve"> with the Radio Regulations and ICAO SARPs</w:t>
            </w:r>
            <w:r w:rsidR="00AB1D69">
              <w:rPr>
                <w:lang w:val="en-US"/>
              </w:rPr>
              <w:t xml:space="preserve"> and seeks the meetings view on how best to address the issue</w:t>
            </w:r>
            <w:r>
              <w:rPr>
                <w:lang w:val="en-US"/>
              </w:rPr>
              <w:t xml:space="preserve">. </w:t>
            </w:r>
            <w:r w:rsidR="00770160">
              <w:rPr>
                <w:lang w:val="en-US"/>
              </w:rPr>
              <w:t xml:space="preserve"> </w:t>
            </w:r>
          </w:p>
        </w:tc>
      </w:tr>
      <w:tr w:rsidR="00D7113D" w14:paraId="53F0EFA7" w14:textId="77777777">
        <w:trPr>
          <w:cantSplit/>
          <w:jc w:val="center"/>
        </w:trPr>
        <w:tc>
          <w:tcPr>
            <w:tcW w:w="7200" w:type="dxa"/>
          </w:tcPr>
          <w:p w14:paraId="63D7414C" w14:textId="77777777" w:rsidR="00D7113D" w:rsidRDefault="00D7113D">
            <w:pPr>
              <w:rPr>
                <w:lang w:val="en-US"/>
              </w:rPr>
            </w:pPr>
          </w:p>
        </w:tc>
      </w:tr>
    </w:tbl>
    <w:p w14:paraId="5D26BAD9" w14:textId="77777777" w:rsidR="00770160" w:rsidRDefault="00770160"/>
    <w:p w14:paraId="31DB073A" w14:textId="77777777" w:rsidR="00770160" w:rsidRDefault="00770160"/>
    <w:p w14:paraId="3AB1013B" w14:textId="77777777" w:rsidR="00770160" w:rsidRDefault="00770160">
      <w:pPr>
        <w:pStyle w:val="1Heading"/>
      </w:pPr>
      <w:r>
        <w:t>INTRODUCTION</w:t>
      </w:r>
    </w:p>
    <w:p w14:paraId="33890103" w14:textId="77777777" w:rsidR="00AB1D69" w:rsidRDefault="009C0B22" w:rsidP="001A7D32">
      <w:pPr>
        <w:pStyle w:val="2para"/>
        <w:tabs>
          <w:tab w:val="clear" w:pos="720"/>
        </w:tabs>
        <w:ind w:left="0" w:firstLine="0"/>
      </w:pPr>
      <w:r>
        <w:t>1.1</w:t>
      </w:r>
      <w:r>
        <w:tab/>
      </w:r>
      <w:r w:rsidR="00AB1D69">
        <w:t xml:space="preserve">Recommendation ITU-R SM.1541 provides information on the recommended spectral mask </w:t>
      </w:r>
      <w:r>
        <w:t xml:space="preserve">unwanted </w:t>
      </w:r>
      <w:r w:rsidR="00AB1D69">
        <w:t xml:space="preserve">emission limits for various </w:t>
      </w:r>
      <w:r>
        <w:t>systems</w:t>
      </w:r>
      <w:r w:rsidR="00AB1D69">
        <w:t>, including aeronautical mobile, telemetry and radar,</w:t>
      </w:r>
      <w:r>
        <w:t xml:space="preserve"> in</w:t>
      </w:r>
      <w:r w:rsidR="00B0146B">
        <w:t xml:space="preserve"> the out-of-</w:t>
      </w:r>
      <w:r>
        <w:t>band domain. Those emission limits are then generally implemented into the relevant global, regional and national standards.</w:t>
      </w:r>
    </w:p>
    <w:p w14:paraId="29F89BFE" w14:textId="77777777" w:rsidR="00B0146B" w:rsidRDefault="009C0B22" w:rsidP="001A7D32">
      <w:pPr>
        <w:pStyle w:val="2para"/>
        <w:tabs>
          <w:tab w:val="clear" w:pos="720"/>
        </w:tabs>
        <w:ind w:left="0" w:firstLine="0"/>
      </w:pPr>
      <w:r>
        <w:t>1.2</w:t>
      </w:r>
      <w:r>
        <w:tab/>
        <w:t xml:space="preserve">Whilst </w:t>
      </w:r>
      <w:r w:rsidR="00B0146B">
        <w:t xml:space="preserve">addressing an issue within the European Telecommunication Standards Institute (ETSI) I had cause to reference ITU-R SM.1541 and noticed an apparent anomaly </w:t>
      </w:r>
      <w:r w:rsidR="000549D9">
        <w:t xml:space="preserve">between the </w:t>
      </w:r>
      <w:r w:rsidR="00B0146B">
        <w:t xml:space="preserve">out-of-band limits for aeronautical mobile and maritime mobile services </w:t>
      </w:r>
      <w:r w:rsidR="000549D9">
        <w:t>defined in this Recommendation and</w:t>
      </w:r>
      <w:r w:rsidR="00B0146B">
        <w:t xml:space="preserve"> the Radio Regulations</w:t>
      </w:r>
      <w:r w:rsidR="000549D9">
        <w:t>,</w:t>
      </w:r>
      <w:r w:rsidR="00B0146B">
        <w:t xml:space="preserve"> ICAO SARPs material</w:t>
      </w:r>
      <w:r w:rsidR="000549D9">
        <w:t xml:space="preserve"> and RTCA/</w:t>
      </w:r>
      <w:proofErr w:type="spellStart"/>
      <w:r w:rsidR="000549D9">
        <w:t>Eurocae</w:t>
      </w:r>
      <w:proofErr w:type="spellEnd"/>
      <w:r w:rsidR="000549D9">
        <w:t xml:space="preserve"> </w:t>
      </w:r>
      <w:proofErr w:type="gramStart"/>
      <w:r w:rsidR="000549D9">
        <w:t xml:space="preserve">MOPs </w:t>
      </w:r>
      <w:r w:rsidR="00B0146B">
        <w:t>.</w:t>
      </w:r>
      <w:proofErr w:type="gramEnd"/>
      <w:r w:rsidR="00B0146B">
        <w:t xml:space="preserve"> </w:t>
      </w:r>
    </w:p>
    <w:p w14:paraId="41853930" w14:textId="77777777" w:rsidR="009C0B22" w:rsidRDefault="00B0146B" w:rsidP="001A7D32">
      <w:pPr>
        <w:pStyle w:val="2para"/>
        <w:tabs>
          <w:tab w:val="clear" w:pos="720"/>
        </w:tabs>
        <w:ind w:left="0" w:firstLine="0"/>
      </w:pPr>
      <w:r>
        <w:t>1.3</w:t>
      </w:r>
      <w:r>
        <w:tab/>
        <w:t xml:space="preserve">This document is intended to highlight where I believe there to be an inconsistency and seek the meetings view as to whether they agree there is an anomaly and how best to address that anomaly given the sensitivities around Annex 8 of the Recommendation that addresses unwanted emissions from radar. </w:t>
      </w:r>
    </w:p>
    <w:p w14:paraId="2EEFBF14" w14:textId="77777777" w:rsidR="00770160" w:rsidRDefault="00B0146B">
      <w:pPr>
        <w:pStyle w:val="1Heading"/>
      </w:pPr>
      <w:r>
        <w:lastRenderedPageBreak/>
        <w:t>DISCUSSION</w:t>
      </w:r>
    </w:p>
    <w:p w14:paraId="3E823789" w14:textId="77777777" w:rsidR="00AB21E2" w:rsidRDefault="00F953A6" w:rsidP="00EA4BC8">
      <w:pPr>
        <w:pStyle w:val="2para"/>
      </w:pPr>
      <w:r>
        <w:t>2.1</w:t>
      </w:r>
      <w:r>
        <w:tab/>
      </w:r>
      <w:r w:rsidR="00AB21E2" w:rsidRPr="00AB21E2">
        <w:rPr>
          <w:b/>
        </w:rPr>
        <w:t>Overview</w:t>
      </w:r>
    </w:p>
    <w:p w14:paraId="2499515F" w14:textId="77777777" w:rsidR="00E464A6" w:rsidRDefault="00AB21E2" w:rsidP="001A7D32">
      <w:pPr>
        <w:pStyle w:val="2para"/>
        <w:tabs>
          <w:tab w:val="clear" w:pos="720"/>
        </w:tabs>
        <w:ind w:left="0" w:firstLine="0"/>
      </w:pPr>
      <w:r>
        <w:t>2.1.1</w:t>
      </w:r>
      <w:r>
        <w:tab/>
      </w:r>
      <w:r w:rsidR="00F953A6">
        <w:t xml:space="preserve">The Radio Regulations govern the international use of the radio spectrum and geostationary orbits.  They form the baseline against which all other radio regulatory standard should be based, however it appears that for aeronautical mobile and maritime services </w:t>
      </w:r>
      <w:proofErr w:type="spellStart"/>
      <w:r w:rsidR="00F953A6">
        <w:t>Recommednation</w:t>
      </w:r>
      <w:proofErr w:type="spellEnd"/>
      <w:r w:rsidR="00F953A6">
        <w:t xml:space="preserve"> ITU-R SM.1541 is not consistent with the Radio Regulations</w:t>
      </w:r>
      <w:r w:rsidR="00F31C55">
        <w:t>,</w:t>
      </w:r>
      <w:r>
        <w:t xml:space="preserve"> ICAO SARPs</w:t>
      </w:r>
      <w:r w:rsidR="00F31C55">
        <w:t xml:space="preserve"> and RTCA/</w:t>
      </w:r>
      <w:proofErr w:type="spellStart"/>
      <w:r w:rsidR="00F31C55">
        <w:t>Eurocae</w:t>
      </w:r>
      <w:proofErr w:type="spellEnd"/>
      <w:r w:rsidR="00F31C55">
        <w:t xml:space="preserve"> Minimum operational performance standards</w:t>
      </w:r>
      <w:r>
        <w:t xml:space="preserve">. </w:t>
      </w:r>
      <w:r w:rsidR="00F953A6">
        <w:t xml:space="preserve">  </w:t>
      </w:r>
    </w:p>
    <w:p w14:paraId="28D371BF" w14:textId="77777777" w:rsidR="00AB21E2" w:rsidRDefault="00AB21E2" w:rsidP="00AB21E2">
      <w:pPr>
        <w:pStyle w:val="2para"/>
        <w:rPr>
          <w:b/>
        </w:rPr>
      </w:pPr>
      <w:r>
        <w:t>2.2</w:t>
      </w:r>
      <w:r>
        <w:tab/>
      </w:r>
      <w:r>
        <w:rPr>
          <w:b/>
        </w:rPr>
        <w:t xml:space="preserve">Radio Regulatory </w:t>
      </w:r>
      <w:proofErr w:type="spellStart"/>
      <w:r>
        <w:rPr>
          <w:b/>
        </w:rPr>
        <w:t>Requirememts</w:t>
      </w:r>
      <w:proofErr w:type="spellEnd"/>
    </w:p>
    <w:p w14:paraId="52BF63C2" w14:textId="77777777" w:rsidR="00D71EFF" w:rsidRDefault="00AB21E2" w:rsidP="008509DE">
      <w:pPr>
        <w:pStyle w:val="3para"/>
        <w:numPr>
          <w:ilvl w:val="0"/>
          <w:numId w:val="0"/>
        </w:numPr>
        <w:spacing w:after="120"/>
        <w:rPr>
          <w:lang w:val="en-US"/>
        </w:rPr>
      </w:pPr>
      <w:r w:rsidRPr="00AB21E2">
        <w:t>2.2.1</w:t>
      </w:r>
      <w:r w:rsidR="001252FC">
        <w:tab/>
        <w:t xml:space="preserve">Article </w:t>
      </w:r>
      <w:r w:rsidR="001252FC" w:rsidRPr="001252FC">
        <w:rPr>
          <w:b/>
        </w:rPr>
        <w:t>3.6</w:t>
      </w:r>
      <w:r w:rsidR="001252FC">
        <w:t xml:space="preserve"> requires that transmitting stations shall conform to the maximum permitted power levels for unwanted emissions in the spurious domain specified in Appendix </w:t>
      </w:r>
      <w:r w:rsidR="001252FC" w:rsidRPr="001252FC">
        <w:rPr>
          <w:b/>
        </w:rPr>
        <w:t>3</w:t>
      </w:r>
      <w:r w:rsidR="001252FC">
        <w:rPr>
          <w:b/>
        </w:rPr>
        <w:t xml:space="preserve">. </w:t>
      </w:r>
      <w:r w:rsidR="001252FC">
        <w:t xml:space="preserve">Additionally, Article </w:t>
      </w:r>
      <w:r w:rsidR="001252FC" w:rsidRPr="001252FC">
        <w:rPr>
          <w:b/>
        </w:rPr>
        <w:t>3.9</w:t>
      </w:r>
      <w:r w:rsidR="001252FC">
        <w:t xml:space="preserve"> requires that the </w:t>
      </w:r>
      <w:r w:rsidR="001252FC">
        <w:rPr>
          <w:lang w:val="en-US"/>
        </w:rPr>
        <w:t>bandwidths of emissions shall be such as to ensure the most efficient utilization of the spectrum</w:t>
      </w:r>
      <w:r w:rsidR="0014321F">
        <w:rPr>
          <w:lang w:val="en-US"/>
        </w:rPr>
        <w:t xml:space="preserve"> </w:t>
      </w:r>
      <w:proofErr w:type="gramStart"/>
      <w:r w:rsidR="0014321F">
        <w:rPr>
          <w:lang w:val="en-US"/>
        </w:rPr>
        <w:t xml:space="preserve">with </w:t>
      </w:r>
      <w:r w:rsidR="001252FC">
        <w:rPr>
          <w:lang w:val="en-US"/>
        </w:rPr>
        <w:t xml:space="preserve"> Appendix</w:t>
      </w:r>
      <w:proofErr w:type="gramEnd"/>
      <w:r w:rsidR="001252FC" w:rsidRPr="008D0FB2">
        <w:t> </w:t>
      </w:r>
      <w:r w:rsidR="001252FC" w:rsidRPr="0014321F">
        <w:rPr>
          <w:rStyle w:val="NoteChar"/>
          <w:b/>
          <w:bCs/>
          <w:i w:val="0"/>
        </w:rPr>
        <w:t>1</w:t>
      </w:r>
      <w:r w:rsidR="001252FC" w:rsidRPr="0014321F">
        <w:rPr>
          <w:i/>
          <w:lang w:val="en-US"/>
        </w:rPr>
        <w:t xml:space="preserve"> </w:t>
      </w:r>
      <w:r w:rsidR="001252FC">
        <w:rPr>
          <w:lang w:val="en-US"/>
        </w:rPr>
        <w:t>provid</w:t>
      </w:r>
      <w:r w:rsidR="0014321F">
        <w:rPr>
          <w:lang w:val="en-US"/>
        </w:rPr>
        <w:t>ing</w:t>
      </w:r>
      <w:r w:rsidR="001252FC">
        <w:rPr>
          <w:lang w:val="en-US"/>
        </w:rPr>
        <w:t xml:space="preserve"> guid</w:t>
      </w:r>
      <w:r w:rsidR="0014321F">
        <w:rPr>
          <w:lang w:val="en-US"/>
        </w:rPr>
        <w:t>anc</w:t>
      </w:r>
      <w:r w:rsidR="001252FC">
        <w:rPr>
          <w:lang w:val="en-US"/>
        </w:rPr>
        <w:t>e for the determination of the necessary bandwidth</w:t>
      </w:r>
      <w:r w:rsidR="0014321F">
        <w:rPr>
          <w:lang w:val="en-US"/>
        </w:rPr>
        <w:t xml:space="preserve"> with Appendix </w:t>
      </w:r>
      <w:r w:rsidR="0014321F" w:rsidRPr="0014321F">
        <w:rPr>
          <w:b/>
          <w:lang w:val="en-US"/>
        </w:rPr>
        <w:t>1</w:t>
      </w:r>
      <w:r w:rsidR="0014321F">
        <w:rPr>
          <w:b/>
          <w:lang w:val="en-US"/>
        </w:rPr>
        <w:t xml:space="preserve"> </w:t>
      </w:r>
      <w:r w:rsidR="0014321F">
        <w:rPr>
          <w:lang w:val="en-US"/>
        </w:rPr>
        <w:t>incorporating Recommendation ITU-R SM.1138-2 as guidance on formulae to use for the determination of the necessary bandwidth.</w:t>
      </w:r>
    </w:p>
    <w:p w14:paraId="1362EC3C" w14:textId="77777777" w:rsidR="0014321F" w:rsidRDefault="0014321F" w:rsidP="008509DE">
      <w:pPr>
        <w:pStyle w:val="3para"/>
        <w:numPr>
          <w:ilvl w:val="0"/>
          <w:numId w:val="0"/>
        </w:numPr>
        <w:spacing w:after="120"/>
        <w:rPr>
          <w:lang w:val="en-US"/>
        </w:rPr>
      </w:pPr>
      <w:r>
        <w:rPr>
          <w:lang w:val="en-US"/>
        </w:rPr>
        <w:t>2.2.2</w:t>
      </w:r>
      <w:r>
        <w:rPr>
          <w:lang w:val="en-US"/>
        </w:rPr>
        <w:tab/>
        <w:t>For 8.33 kHz DSB-AM, ITU-R SM.1138-2 recommends that the necessary bandwidth</w:t>
      </w:r>
      <w:r w:rsidR="00F2288D">
        <w:rPr>
          <w:lang w:val="en-US"/>
        </w:rPr>
        <w:t>, normally assumed to be the 3dB points for communication systems,</w:t>
      </w:r>
      <w:r>
        <w:rPr>
          <w:lang w:val="en-US"/>
        </w:rPr>
        <w:t xml:space="preserve"> is twice the maximum modulation frequency </w:t>
      </w:r>
      <w:r w:rsidR="00F2288D">
        <w:rPr>
          <w:lang w:val="en-US"/>
        </w:rPr>
        <w:t xml:space="preserve">(2.5 kHz) or 5 kHz. Appendix </w:t>
      </w:r>
      <w:r w:rsidR="00F2288D" w:rsidRPr="00F2288D">
        <w:rPr>
          <w:b/>
          <w:lang w:val="en-US"/>
        </w:rPr>
        <w:t>3</w:t>
      </w:r>
      <w:r w:rsidR="00F2288D">
        <w:rPr>
          <w:lang w:val="en-US"/>
        </w:rPr>
        <w:t xml:space="preserve"> of the Radio Regulations then defines that the maximum permitted spurious domain emission power for aeronautical mobile services as 43+10log(P) or 70 </w:t>
      </w:r>
      <w:proofErr w:type="spellStart"/>
      <w:r w:rsidR="00F2288D">
        <w:rPr>
          <w:lang w:val="en-US"/>
        </w:rPr>
        <w:t>dBc</w:t>
      </w:r>
      <w:proofErr w:type="spellEnd"/>
      <w:r w:rsidR="00F2288D">
        <w:rPr>
          <w:lang w:val="en-US"/>
        </w:rPr>
        <w:t xml:space="preserve"> whichever is the less stringent</w:t>
      </w:r>
      <w:r w:rsidR="0033749D">
        <w:rPr>
          <w:lang w:val="en-US"/>
        </w:rPr>
        <w:t xml:space="preserve"> at 250% of the necessary bandwidth which, for a </w:t>
      </w:r>
      <w:proofErr w:type="gramStart"/>
      <w:r w:rsidR="0033749D">
        <w:rPr>
          <w:lang w:val="en-US"/>
        </w:rPr>
        <w:t>25 Watt</w:t>
      </w:r>
      <w:proofErr w:type="gramEnd"/>
      <w:r w:rsidR="0033749D">
        <w:rPr>
          <w:lang w:val="en-US"/>
        </w:rPr>
        <w:t xml:space="preserve"> transmitter, would be 57 </w:t>
      </w:r>
      <w:proofErr w:type="spellStart"/>
      <w:r w:rsidR="0033749D">
        <w:rPr>
          <w:lang w:val="en-US"/>
        </w:rPr>
        <w:t>dBc</w:t>
      </w:r>
      <w:proofErr w:type="spellEnd"/>
      <w:r w:rsidR="0033749D">
        <w:rPr>
          <w:lang w:val="en-US"/>
        </w:rPr>
        <w:t xml:space="preserve"> at 12.5 kHz.</w:t>
      </w:r>
    </w:p>
    <w:p w14:paraId="550D7CB5" w14:textId="77777777" w:rsidR="001E4D40" w:rsidRDefault="00FE3CF2" w:rsidP="00F31C55">
      <w:pPr>
        <w:pStyle w:val="3para"/>
        <w:numPr>
          <w:ilvl w:val="0"/>
          <w:numId w:val="0"/>
        </w:numPr>
        <w:spacing w:after="120"/>
        <w:jc w:val="center"/>
        <w:rPr>
          <w:lang w:val="en-US"/>
        </w:rPr>
      </w:pPr>
      <w:r>
        <w:rPr>
          <w:noProof/>
          <w:lang w:val="en-US"/>
        </w:rPr>
        <w:drawing>
          <wp:inline distT="0" distB="0" distL="0" distR="0" wp14:anchorId="4E514C87" wp14:editId="1FF1AAAA">
            <wp:extent cx="4895215" cy="268224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215" cy="2682240"/>
                    </a:xfrm>
                    <a:prstGeom prst="rect">
                      <a:avLst/>
                    </a:prstGeom>
                    <a:noFill/>
                  </pic:spPr>
                </pic:pic>
              </a:graphicData>
            </a:graphic>
          </wp:inline>
        </w:drawing>
      </w:r>
    </w:p>
    <w:p w14:paraId="01760D77" w14:textId="77777777" w:rsidR="001E4D40" w:rsidRPr="000020BD" w:rsidRDefault="005E6463" w:rsidP="000020BD">
      <w:pPr>
        <w:pStyle w:val="3para"/>
        <w:numPr>
          <w:ilvl w:val="0"/>
          <w:numId w:val="0"/>
        </w:numPr>
        <w:spacing w:after="120"/>
        <w:jc w:val="center"/>
        <w:rPr>
          <w:b/>
          <w:lang w:val="en-US"/>
        </w:rPr>
      </w:pPr>
      <w:r w:rsidRPr="000020BD">
        <w:rPr>
          <w:b/>
          <w:sz w:val="20"/>
          <w:lang w:val="en-US"/>
        </w:rPr>
        <w:t xml:space="preserve">Figure 1: </w:t>
      </w:r>
      <w:r w:rsidR="000020BD" w:rsidRPr="000020BD">
        <w:rPr>
          <w:b/>
          <w:sz w:val="20"/>
          <w:lang w:val="en-US"/>
        </w:rPr>
        <w:t>8.33 kHz Radio Spectral Mask as defined by ITU Radio Regulations</w:t>
      </w:r>
    </w:p>
    <w:p w14:paraId="28EF3C50" w14:textId="77777777" w:rsidR="00EA4BC8" w:rsidRDefault="00EA4BC8" w:rsidP="00EA4BC8">
      <w:pPr>
        <w:pStyle w:val="3para"/>
        <w:numPr>
          <w:ilvl w:val="0"/>
          <w:numId w:val="0"/>
        </w:numPr>
        <w:spacing w:before="240"/>
        <w:rPr>
          <w:lang w:val="en-US"/>
        </w:rPr>
      </w:pPr>
      <w:r>
        <w:rPr>
          <w:lang w:val="en-US"/>
        </w:rPr>
        <w:t>2.2.3</w:t>
      </w:r>
      <w:r>
        <w:rPr>
          <w:lang w:val="en-US"/>
        </w:rPr>
        <w:tab/>
      </w:r>
      <w:r w:rsidRPr="00EA4BC8">
        <w:rPr>
          <w:b/>
          <w:lang w:val="en-US"/>
        </w:rPr>
        <w:t>Recommendation ITU-R SM.1541</w:t>
      </w:r>
      <w:r>
        <w:rPr>
          <w:lang w:val="en-US"/>
        </w:rPr>
        <w:t xml:space="preserve"> </w:t>
      </w:r>
    </w:p>
    <w:p w14:paraId="7CE997BC" w14:textId="77777777" w:rsidR="005E6463" w:rsidRDefault="000020BD" w:rsidP="00EA4BC8">
      <w:pPr>
        <w:pStyle w:val="3para"/>
        <w:numPr>
          <w:ilvl w:val="0"/>
          <w:numId w:val="0"/>
        </w:numPr>
        <w:rPr>
          <w:lang w:val="en-US"/>
        </w:rPr>
      </w:pPr>
      <w:r>
        <w:rPr>
          <w:lang w:val="en-US"/>
        </w:rPr>
        <w:t>2.</w:t>
      </w:r>
      <w:r w:rsidR="00EA4BC8">
        <w:rPr>
          <w:lang w:val="en-US"/>
        </w:rPr>
        <w:t>2.</w:t>
      </w:r>
      <w:r>
        <w:rPr>
          <w:lang w:val="en-US"/>
        </w:rPr>
        <w:t>3</w:t>
      </w:r>
      <w:r w:rsidR="00EA4BC8">
        <w:rPr>
          <w:lang w:val="en-US"/>
        </w:rPr>
        <w:t>.1</w:t>
      </w:r>
      <w:r>
        <w:rPr>
          <w:lang w:val="en-US"/>
        </w:rPr>
        <w:tab/>
        <w:t xml:space="preserve">Within Recommendation ITU-R M.1541 Annex 10 defines the spectral mask for aeronautical mobile services as 50-150% </w:t>
      </w:r>
      <w:r w:rsidR="00EA4BC8">
        <w:rPr>
          <w:lang w:val="en-US"/>
        </w:rPr>
        <w:t>of the necessary bandwidth</w:t>
      </w:r>
      <w:r>
        <w:rPr>
          <w:lang w:val="en-US"/>
        </w:rPr>
        <w:t xml:space="preserve"> -25 </w:t>
      </w:r>
      <w:proofErr w:type="spellStart"/>
      <w:r>
        <w:rPr>
          <w:lang w:val="en-US"/>
        </w:rPr>
        <w:t>dBc</w:t>
      </w:r>
      <w:proofErr w:type="spellEnd"/>
      <w:r>
        <w:rPr>
          <w:lang w:val="en-US"/>
        </w:rPr>
        <w:t xml:space="preserve"> and 150-250</w:t>
      </w:r>
      <w:r w:rsidR="00EA4BC8">
        <w:rPr>
          <w:lang w:val="en-US"/>
        </w:rPr>
        <w:t xml:space="preserve">% of the necessary bandwidth -35 </w:t>
      </w:r>
      <w:proofErr w:type="spellStart"/>
      <w:r w:rsidR="00EA4BC8">
        <w:rPr>
          <w:lang w:val="en-US"/>
        </w:rPr>
        <w:t>dBc</w:t>
      </w:r>
      <w:proofErr w:type="spellEnd"/>
      <w:r w:rsidR="00EA4BC8">
        <w:rPr>
          <w:lang w:val="en-US"/>
        </w:rPr>
        <w:t xml:space="preserve"> as illustrated below </w:t>
      </w:r>
    </w:p>
    <w:p w14:paraId="286F085D" w14:textId="77777777" w:rsidR="0098140E" w:rsidRDefault="00FE3CF2" w:rsidP="00F31C55">
      <w:pPr>
        <w:pStyle w:val="3para"/>
        <w:numPr>
          <w:ilvl w:val="0"/>
          <w:numId w:val="0"/>
        </w:numPr>
        <w:spacing w:after="120"/>
        <w:jc w:val="center"/>
        <w:rPr>
          <w:lang w:val="en-US"/>
        </w:rPr>
      </w:pPr>
      <w:r>
        <w:rPr>
          <w:noProof/>
          <w:lang w:val="en-US"/>
        </w:rPr>
        <w:lastRenderedPageBreak/>
        <w:drawing>
          <wp:inline distT="0" distB="0" distL="0" distR="0" wp14:anchorId="152D0A83" wp14:editId="7BF8F364">
            <wp:extent cx="4895215" cy="268224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215" cy="2682240"/>
                    </a:xfrm>
                    <a:prstGeom prst="rect">
                      <a:avLst/>
                    </a:prstGeom>
                    <a:noFill/>
                  </pic:spPr>
                </pic:pic>
              </a:graphicData>
            </a:graphic>
          </wp:inline>
        </w:drawing>
      </w:r>
    </w:p>
    <w:p w14:paraId="46A099CC" w14:textId="77777777" w:rsidR="00EA4BC8" w:rsidRPr="000020BD" w:rsidRDefault="000549D9" w:rsidP="00EA4BC8">
      <w:pPr>
        <w:pStyle w:val="3para"/>
        <w:numPr>
          <w:ilvl w:val="0"/>
          <w:numId w:val="0"/>
        </w:numPr>
        <w:spacing w:after="120"/>
        <w:jc w:val="center"/>
        <w:rPr>
          <w:b/>
          <w:lang w:val="en-US"/>
        </w:rPr>
      </w:pPr>
      <w:r>
        <w:rPr>
          <w:b/>
          <w:sz w:val="20"/>
          <w:lang w:val="en-US"/>
        </w:rPr>
        <w:t>Figure 2</w:t>
      </w:r>
      <w:r w:rsidR="00EA4BC8" w:rsidRPr="000020BD">
        <w:rPr>
          <w:b/>
          <w:sz w:val="20"/>
          <w:lang w:val="en-US"/>
        </w:rPr>
        <w:t xml:space="preserve">: 8.33 kHz Radio Spectral Mask as defined by </w:t>
      </w:r>
      <w:r w:rsidR="00EA4BC8">
        <w:rPr>
          <w:b/>
          <w:sz w:val="20"/>
          <w:lang w:val="en-US"/>
        </w:rPr>
        <w:t>ITU-R SM.1541</w:t>
      </w:r>
    </w:p>
    <w:p w14:paraId="1A3901ED" w14:textId="77777777" w:rsidR="00EA4BC8" w:rsidRDefault="00EA4BC8" w:rsidP="00EA4BC8">
      <w:pPr>
        <w:pStyle w:val="3para"/>
        <w:numPr>
          <w:ilvl w:val="0"/>
          <w:numId w:val="0"/>
        </w:numPr>
        <w:spacing w:before="240"/>
        <w:rPr>
          <w:lang w:val="en-US"/>
        </w:rPr>
      </w:pPr>
      <w:r>
        <w:rPr>
          <w:lang w:val="en-US"/>
        </w:rPr>
        <w:t>2.2.4</w:t>
      </w:r>
      <w:r>
        <w:rPr>
          <w:lang w:val="en-US"/>
        </w:rPr>
        <w:tab/>
      </w:r>
      <w:r>
        <w:rPr>
          <w:b/>
          <w:lang w:val="en-US"/>
        </w:rPr>
        <w:t>ICAO Standards and Recommended Practices</w:t>
      </w:r>
      <w:r>
        <w:rPr>
          <w:lang w:val="en-US"/>
        </w:rPr>
        <w:t xml:space="preserve"> </w:t>
      </w:r>
    </w:p>
    <w:p w14:paraId="180B9A45" w14:textId="77777777" w:rsidR="00EA4BC8" w:rsidRDefault="00EA4BC8" w:rsidP="00A908E3">
      <w:pPr>
        <w:pStyle w:val="3para"/>
        <w:tabs>
          <w:tab w:val="clear" w:pos="720"/>
        </w:tabs>
        <w:ind w:left="0" w:firstLine="0"/>
        <w:rPr>
          <w:lang w:val="en-US"/>
        </w:rPr>
      </w:pPr>
      <w:r>
        <w:rPr>
          <w:lang w:val="en-US"/>
        </w:rPr>
        <w:t>2.2.4.1</w:t>
      </w:r>
      <w:r>
        <w:rPr>
          <w:lang w:val="en-US"/>
        </w:rPr>
        <w:tab/>
        <w:t xml:space="preserve">ICAO in Annex 1o, Volume III, Part 2 to the International Convention on Civil Aviation </w:t>
      </w:r>
      <w:r w:rsidR="000549D9">
        <w:rPr>
          <w:lang w:val="en-US"/>
        </w:rPr>
        <w:t xml:space="preserve">only define the need for the power </w:t>
      </w:r>
      <w:r w:rsidR="000549D9" w:rsidRPr="000549D9">
        <w:rPr>
          <w:lang w:val="en-US"/>
        </w:rPr>
        <w:t>under all operating</w:t>
      </w:r>
      <w:r w:rsidR="000549D9">
        <w:rPr>
          <w:lang w:val="en-US"/>
        </w:rPr>
        <w:t xml:space="preserve"> </w:t>
      </w:r>
      <w:r w:rsidR="000549D9" w:rsidRPr="000549D9">
        <w:rPr>
          <w:lang w:val="en-US"/>
        </w:rPr>
        <w:t xml:space="preserve">conditions when measured over a 7 kHz channel bandwidth </w:t>
      </w:r>
      <w:proofErr w:type="spellStart"/>
      <w:r w:rsidR="000549D9" w:rsidRPr="000549D9">
        <w:rPr>
          <w:lang w:val="en-US"/>
        </w:rPr>
        <w:t>centred</w:t>
      </w:r>
      <w:proofErr w:type="spellEnd"/>
      <w:r w:rsidR="000549D9" w:rsidRPr="000549D9">
        <w:rPr>
          <w:lang w:val="en-US"/>
        </w:rPr>
        <w:t xml:space="preserve"> on the first 8.33 kHz adjacent channel </w:t>
      </w:r>
      <w:r w:rsidR="000549D9">
        <w:rPr>
          <w:lang w:val="en-US"/>
        </w:rPr>
        <w:t>to</w:t>
      </w:r>
      <w:r w:rsidR="000549D9" w:rsidRPr="000549D9">
        <w:rPr>
          <w:lang w:val="en-US"/>
        </w:rPr>
        <w:t xml:space="preserve"> not</w:t>
      </w:r>
      <w:r w:rsidR="000549D9">
        <w:rPr>
          <w:lang w:val="en-US"/>
        </w:rPr>
        <w:t xml:space="preserve"> </w:t>
      </w:r>
      <w:r w:rsidR="000549D9" w:rsidRPr="000549D9">
        <w:rPr>
          <w:lang w:val="en-US"/>
        </w:rPr>
        <w:t>exceed -45 dB below the transmitter carrier power</w:t>
      </w:r>
      <w:r w:rsidR="000549D9">
        <w:rPr>
          <w:lang w:val="en-US"/>
        </w:rPr>
        <w:t xml:space="preserve"> as illustrated below.</w:t>
      </w:r>
    </w:p>
    <w:p w14:paraId="102A1340" w14:textId="77777777" w:rsidR="001E4D40" w:rsidRDefault="00EA4BC8" w:rsidP="00F31C55">
      <w:pPr>
        <w:pStyle w:val="3para"/>
        <w:numPr>
          <w:ilvl w:val="0"/>
          <w:numId w:val="0"/>
        </w:numPr>
        <w:spacing w:after="120"/>
        <w:jc w:val="center"/>
        <w:rPr>
          <w:lang w:val="en-US"/>
        </w:rPr>
      </w:pPr>
      <w:r>
        <w:rPr>
          <w:noProof/>
          <w:lang w:val="en-US"/>
        </w:rPr>
        <w:drawing>
          <wp:inline distT="0" distB="0" distL="0" distR="0" wp14:anchorId="189E3F30" wp14:editId="09EAD1A8">
            <wp:extent cx="4895215" cy="268224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215" cy="2682240"/>
                    </a:xfrm>
                    <a:prstGeom prst="rect">
                      <a:avLst/>
                    </a:prstGeom>
                    <a:noFill/>
                  </pic:spPr>
                </pic:pic>
              </a:graphicData>
            </a:graphic>
          </wp:inline>
        </w:drawing>
      </w:r>
    </w:p>
    <w:p w14:paraId="39312AFC" w14:textId="77777777" w:rsidR="000549D9" w:rsidRPr="000020BD" w:rsidRDefault="000549D9" w:rsidP="000549D9">
      <w:pPr>
        <w:pStyle w:val="3para"/>
        <w:numPr>
          <w:ilvl w:val="0"/>
          <w:numId w:val="0"/>
        </w:numPr>
        <w:spacing w:after="120"/>
        <w:jc w:val="center"/>
        <w:rPr>
          <w:b/>
          <w:lang w:val="en-US"/>
        </w:rPr>
      </w:pPr>
      <w:r>
        <w:rPr>
          <w:b/>
          <w:sz w:val="20"/>
          <w:lang w:val="en-US"/>
        </w:rPr>
        <w:t>Figure 3</w:t>
      </w:r>
      <w:r w:rsidRPr="000020BD">
        <w:rPr>
          <w:b/>
          <w:sz w:val="20"/>
          <w:lang w:val="en-US"/>
        </w:rPr>
        <w:t xml:space="preserve">: 8.33 kHz Radio Spectral Mask as defined by </w:t>
      </w:r>
      <w:r>
        <w:rPr>
          <w:b/>
          <w:sz w:val="20"/>
          <w:lang w:val="en-US"/>
        </w:rPr>
        <w:t>ICAO SARPs</w:t>
      </w:r>
    </w:p>
    <w:p w14:paraId="2E4AC9E2" w14:textId="77777777" w:rsidR="000549D9" w:rsidRDefault="000549D9" w:rsidP="000549D9">
      <w:pPr>
        <w:pStyle w:val="3para"/>
        <w:numPr>
          <w:ilvl w:val="0"/>
          <w:numId w:val="0"/>
        </w:numPr>
        <w:spacing w:before="240"/>
        <w:rPr>
          <w:lang w:val="en-US"/>
        </w:rPr>
      </w:pPr>
      <w:r>
        <w:rPr>
          <w:lang w:val="en-US"/>
        </w:rPr>
        <w:t>2.2.5</w:t>
      </w:r>
      <w:r>
        <w:rPr>
          <w:lang w:val="en-US"/>
        </w:rPr>
        <w:tab/>
      </w:r>
      <w:r>
        <w:rPr>
          <w:b/>
          <w:lang w:val="en-US"/>
        </w:rPr>
        <w:t>RTCA/</w:t>
      </w:r>
      <w:proofErr w:type="spellStart"/>
      <w:r>
        <w:rPr>
          <w:b/>
          <w:lang w:val="en-US"/>
        </w:rPr>
        <w:t>Eurocae</w:t>
      </w:r>
      <w:proofErr w:type="spellEnd"/>
      <w:r>
        <w:rPr>
          <w:b/>
          <w:lang w:val="en-US"/>
        </w:rPr>
        <w:t xml:space="preserve"> Minimum Operating Performance Standards</w:t>
      </w:r>
      <w:r>
        <w:rPr>
          <w:lang w:val="en-US"/>
        </w:rPr>
        <w:t xml:space="preserve"> </w:t>
      </w:r>
    </w:p>
    <w:p w14:paraId="062FAFC2" w14:textId="77777777" w:rsidR="000549D9" w:rsidRDefault="000549D9" w:rsidP="00A908E3">
      <w:pPr>
        <w:pStyle w:val="3para"/>
        <w:tabs>
          <w:tab w:val="clear" w:pos="720"/>
        </w:tabs>
        <w:ind w:left="0" w:firstLine="0"/>
        <w:rPr>
          <w:lang w:val="en-US"/>
        </w:rPr>
      </w:pPr>
      <w:r>
        <w:rPr>
          <w:lang w:val="en-US"/>
        </w:rPr>
        <w:t>2.2.5.1</w:t>
      </w:r>
      <w:r>
        <w:rPr>
          <w:lang w:val="en-US"/>
        </w:rPr>
        <w:tab/>
        <w:t>The spectral mask for an 8.33 kHz airborne transmitter is defined by the following mask.</w:t>
      </w:r>
    </w:p>
    <w:p w14:paraId="6E7651FB" w14:textId="77777777" w:rsidR="001E4D40" w:rsidRDefault="001E4D40" w:rsidP="008509DE">
      <w:pPr>
        <w:pStyle w:val="3para"/>
        <w:numPr>
          <w:ilvl w:val="0"/>
          <w:numId w:val="0"/>
        </w:numPr>
        <w:spacing w:after="120"/>
        <w:rPr>
          <w:lang w:val="en-US"/>
        </w:rPr>
      </w:pPr>
    </w:p>
    <w:p w14:paraId="4C340657" w14:textId="77777777" w:rsidR="0098140E" w:rsidRDefault="00872122" w:rsidP="005E6463">
      <w:pPr>
        <w:pStyle w:val="3para"/>
        <w:numPr>
          <w:ilvl w:val="0"/>
          <w:numId w:val="0"/>
        </w:numPr>
        <w:spacing w:after="120"/>
        <w:jc w:val="center"/>
        <w:rPr>
          <w:lang w:val="en-US"/>
        </w:rPr>
      </w:pPr>
      <w:r>
        <w:rPr>
          <w:noProof/>
          <w:lang w:val="en-US"/>
        </w:rPr>
        <w:drawing>
          <wp:inline distT="0" distB="0" distL="0" distR="0" wp14:anchorId="1079DCDF" wp14:editId="2E1B0B63">
            <wp:extent cx="4895215" cy="268224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215" cy="2682240"/>
                    </a:xfrm>
                    <a:prstGeom prst="rect">
                      <a:avLst/>
                    </a:prstGeom>
                    <a:noFill/>
                  </pic:spPr>
                </pic:pic>
              </a:graphicData>
            </a:graphic>
          </wp:inline>
        </w:drawing>
      </w:r>
    </w:p>
    <w:p w14:paraId="02E410B3" w14:textId="77777777" w:rsidR="003D3DB3" w:rsidRPr="000020BD" w:rsidRDefault="003D3DB3" w:rsidP="003D3DB3">
      <w:pPr>
        <w:pStyle w:val="3para"/>
        <w:numPr>
          <w:ilvl w:val="0"/>
          <w:numId w:val="0"/>
        </w:numPr>
        <w:spacing w:after="120"/>
        <w:jc w:val="center"/>
        <w:rPr>
          <w:b/>
          <w:lang w:val="en-US"/>
        </w:rPr>
      </w:pPr>
      <w:r>
        <w:rPr>
          <w:b/>
          <w:sz w:val="20"/>
          <w:lang w:val="en-US"/>
        </w:rPr>
        <w:t xml:space="preserve">Figure </w:t>
      </w:r>
      <w:r w:rsidR="003A70ED">
        <w:rPr>
          <w:b/>
          <w:sz w:val="20"/>
          <w:lang w:val="en-US"/>
        </w:rPr>
        <w:t>4</w:t>
      </w:r>
      <w:r w:rsidRPr="000020BD">
        <w:rPr>
          <w:b/>
          <w:sz w:val="20"/>
          <w:lang w:val="en-US"/>
        </w:rPr>
        <w:t xml:space="preserve">: 8.33 kHz Radio Spectral Mask as defined by </w:t>
      </w:r>
      <w:r>
        <w:rPr>
          <w:b/>
          <w:sz w:val="20"/>
          <w:lang w:val="en-US"/>
        </w:rPr>
        <w:t>RTCA\</w:t>
      </w:r>
      <w:proofErr w:type="spellStart"/>
      <w:r>
        <w:rPr>
          <w:b/>
          <w:sz w:val="20"/>
          <w:lang w:val="en-US"/>
        </w:rPr>
        <w:t>Eurocae</w:t>
      </w:r>
      <w:proofErr w:type="spellEnd"/>
      <w:r>
        <w:rPr>
          <w:b/>
          <w:sz w:val="20"/>
          <w:lang w:val="en-US"/>
        </w:rPr>
        <w:t xml:space="preserve"> MOPS</w:t>
      </w:r>
    </w:p>
    <w:p w14:paraId="02615562" w14:textId="77777777" w:rsidR="00A908E3" w:rsidRPr="003A70ED" w:rsidRDefault="003D3DB3" w:rsidP="003D3DB3">
      <w:pPr>
        <w:pStyle w:val="3para"/>
        <w:numPr>
          <w:ilvl w:val="0"/>
          <w:numId w:val="0"/>
        </w:numPr>
        <w:tabs>
          <w:tab w:val="left" w:pos="709"/>
        </w:tabs>
        <w:spacing w:before="240"/>
        <w:rPr>
          <w:b/>
          <w:lang w:val="en-US"/>
        </w:rPr>
      </w:pPr>
      <w:r w:rsidRPr="003A70ED">
        <w:rPr>
          <w:b/>
          <w:lang w:val="en-US"/>
        </w:rPr>
        <w:t>3</w:t>
      </w:r>
      <w:r w:rsidRPr="003A70ED">
        <w:rPr>
          <w:b/>
          <w:lang w:val="en-US"/>
        </w:rPr>
        <w:tab/>
      </w:r>
      <w:proofErr w:type="gramStart"/>
      <w:r w:rsidRPr="003A70ED">
        <w:rPr>
          <w:b/>
          <w:lang w:val="en-US"/>
        </w:rPr>
        <w:t>CONCLUSION</w:t>
      </w:r>
      <w:proofErr w:type="gramEnd"/>
      <w:r w:rsidR="00A908E3" w:rsidRPr="003A70ED">
        <w:rPr>
          <w:b/>
          <w:lang w:val="en-US"/>
        </w:rPr>
        <w:t xml:space="preserve"> </w:t>
      </w:r>
    </w:p>
    <w:p w14:paraId="6B15467A" w14:textId="77777777" w:rsidR="00A908E3" w:rsidRDefault="003D3DB3" w:rsidP="00A908E3">
      <w:pPr>
        <w:pStyle w:val="3para"/>
        <w:tabs>
          <w:tab w:val="clear" w:pos="720"/>
        </w:tabs>
        <w:ind w:left="0" w:firstLine="0"/>
        <w:rPr>
          <w:lang w:val="en-US"/>
        </w:rPr>
      </w:pPr>
      <w:r>
        <w:rPr>
          <w:lang w:val="en-US"/>
        </w:rPr>
        <w:t>3.1</w:t>
      </w:r>
      <w:r w:rsidR="00A908E3">
        <w:rPr>
          <w:lang w:val="en-US"/>
        </w:rPr>
        <w:tab/>
      </w:r>
      <w:r>
        <w:rPr>
          <w:lang w:val="en-US"/>
        </w:rPr>
        <w:t>Comparing the spectral masks (see below) indicates that the masks defined by the ICAO SARPs and RTCA\</w:t>
      </w:r>
      <w:proofErr w:type="spellStart"/>
      <w:r>
        <w:rPr>
          <w:lang w:val="en-US"/>
        </w:rPr>
        <w:t>Eurocae</w:t>
      </w:r>
      <w:proofErr w:type="spellEnd"/>
      <w:r>
        <w:rPr>
          <w:lang w:val="en-US"/>
        </w:rPr>
        <w:t xml:space="preserve"> MOPs comply with the Radio Regulations, especially if you did not use a step function but assumed straight lines between the defined points. However, the mask as defined by Recommendation ITU-R SM.1541 does not conform to the Radio Regulations.</w:t>
      </w:r>
    </w:p>
    <w:p w14:paraId="2A3D97CD" w14:textId="77777777" w:rsidR="001E4D40" w:rsidRDefault="00872122" w:rsidP="005E6463">
      <w:pPr>
        <w:pStyle w:val="3para"/>
        <w:numPr>
          <w:ilvl w:val="0"/>
          <w:numId w:val="0"/>
        </w:numPr>
        <w:spacing w:after="120"/>
        <w:jc w:val="center"/>
      </w:pPr>
      <w:r>
        <w:rPr>
          <w:noProof/>
        </w:rPr>
        <w:drawing>
          <wp:inline distT="0" distB="0" distL="0" distR="0" wp14:anchorId="5E90AD87" wp14:editId="6F5E08B4">
            <wp:extent cx="4895215" cy="268224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215" cy="2682240"/>
                    </a:xfrm>
                    <a:prstGeom prst="rect">
                      <a:avLst/>
                    </a:prstGeom>
                    <a:noFill/>
                  </pic:spPr>
                </pic:pic>
              </a:graphicData>
            </a:graphic>
          </wp:inline>
        </w:drawing>
      </w:r>
    </w:p>
    <w:p w14:paraId="17F54B72" w14:textId="77777777" w:rsidR="003A70ED" w:rsidRPr="000020BD" w:rsidRDefault="003A70ED" w:rsidP="003A70ED">
      <w:pPr>
        <w:pStyle w:val="3para"/>
        <w:numPr>
          <w:ilvl w:val="0"/>
          <w:numId w:val="0"/>
        </w:numPr>
        <w:spacing w:after="120"/>
        <w:jc w:val="center"/>
        <w:rPr>
          <w:b/>
          <w:lang w:val="en-US"/>
        </w:rPr>
      </w:pPr>
      <w:r>
        <w:rPr>
          <w:b/>
          <w:sz w:val="20"/>
          <w:lang w:val="en-US"/>
        </w:rPr>
        <w:t>Figure 5</w:t>
      </w:r>
      <w:r w:rsidRPr="000020BD">
        <w:rPr>
          <w:b/>
          <w:sz w:val="20"/>
          <w:lang w:val="en-US"/>
        </w:rPr>
        <w:t xml:space="preserve">: </w:t>
      </w:r>
      <w:r>
        <w:rPr>
          <w:b/>
          <w:sz w:val="20"/>
          <w:lang w:val="en-US"/>
        </w:rPr>
        <w:t>Comparison of Spectral Masks as Defined by the Various Documents</w:t>
      </w:r>
    </w:p>
    <w:p w14:paraId="385C2231" w14:textId="77777777" w:rsidR="0098140E" w:rsidRDefault="0098140E" w:rsidP="008509DE">
      <w:pPr>
        <w:pStyle w:val="3para"/>
        <w:numPr>
          <w:ilvl w:val="0"/>
          <w:numId w:val="0"/>
        </w:numPr>
        <w:spacing w:after="120"/>
      </w:pPr>
    </w:p>
    <w:p w14:paraId="41987A1B" w14:textId="77777777" w:rsidR="003A70ED" w:rsidRDefault="003A70ED" w:rsidP="003A70ED">
      <w:pPr>
        <w:pStyle w:val="3para"/>
        <w:tabs>
          <w:tab w:val="clear" w:pos="720"/>
        </w:tabs>
        <w:ind w:left="0" w:firstLine="0"/>
        <w:rPr>
          <w:lang w:val="en-US"/>
        </w:rPr>
      </w:pPr>
      <w:r>
        <w:rPr>
          <w:lang w:val="en-US"/>
        </w:rPr>
        <w:t>3.1</w:t>
      </w:r>
      <w:r>
        <w:rPr>
          <w:lang w:val="en-US"/>
        </w:rPr>
        <w:tab/>
      </w:r>
      <w:proofErr w:type="spellStart"/>
      <w:proofErr w:type="gramStart"/>
      <w:r>
        <w:rPr>
          <w:lang w:val="en-US"/>
        </w:rPr>
        <w:t>Further more</w:t>
      </w:r>
      <w:proofErr w:type="spellEnd"/>
      <w:proofErr w:type="gramEnd"/>
      <w:r>
        <w:rPr>
          <w:lang w:val="en-US"/>
        </w:rPr>
        <w:t xml:space="preserve">, if Recommendation ITU-R SM.1541 is to correct then that defines the necessary bandwidth for an aeronautical communication system as being the -25dB bandwidth as opposed to the normal </w:t>
      </w:r>
      <w:r>
        <w:rPr>
          <w:lang w:val="en-US"/>
        </w:rPr>
        <w:lastRenderedPageBreak/>
        <w:t xml:space="preserve">assumption of it being the -3 dB bandwidth.  This would have potentially serious implications for other aeronautical communication systems. </w:t>
      </w:r>
      <w:proofErr w:type="gramStart"/>
      <w:r>
        <w:rPr>
          <w:lang w:val="en-US"/>
        </w:rPr>
        <w:t>Fortunately</w:t>
      </w:r>
      <w:proofErr w:type="gramEnd"/>
      <w:r>
        <w:rPr>
          <w:lang w:val="en-US"/>
        </w:rPr>
        <w:t xml:space="preserve"> Recommendation ITU-R SM.1541 is not incorporated by reference into the Radio Regulations and hence has no mandatory status however, it is used as the basis for regional standards at least within Europe.</w:t>
      </w:r>
    </w:p>
    <w:p w14:paraId="11914284" w14:textId="77777777" w:rsidR="003A70ED" w:rsidRPr="003A70ED" w:rsidRDefault="003A70ED" w:rsidP="003A70ED">
      <w:pPr>
        <w:pStyle w:val="3para"/>
        <w:numPr>
          <w:ilvl w:val="0"/>
          <w:numId w:val="0"/>
        </w:numPr>
        <w:tabs>
          <w:tab w:val="left" w:pos="709"/>
        </w:tabs>
        <w:spacing w:before="240"/>
        <w:rPr>
          <w:b/>
          <w:lang w:val="en-US"/>
        </w:rPr>
      </w:pPr>
      <w:r>
        <w:rPr>
          <w:b/>
          <w:lang w:val="en-US"/>
        </w:rPr>
        <w:t>4</w:t>
      </w:r>
      <w:r w:rsidRPr="003A70ED">
        <w:rPr>
          <w:b/>
          <w:lang w:val="en-US"/>
        </w:rPr>
        <w:tab/>
      </w:r>
      <w:r>
        <w:rPr>
          <w:b/>
          <w:lang w:val="en-US"/>
        </w:rPr>
        <w:t>POTENTIAL ACTION</w:t>
      </w:r>
      <w:r w:rsidRPr="003A70ED">
        <w:rPr>
          <w:b/>
          <w:lang w:val="en-US"/>
        </w:rPr>
        <w:t xml:space="preserve"> </w:t>
      </w:r>
    </w:p>
    <w:p w14:paraId="0CB17A3A" w14:textId="77777777" w:rsidR="00C20963" w:rsidRDefault="003A70ED" w:rsidP="00C20963">
      <w:pPr>
        <w:pStyle w:val="3para"/>
        <w:tabs>
          <w:tab w:val="clear" w:pos="720"/>
        </w:tabs>
        <w:spacing w:after="120"/>
        <w:ind w:left="0" w:firstLine="0"/>
        <w:rPr>
          <w:lang w:val="en-US"/>
        </w:rPr>
      </w:pPr>
      <w:r>
        <w:rPr>
          <w:lang w:val="en-US"/>
        </w:rPr>
        <w:t>4.1</w:t>
      </w:r>
      <w:r>
        <w:rPr>
          <w:lang w:val="en-US"/>
        </w:rPr>
        <w:tab/>
      </w:r>
      <w:r w:rsidR="00C20963">
        <w:rPr>
          <w:lang w:val="en-US"/>
        </w:rPr>
        <w:t>The following potential course of action have been identified:</w:t>
      </w:r>
    </w:p>
    <w:p w14:paraId="0FAAC65C" w14:textId="77777777" w:rsidR="00C20963" w:rsidRDefault="00C20963" w:rsidP="00C20963">
      <w:pPr>
        <w:pStyle w:val="3para"/>
        <w:numPr>
          <w:ilvl w:val="0"/>
          <w:numId w:val="12"/>
        </w:numPr>
        <w:tabs>
          <w:tab w:val="clear" w:pos="1440"/>
        </w:tabs>
        <w:spacing w:after="120"/>
        <w:ind w:left="2126" w:hanging="567"/>
        <w:rPr>
          <w:lang w:val="en-US"/>
        </w:rPr>
      </w:pPr>
      <w:r>
        <w:rPr>
          <w:lang w:val="en-US"/>
        </w:rPr>
        <w:t>Accept that Recommendation ITU-R SM.1541is not appropriate with respect to aeronautical communication systems and take no further action.</w:t>
      </w:r>
    </w:p>
    <w:p w14:paraId="25886F3F" w14:textId="77777777" w:rsidR="003A70ED" w:rsidRDefault="00C20963" w:rsidP="00C20963">
      <w:pPr>
        <w:pStyle w:val="3para"/>
        <w:numPr>
          <w:ilvl w:val="0"/>
          <w:numId w:val="12"/>
        </w:numPr>
        <w:tabs>
          <w:tab w:val="clear" w:pos="1440"/>
        </w:tabs>
        <w:spacing w:after="120"/>
        <w:ind w:left="2126" w:hanging="567"/>
        <w:rPr>
          <w:lang w:val="en-US"/>
        </w:rPr>
      </w:pPr>
      <w:r>
        <w:rPr>
          <w:lang w:val="en-US"/>
        </w:rPr>
        <w:t>Accept the principle that for aeronautical communication systems the necessary bandwidth equals the -25 dB and not the -3dB bandwidth</w:t>
      </w:r>
      <w:r w:rsidR="003A70ED">
        <w:rPr>
          <w:lang w:val="en-US"/>
        </w:rPr>
        <w:t>.</w:t>
      </w:r>
    </w:p>
    <w:p w14:paraId="7E2083B9" w14:textId="77777777" w:rsidR="00C20963" w:rsidRDefault="00C20963" w:rsidP="00C20963">
      <w:pPr>
        <w:pStyle w:val="3para"/>
        <w:numPr>
          <w:ilvl w:val="0"/>
          <w:numId w:val="12"/>
        </w:numPr>
        <w:tabs>
          <w:tab w:val="clear" w:pos="1440"/>
        </w:tabs>
        <w:ind w:left="2126" w:hanging="567"/>
        <w:rPr>
          <w:lang w:val="en-US"/>
        </w:rPr>
      </w:pPr>
      <w:r>
        <w:rPr>
          <w:lang w:val="en-US"/>
        </w:rPr>
        <w:t>Seek a revision of the Recommendation to bring it in line with our understanding of necessary bandwidth</w:t>
      </w:r>
    </w:p>
    <w:p w14:paraId="406A471E" w14:textId="77777777" w:rsidR="003A70ED" w:rsidRDefault="003A70ED" w:rsidP="003A70ED">
      <w:pPr>
        <w:pStyle w:val="3para"/>
        <w:tabs>
          <w:tab w:val="clear" w:pos="720"/>
        </w:tabs>
        <w:ind w:left="0" w:firstLine="0"/>
        <w:rPr>
          <w:lang w:val="en-US"/>
        </w:rPr>
      </w:pPr>
    </w:p>
    <w:p w14:paraId="48372DED" w14:textId="77777777" w:rsidR="00770160" w:rsidRDefault="00770160" w:rsidP="00C20963">
      <w:pPr>
        <w:pStyle w:val="1Heading"/>
        <w:numPr>
          <w:ilvl w:val="0"/>
          <w:numId w:val="13"/>
        </w:numPr>
        <w:ind w:hanging="720"/>
      </w:pPr>
      <w:r>
        <w:t>ACTION BY THE MEETING</w:t>
      </w:r>
    </w:p>
    <w:p w14:paraId="07E9C9BF" w14:textId="77777777" w:rsidR="00770160" w:rsidRDefault="00C20963" w:rsidP="00C20963">
      <w:pPr>
        <w:pStyle w:val="2para"/>
        <w:tabs>
          <w:tab w:val="clear" w:pos="720"/>
        </w:tabs>
        <w:ind w:left="0" w:firstLine="0"/>
      </w:pPr>
      <w:r>
        <w:t>5.1</w:t>
      </w:r>
      <w:r>
        <w:tab/>
      </w:r>
      <w:r w:rsidR="00770160">
        <w:t>The meeting is invited to:</w:t>
      </w:r>
    </w:p>
    <w:p w14:paraId="2EED6666" w14:textId="77777777" w:rsidR="00770160" w:rsidRDefault="00770160">
      <w:pPr>
        <w:pStyle w:val="Listabc"/>
      </w:pPr>
      <w:r>
        <w:rPr>
          <w:lang w:val="en-GB"/>
        </w:rPr>
        <w:t>n</w:t>
      </w:r>
      <w:r>
        <w:t>ote and review the contents of this working paper;</w:t>
      </w:r>
    </w:p>
    <w:p w14:paraId="647E31DE" w14:textId="77777777" w:rsidR="00770160" w:rsidRDefault="00743B8C" w:rsidP="00F61031">
      <w:pPr>
        <w:pStyle w:val="Listabc"/>
      </w:pPr>
      <w:r>
        <w:t>provide feedback</w:t>
      </w:r>
      <w:r w:rsidR="00C20963">
        <w:t xml:space="preserve"> as to whether the issue needs to be addressed and if so how best to proceed</w:t>
      </w:r>
      <w:r w:rsidR="00770160">
        <w:t xml:space="preserve">. </w:t>
      </w:r>
    </w:p>
    <w:p w14:paraId="584BF12E" w14:textId="77777777" w:rsidR="00743B8C" w:rsidRDefault="00743B8C">
      <w:pPr>
        <w:jc w:val="left"/>
        <w:rPr>
          <w:noProof/>
          <w:lang w:val="en-AU"/>
        </w:rPr>
      </w:pPr>
      <w:r>
        <w:br w:type="page"/>
      </w:r>
    </w:p>
    <w:p w14:paraId="16762AB6" w14:textId="78C50951" w:rsidR="00A12CBA" w:rsidRDefault="00770160">
      <w:pPr>
        <w:spacing w:before="600"/>
        <w:jc w:val="center"/>
      </w:pPr>
      <w:r>
        <w:lastRenderedPageBreak/>
        <w:t>— END —</w:t>
      </w:r>
      <w:bookmarkStart w:id="3" w:name="_GoBack"/>
      <w:bookmarkEnd w:id="3"/>
    </w:p>
    <w:sectPr w:rsidR="00A12CBA">
      <w:headerReference w:type="even" r:id="rId16"/>
      <w:headerReference w:type="default" r:id="rId17"/>
      <w:headerReference w:type="first" r:id="rId18"/>
      <w:footerReference w:type="first" r:id="rId19"/>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7AF24" w14:textId="77777777" w:rsidR="007C275C" w:rsidRDefault="007C275C">
      <w:r>
        <w:separator/>
      </w:r>
    </w:p>
  </w:endnote>
  <w:endnote w:type="continuationSeparator" w:id="0">
    <w:p w14:paraId="20B829D5" w14:textId="77777777" w:rsidR="007C275C" w:rsidRDefault="007C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7FA6"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p w14:paraId="097DF832" w14:textId="4FA86057"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191CF7">
      <w:rPr>
        <w:noProof/>
        <w:sz w:val="18"/>
        <w:lang w:val="en-US"/>
      </w:rPr>
      <w:t>FSMP-WG08-WP20_SM-1541.docx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029F0" w14:textId="77777777" w:rsidR="007C275C" w:rsidRDefault="007C275C">
      <w:r>
        <w:separator/>
      </w:r>
    </w:p>
  </w:footnote>
  <w:footnote w:type="continuationSeparator" w:id="0">
    <w:p w14:paraId="794D1B31" w14:textId="77777777" w:rsidR="007C275C" w:rsidRDefault="007C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9E39" w14:textId="1252DB12" w:rsidR="008F70E3" w:rsidRDefault="008F70E3" w:rsidP="00725205">
    <w:pPr>
      <w:tabs>
        <w:tab w:val="center" w:pos="4876"/>
      </w:tabs>
      <w:spacing w:after="600"/>
    </w:pPr>
    <w:r>
      <w:t>FSMP WG/</w:t>
    </w:r>
    <w:r w:rsidR="00191CF7">
      <w:t>0</w:t>
    </w:r>
    <w:r>
      <w:t>8</w:t>
    </w:r>
    <w:r w:rsidR="00191CF7">
      <w:t xml:space="preserve"> </w:t>
    </w:r>
    <w:r>
      <w:t>WP/</w:t>
    </w:r>
    <w:r w:rsidR="00191CF7">
      <w:t>20</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12AD" w14:textId="0494335D"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w:t>
    </w:r>
    <w:r w:rsidR="00191CF7">
      <w:t xml:space="preserve"> WG/08 </w:t>
    </w:r>
    <w:r>
      <w:t>WP/</w:t>
    </w:r>
    <w:r w:rsidR="00191CF7">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8F70E3" w14:paraId="69EFCB17" w14:textId="77777777" w:rsidTr="00664C07">
      <w:trPr>
        <w:trHeight w:val="1790"/>
      </w:trPr>
      <w:tc>
        <w:tcPr>
          <w:tcW w:w="1915" w:type="dxa"/>
          <w:shd w:val="clear" w:color="auto" w:fill="FFFFFF"/>
        </w:tcPr>
        <w:p w14:paraId="2945A607" w14:textId="77777777" w:rsidR="008F70E3" w:rsidRDefault="008F70E3" w:rsidP="00664C07">
          <w:bookmarkStart w:id="4" w:name="logo"/>
          <w:r w:rsidRPr="00484298">
            <w:rPr>
              <w:noProof/>
              <w:lang w:eastAsia="zh-CN"/>
            </w:rPr>
            <w:drawing>
              <wp:inline distT="0" distB="0" distL="0" distR="0" wp14:anchorId="02838E87" wp14:editId="0BFF7131">
                <wp:extent cx="1085850" cy="876300"/>
                <wp:effectExtent l="0" t="0" r="0" b="0"/>
                <wp:docPr id="40" name="Picture 40"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4"/>
        </w:p>
      </w:tc>
      <w:tc>
        <w:tcPr>
          <w:tcW w:w="3895" w:type="dxa"/>
          <w:shd w:val="clear" w:color="auto" w:fill="FFFFFF"/>
          <w:tcMar>
            <w:right w:w="0" w:type="dxa"/>
          </w:tcMar>
        </w:tcPr>
        <w:p w14:paraId="6FFF1DE7" w14:textId="77777777" w:rsidR="008F70E3" w:rsidRPr="00066AB7" w:rsidRDefault="008F70E3"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1A6155B" wp14:editId="3B8E298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EA75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292B0C13" w14:textId="77777777" w:rsidR="008F70E3" w:rsidRPr="00066AB7" w:rsidRDefault="008F70E3" w:rsidP="00664C07">
          <w:pPr>
            <w:rPr>
              <w:rFonts w:ascii="Arial" w:hAnsi="Arial" w:cs="Arial"/>
              <w:szCs w:val="22"/>
            </w:rPr>
          </w:pPr>
          <w:r w:rsidRPr="00066AB7">
            <w:rPr>
              <w:rFonts w:ascii="Arial" w:hAnsi="Arial" w:cs="Arial"/>
              <w:szCs w:val="22"/>
            </w:rPr>
            <w:t>International Civil Aviation Organization</w:t>
          </w:r>
        </w:p>
        <w:p w14:paraId="737AF0C4" w14:textId="77777777" w:rsidR="008F70E3" w:rsidRPr="00066AB7" w:rsidRDefault="008F70E3" w:rsidP="00664C07">
          <w:pPr>
            <w:rPr>
              <w:rFonts w:ascii="Arial" w:hAnsi="Arial" w:cs="Arial"/>
              <w:szCs w:val="22"/>
            </w:rPr>
          </w:pPr>
        </w:p>
        <w:p w14:paraId="4E73946D" w14:textId="77777777" w:rsidR="008F70E3" w:rsidRPr="00066AB7" w:rsidRDefault="008F70E3"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52"/>
          </w:tblGrid>
          <w:tr w:rsidR="008F70E3" w14:paraId="72B619FF" w14:textId="77777777" w:rsidTr="00664C07">
            <w:trPr>
              <w:jc w:val="right"/>
            </w:trPr>
            <w:tc>
              <w:tcPr>
                <w:tcW w:w="0" w:type="auto"/>
              </w:tcPr>
              <w:p w14:paraId="4311F1F0" w14:textId="785E0A16" w:rsidR="008F70E3" w:rsidRPr="00066AB7" w:rsidRDefault="008F70E3" w:rsidP="00191CF7">
                <w:pPr>
                  <w:framePr w:hSpace="180" w:wrap="around" w:vAnchor="text" w:hAnchor="text" w:y="1"/>
                  <w:suppressOverlap/>
                  <w:jc w:val="left"/>
                  <w:rPr>
                    <w:szCs w:val="22"/>
                  </w:rPr>
                </w:pPr>
                <w:bookmarkStart w:id="5" w:name="document_no"/>
                <w:r>
                  <w:rPr>
                    <w:szCs w:val="22"/>
                  </w:rPr>
                  <w:t>FSMP WG-F</w:t>
                </w:r>
                <w:r w:rsidRPr="00066AB7">
                  <w:rPr>
                    <w:szCs w:val="22"/>
                  </w:rPr>
                  <w:t>/</w:t>
                </w:r>
                <w:r>
                  <w:rPr>
                    <w:szCs w:val="22"/>
                  </w:rPr>
                  <w:t>8</w:t>
                </w:r>
                <w:r w:rsidRPr="00066AB7">
                  <w:rPr>
                    <w:szCs w:val="22"/>
                  </w:rPr>
                  <w:t>-WP/</w:t>
                </w:r>
                <w:bookmarkEnd w:id="5"/>
                <w:r w:rsidR="00191CF7">
                  <w:rPr>
                    <w:szCs w:val="22"/>
                  </w:rPr>
                  <w:t>20</w:t>
                </w:r>
              </w:p>
              <w:p w14:paraId="227B63F3" w14:textId="5CAE3C96" w:rsidR="008F70E3" w:rsidRPr="00066AB7" w:rsidRDefault="008F70E3" w:rsidP="00191CF7">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Start w:id="11" w:name="date"/>
                <w:bookmarkEnd w:id="6"/>
                <w:bookmarkEnd w:id="7"/>
                <w:bookmarkEnd w:id="8"/>
                <w:bookmarkEnd w:id="9"/>
                <w:bookmarkEnd w:id="10"/>
                <w:r>
                  <w:rPr>
                    <w:sz w:val="18"/>
                    <w:szCs w:val="18"/>
                  </w:rPr>
                  <w:t>2019</w:t>
                </w:r>
                <w:bookmarkStart w:id="12" w:name="info_paper"/>
                <w:bookmarkEnd w:id="11"/>
                <w:bookmarkEnd w:id="12"/>
                <w:r w:rsidR="00191CF7">
                  <w:rPr>
                    <w:sz w:val="18"/>
                    <w:szCs w:val="18"/>
                  </w:rPr>
                  <w:t>-01-21</w:t>
                </w:r>
              </w:p>
            </w:tc>
          </w:tr>
          <w:tr w:rsidR="008F70E3" w14:paraId="3C5D49C2" w14:textId="77777777" w:rsidTr="00664C07">
            <w:trPr>
              <w:jc w:val="right"/>
            </w:trPr>
            <w:tc>
              <w:tcPr>
                <w:tcW w:w="0" w:type="auto"/>
              </w:tcPr>
              <w:p w14:paraId="4F1038BB" w14:textId="77777777" w:rsidR="008F70E3" w:rsidRPr="00066AB7" w:rsidRDefault="008F70E3" w:rsidP="00191CF7">
                <w:pPr>
                  <w:framePr w:hSpace="180" w:wrap="around" w:vAnchor="text" w:hAnchor="text" w:y="1"/>
                  <w:suppressOverlap/>
                  <w:jc w:val="left"/>
                  <w:rPr>
                    <w:szCs w:val="22"/>
                  </w:rPr>
                </w:pPr>
              </w:p>
            </w:tc>
          </w:tr>
        </w:tbl>
        <w:p w14:paraId="61E35990" w14:textId="77777777" w:rsidR="008F70E3" w:rsidRPr="00066AB7" w:rsidRDefault="008F70E3" w:rsidP="00664C07">
          <w:pPr>
            <w:tabs>
              <w:tab w:val="left" w:pos="720"/>
              <w:tab w:val="left" w:pos="1440"/>
              <w:tab w:val="left" w:pos="1800"/>
              <w:tab w:val="left" w:pos="2160"/>
              <w:tab w:val="left" w:pos="2520"/>
              <w:tab w:val="left" w:pos="2880"/>
            </w:tabs>
            <w:ind w:left="4320"/>
            <w:rPr>
              <w:b/>
              <w:sz w:val="18"/>
              <w:szCs w:val="18"/>
            </w:rPr>
          </w:pPr>
        </w:p>
      </w:tc>
    </w:tr>
  </w:tbl>
  <w:p w14:paraId="2F4F3322" w14:textId="53F48EF9" w:rsidR="00191CF7" w:rsidRDefault="00191CF7" w:rsidP="00191CF7">
    <w:pPr>
      <w:pStyle w:val="3para"/>
      <w:numPr>
        <w:ilvl w:val="0"/>
        <w:numId w:val="0"/>
      </w:numPr>
      <w:tabs>
        <w:tab w:val="left" w:pos="6480"/>
      </w:tabs>
      <w:spacing w:after="0"/>
      <w:outlineLvl w:val="9"/>
      <w:rPr>
        <w:b/>
      </w:rPr>
    </w:pPr>
  </w:p>
  <w:p w14:paraId="0C6969E9" w14:textId="23571E03" w:rsidR="008F70E3" w:rsidRDefault="008F70E3">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1E04910"/>
    <w:multiLevelType w:val="hybridMultilevel"/>
    <w:tmpl w:val="B74C73B6"/>
    <w:lvl w:ilvl="0" w:tplc="C84E07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85924"/>
    <w:multiLevelType w:val="hybridMultilevel"/>
    <w:tmpl w:val="1880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9"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6"/>
  </w:num>
  <w:num w:numId="2">
    <w:abstractNumId w:val="8"/>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0"/>
  </w:num>
  <w:num w:numId="9">
    <w:abstractNumId w:val="5"/>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20BD"/>
    <w:rsid w:val="000273D2"/>
    <w:rsid w:val="00034907"/>
    <w:rsid w:val="00051078"/>
    <w:rsid w:val="000549D9"/>
    <w:rsid w:val="000778F6"/>
    <w:rsid w:val="000D26D5"/>
    <w:rsid w:val="001252FC"/>
    <w:rsid w:val="0014321F"/>
    <w:rsid w:val="00191CF7"/>
    <w:rsid w:val="001A7D32"/>
    <w:rsid w:val="001B69AE"/>
    <w:rsid w:val="001E4D40"/>
    <w:rsid w:val="001E6992"/>
    <w:rsid w:val="001F6AC0"/>
    <w:rsid w:val="00236DD1"/>
    <w:rsid w:val="002604D7"/>
    <w:rsid w:val="002A1B9A"/>
    <w:rsid w:val="002E641D"/>
    <w:rsid w:val="0033749D"/>
    <w:rsid w:val="003A70ED"/>
    <w:rsid w:val="003D3DB3"/>
    <w:rsid w:val="003D7FD8"/>
    <w:rsid w:val="003E3CDE"/>
    <w:rsid w:val="00425343"/>
    <w:rsid w:val="004411C6"/>
    <w:rsid w:val="004548BD"/>
    <w:rsid w:val="00455F75"/>
    <w:rsid w:val="00467CD5"/>
    <w:rsid w:val="004735BC"/>
    <w:rsid w:val="0049280E"/>
    <w:rsid w:val="004A0E66"/>
    <w:rsid w:val="004E3C6F"/>
    <w:rsid w:val="004E5490"/>
    <w:rsid w:val="00524960"/>
    <w:rsid w:val="005D6FB7"/>
    <w:rsid w:val="005E6463"/>
    <w:rsid w:val="00625E2A"/>
    <w:rsid w:val="00664C07"/>
    <w:rsid w:val="00680513"/>
    <w:rsid w:val="006D5213"/>
    <w:rsid w:val="00725205"/>
    <w:rsid w:val="00743B8C"/>
    <w:rsid w:val="00770160"/>
    <w:rsid w:val="00785A9A"/>
    <w:rsid w:val="007874C9"/>
    <w:rsid w:val="007C275C"/>
    <w:rsid w:val="007C450D"/>
    <w:rsid w:val="008509DE"/>
    <w:rsid w:val="008565D4"/>
    <w:rsid w:val="00860FB4"/>
    <w:rsid w:val="00872122"/>
    <w:rsid w:val="00876897"/>
    <w:rsid w:val="00880734"/>
    <w:rsid w:val="008B54C4"/>
    <w:rsid w:val="008D4A94"/>
    <w:rsid w:val="008E132E"/>
    <w:rsid w:val="008F70E3"/>
    <w:rsid w:val="008F7F3F"/>
    <w:rsid w:val="00920C27"/>
    <w:rsid w:val="00940469"/>
    <w:rsid w:val="009729B6"/>
    <w:rsid w:val="0098140E"/>
    <w:rsid w:val="009B2217"/>
    <w:rsid w:val="009C0B22"/>
    <w:rsid w:val="009C7B2B"/>
    <w:rsid w:val="009D4D05"/>
    <w:rsid w:val="00A03CFF"/>
    <w:rsid w:val="00A12CBA"/>
    <w:rsid w:val="00A1413D"/>
    <w:rsid w:val="00A202BE"/>
    <w:rsid w:val="00A232A8"/>
    <w:rsid w:val="00A24BBE"/>
    <w:rsid w:val="00A30EB9"/>
    <w:rsid w:val="00A72D97"/>
    <w:rsid w:val="00A776ED"/>
    <w:rsid w:val="00A81707"/>
    <w:rsid w:val="00A908E3"/>
    <w:rsid w:val="00AB1D69"/>
    <w:rsid w:val="00AB21E2"/>
    <w:rsid w:val="00AB7A2C"/>
    <w:rsid w:val="00AD6BBF"/>
    <w:rsid w:val="00AD77E8"/>
    <w:rsid w:val="00AF269B"/>
    <w:rsid w:val="00B0146B"/>
    <w:rsid w:val="00B803D8"/>
    <w:rsid w:val="00BB7240"/>
    <w:rsid w:val="00BE4487"/>
    <w:rsid w:val="00C20963"/>
    <w:rsid w:val="00C2516F"/>
    <w:rsid w:val="00C94A6C"/>
    <w:rsid w:val="00C97091"/>
    <w:rsid w:val="00CF72A2"/>
    <w:rsid w:val="00D159E1"/>
    <w:rsid w:val="00D26F88"/>
    <w:rsid w:val="00D7113D"/>
    <w:rsid w:val="00D71EFF"/>
    <w:rsid w:val="00D91301"/>
    <w:rsid w:val="00DB0B51"/>
    <w:rsid w:val="00DF76D3"/>
    <w:rsid w:val="00E207F4"/>
    <w:rsid w:val="00E464A6"/>
    <w:rsid w:val="00E7165B"/>
    <w:rsid w:val="00E77340"/>
    <w:rsid w:val="00E97E72"/>
    <w:rsid w:val="00EA4BC8"/>
    <w:rsid w:val="00EE31BF"/>
    <w:rsid w:val="00EF5596"/>
    <w:rsid w:val="00F2288D"/>
    <w:rsid w:val="00F31C55"/>
    <w:rsid w:val="00F40D8A"/>
    <w:rsid w:val="00F770FB"/>
    <w:rsid w:val="00F87EF1"/>
    <w:rsid w:val="00F953A6"/>
    <w:rsid w:val="00FE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F1054"/>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character" w:customStyle="1" w:styleId="NoteChar">
    <w:name w:val="Note Char"/>
    <w:basedOn w:val="DefaultParagraphFont"/>
    <w:link w:val="Note"/>
    <w:locked/>
    <w:rsid w:val="001252FC"/>
    <w:rPr>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1ED32-CF83-3B4C-9D4F-4F1BF2C4ED44}"/>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1CCFA6C8-A1E6-4126-BAE6-9BC7FED87E0D}"/>
</file>

<file path=customXml/itemProps4.xml><?xml version="1.0" encoding="utf-8"?>
<ds:datastoreItem xmlns:ds="http://schemas.openxmlformats.org/officeDocument/2006/customXml" ds:itemID="{56F4D1F9-651E-4D9E-B840-D63F57169B1F}"/>
</file>

<file path=docProps/app.xml><?xml version="1.0" encoding="utf-8"?>
<Properties xmlns="http://schemas.openxmlformats.org/officeDocument/2006/extended-properties" xmlns:vt="http://schemas.openxmlformats.org/officeDocument/2006/docPropsVTypes">
  <Template>Normal.dotm</Template>
  <TotalTime>2</TotalTime>
  <Pages>6</Pages>
  <Words>890</Words>
  <Characters>4935</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2005-03-16T13:26:00Z</cp:lastPrinted>
  <dcterms:created xsi:type="dcterms:W3CDTF">2019-01-18T07:59:00Z</dcterms:created>
  <dcterms:modified xsi:type="dcterms:W3CDTF">2019-01-21T14:37:00Z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