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D0AA6" w14:textId="77777777" w:rsidR="00770160" w:rsidRPr="00D94FD3" w:rsidRDefault="000D26D5" w:rsidP="00725205">
      <w:pPr>
        <w:jc w:val="center"/>
        <w:rPr>
          <w:b/>
          <w:sz w:val="24"/>
          <w:szCs w:val="24"/>
        </w:rPr>
      </w:pPr>
      <w:r w:rsidRPr="00D94FD3">
        <w:rPr>
          <w:b/>
          <w:sz w:val="24"/>
          <w:szCs w:val="24"/>
          <w:lang w:val="en-US"/>
        </w:rPr>
        <w:t>FREQUENCY SPECTRUM</w:t>
      </w:r>
      <w:r w:rsidRPr="00D94FD3">
        <w:rPr>
          <w:b/>
          <w:sz w:val="24"/>
          <w:szCs w:val="24"/>
        </w:rPr>
        <w:t xml:space="preserve"> MAN</w:t>
      </w:r>
      <w:r w:rsidR="00D94FD3" w:rsidRPr="00D94FD3">
        <w:rPr>
          <w:b/>
          <w:sz w:val="24"/>
          <w:szCs w:val="24"/>
        </w:rPr>
        <w:t>AGEMENT</w:t>
      </w:r>
      <w:r w:rsidRPr="00D94FD3">
        <w:rPr>
          <w:b/>
          <w:sz w:val="24"/>
          <w:szCs w:val="24"/>
        </w:rPr>
        <w:t xml:space="preserve"> PANEL (FSMP)</w:t>
      </w:r>
    </w:p>
    <w:p w14:paraId="577E45F7" w14:textId="77777777" w:rsidR="00770160" w:rsidRDefault="00770160">
      <w:pPr>
        <w:tabs>
          <w:tab w:val="left" w:pos="6972"/>
        </w:tabs>
        <w:jc w:val="center"/>
        <w:rPr>
          <w:b/>
        </w:rPr>
      </w:pPr>
    </w:p>
    <w:p w14:paraId="224EEF65" w14:textId="77777777" w:rsidR="00F56F90" w:rsidRDefault="00F56F90" w:rsidP="00F56F90">
      <w:pPr>
        <w:pStyle w:val="Maintitle"/>
      </w:pPr>
      <w:r>
        <w:t>Eighth Working Group meeting</w:t>
      </w:r>
    </w:p>
    <w:p w14:paraId="4942C74A" w14:textId="77777777" w:rsidR="00F56F90" w:rsidRDefault="00F56F90" w:rsidP="00F56F90"/>
    <w:p w14:paraId="21E4344E" w14:textId="77777777" w:rsidR="00F56F90" w:rsidRDefault="00F56F90" w:rsidP="00F56F90">
      <w:pPr>
        <w:jc w:val="center"/>
        <w:rPr>
          <w:b/>
          <w:bCs/>
          <w:szCs w:val="22"/>
        </w:rPr>
      </w:pPr>
      <w:bookmarkStart w:id="0" w:name="agenda_item"/>
      <w:bookmarkEnd w:id="0"/>
      <w:r>
        <w:rPr>
          <w:b/>
          <w:bCs/>
          <w:szCs w:val="22"/>
        </w:rPr>
        <w:t>Montréal, Canada, 21 – 29 January 2019</w:t>
      </w:r>
    </w:p>
    <w:p w14:paraId="4AB766AF" w14:textId="77777777" w:rsidR="00770160" w:rsidRDefault="00770160">
      <w:pPr>
        <w:tabs>
          <w:tab w:val="left" w:pos="0"/>
          <w:tab w:val="left" w:pos="1570"/>
          <w:tab w:val="left" w:pos="1857"/>
        </w:tabs>
      </w:pPr>
    </w:p>
    <w:p w14:paraId="78EB12F3" w14:textId="77777777" w:rsidR="00770160" w:rsidRDefault="00770160">
      <w:pPr>
        <w:tabs>
          <w:tab w:val="left" w:pos="0"/>
          <w:tab w:val="left" w:pos="1570"/>
          <w:tab w:val="left" w:pos="1857"/>
        </w:tabs>
      </w:pPr>
    </w:p>
    <w:p w14:paraId="6D42EA23" w14:textId="77777777" w:rsidR="00CA5EA3" w:rsidRPr="001D060A" w:rsidRDefault="00CA5EA3" w:rsidP="00CA5EA3">
      <w:pPr>
        <w:pStyle w:val="Agendaitemtitle"/>
        <w:rPr>
          <w:szCs w:val="24"/>
        </w:rPr>
      </w:pPr>
      <w:r>
        <w:rPr>
          <w:lang w:val="sv-SE"/>
        </w:rPr>
        <w:t>Agenda Item 7:</w:t>
      </w:r>
      <w:r>
        <w:rPr>
          <w:lang w:val="sv-SE"/>
        </w:rPr>
        <w:tab/>
      </w:r>
      <w:r w:rsidRPr="001D060A">
        <w:t>Interference From Non-Aeronautical Sources</w:t>
      </w:r>
    </w:p>
    <w:p w14:paraId="3B1D3647" w14:textId="77777777" w:rsidR="00CA5EA3" w:rsidRPr="001D060A" w:rsidRDefault="00CA5EA3" w:rsidP="00CA5EA3">
      <w:pPr>
        <w:widowControl w:val="0"/>
        <w:numPr>
          <w:ilvl w:val="0"/>
          <w:numId w:val="6"/>
        </w:numPr>
        <w:tabs>
          <w:tab w:val="left" w:pos="2694"/>
        </w:tabs>
        <w:autoSpaceDE w:val="0"/>
        <w:autoSpaceDN w:val="0"/>
        <w:adjustRightInd w:val="0"/>
        <w:spacing w:before="1" w:after="160" w:line="252" w:lineRule="exact"/>
        <w:ind w:left="2694" w:hanging="719"/>
        <w:jc w:val="left"/>
        <w:rPr>
          <w:b/>
          <w:bCs/>
          <w:szCs w:val="24"/>
        </w:rPr>
      </w:pPr>
      <w:r w:rsidRPr="001D060A">
        <w:rPr>
          <w:b/>
          <w:bCs/>
          <w:szCs w:val="24"/>
        </w:rPr>
        <w:t>Programme Making and Special Events</w:t>
      </w:r>
      <w:r w:rsidRPr="001D060A">
        <w:rPr>
          <w:b/>
          <w:bCs/>
          <w:spacing w:val="-13"/>
          <w:szCs w:val="24"/>
        </w:rPr>
        <w:t xml:space="preserve"> </w:t>
      </w:r>
      <w:r w:rsidRPr="001D060A">
        <w:rPr>
          <w:b/>
          <w:bCs/>
          <w:szCs w:val="24"/>
        </w:rPr>
        <w:t>(PMSE)</w:t>
      </w:r>
    </w:p>
    <w:p w14:paraId="6AB81B7B" w14:textId="77777777" w:rsidR="00CA5EA3" w:rsidRDefault="00CA5EA3" w:rsidP="00CA5EA3">
      <w:pPr>
        <w:tabs>
          <w:tab w:val="left" w:pos="6972"/>
        </w:tabs>
        <w:rPr>
          <w:b/>
          <w:lang w:val="sv-SE"/>
        </w:rPr>
      </w:pPr>
    </w:p>
    <w:p w14:paraId="340327C8" w14:textId="77777777" w:rsidR="00CA5EA3" w:rsidRDefault="00CA5EA3" w:rsidP="00CA5EA3">
      <w:pPr>
        <w:pStyle w:val="Maintitle"/>
      </w:pPr>
      <w:r>
        <w:t>UK Ofcom Safety Assurance Case (SAC)</w:t>
      </w:r>
    </w:p>
    <w:p w14:paraId="781A0549" w14:textId="77777777" w:rsidR="00CA5EA3" w:rsidRDefault="00CA5EA3" w:rsidP="00CA5EA3">
      <w:pPr>
        <w:tabs>
          <w:tab w:val="left" w:pos="6972"/>
        </w:tabs>
      </w:pPr>
    </w:p>
    <w:p w14:paraId="1949B55D" w14:textId="77777777" w:rsidR="00CA5EA3" w:rsidRDefault="00CA5EA3" w:rsidP="00CA5EA3">
      <w:pPr>
        <w:jc w:val="center"/>
      </w:pPr>
      <w:r>
        <w:t>(Presented by</w:t>
      </w:r>
      <w:bookmarkStart w:id="1" w:name="presented_by"/>
      <w:bookmarkEnd w:id="1"/>
      <w:r>
        <w:t xml:space="preserve"> the Secretary)</w:t>
      </w:r>
    </w:p>
    <w:p w14:paraId="3BBF5D5E" w14:textId="77777777" w:rsidR="00770160" w:rsidRDefault="00770160"/>
    <w:p w14:paraId="376DBBE9"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1F0AB642" w14:textId="77777777">
        <w:trPr>
          <w:cantSplit/>
          <w:trHeight w:hRule="exact" w:val="480"/>
          <w:jc w:val="center"/>
        </w:trPr>
        <w:tc>
          <w:tcPr>
            <w:tcW w:w="7200" w:type="dxa"/>
            <w:vAlign w:val="center"/>
          </w:tcPr>
          <w:p w14:paraId="07CEAE8B" w14:textId="77777777" w:rsidR="00770160" w:rsidRDefault="00770160">
            <w:pPr>
              <w:jc w:val="center"/>
              <w:rPr>
                <w:sz w:val="24"/>
                <w:lang w:val="en-US"/>
              </w:rPr>
            </w:pPr>
            <w:r>
              <w:rPr>
                <w:b/>
              </w:rPr>
              <w:t>SUMMARY</w:t>
            </w:r>
          </w:p>
        </w:tc>
      </w:tr>
      <w:tr w:rsidR="00770160" w14:paraId="55562AC0" w14:textId="77777777">
        <w:trPr>
          <w:cantSplit/>
          <w:jc w:val="center"/>
        </w:trPr>
        <w:tc>
          <w:tcPr>
            <w:tcW w:w="7200" w:type="dxa"/>
          </w:tcPr>
          <w:p w14:paraId="78FEB872" w14:textId="77777777" w:rsidR="00CA5EA3" w:rsidRDefault="00CA5EA3" w:rsidP="00CA5EA3">
            <w:pPr>
              <w:rPr>
                <w:lang w:val="en-US"/>
              </w:rPr>
            </w:pPr>
            <w:r>
              <w:rPr>
                <w:lang w:val="en-US"/>
              </w:rPr>
              <w:t xml:space="preserve">In December 2018 </w:t>
            </w:r>
            <w:r w:rsidR="006C7280">
              <w:rPr>
                <w:lang w:val="en-US"/>
              </w:rPr>
              <w:t>the UK Spectrum Regulatory Authority (</w:t>
            </w:r>
            <w:r>
              <w:rPr>
                <w:lang w:val="en-US"/>
              </w:rPr>
              <w:t xml:space="preserve">UK </w:t>
            </w:r>
            <w:proofErr w:type="spellStart"/>
            <w:r>
              <w:rPr>
                <w:lang w:val="en-US"/>
              </w:rPr>
              <w:t>Ofcom</w:t>
            </w:r>
            <w:proofErr w:type="spellEnd"/>
            <w:r w:rsidR="006C7280">
              <w:rPr>
                <w:lang w:val="en-US"/>
              </w:rPr>
              <w:t>)</w:t>
            </w:r>
            <w:r>
              <w:rPr>
                <w:lang w:val="en-US"/>
              </w:rPr>
              <w:t xml:space="preserve"> and UK C</w:t>
            </w:r>
            <w:r w:rsidR="006C7280">
              <w:rPr>
                <w:lang w:val="en-US"/>
              </w:rPr>
              <w:t>ivil Aviation Authority (UK C</w:t>
            </w:r>
            <w:r>
              <w:rPr>
                <w:lang w:val="en-US"/>
              </w:rPr>
              <w:t>AA</w:t>
            </w:r>
            <w:r w:rsidR="006C7280">
              <w:rPr>
                <w:lang w:val="en-US"/>
              </w:rPr>
              <w:t>)</w:t>
            </w:r>
            <w:r>
              <w:rPr>
                <w:lang w:val="en-US"/>
              </w:rPr>
              <w:t xml:space="preserve"> released a joint communication indicating </w:t>
            </w:r>
            <w:r w:rsidR="00B7790B">
              <w:rPr>
                <w:lang w:val="en-US"/>
              </w:rPr>
              <w:t xml:space="preserve">UK </w:t>
            </w:r>
            <w:proofErr w:type="spellStart"/>
            <w:r>
              <w:rPr>
                <w:lang w:val="en-US"/>
              </w:rPr>
              <w:t>Ofcom’s</w:t>
            </w:r>
            <w:proofErr w:type="spellEnd"/>
            <w:r>
              <w:rPr>
                <w:lang w:val="en-US"/>
              </w:rPr>
              <w:t xml:space="preserve"> decision to operate PMSE within the 960 – 1164 MHz band which is used by aeronautical radionavigation and surveillance systems.  </w:t>
            </w:r>
          </w:p>
          <w:p w14:paraId="5EF6EFA3" w14:textId="77777777" w:rsidR="00CA5EA3" w:rsidRDefault="00CA5EA3" w:rsidP="001826BA">
            <w:pPr>
              <w:rPr>
                <w:lang w:val="en-US"/>
              </w:rPr>
            </w:pPr>
            <w:r>
              <w:rPr>
                <w:lang w:val="en-US"/>
              </w:rPr>
              <w:t xml:space="preserve">This decision is based on the acceptance of UK CAA of a </w:t>
            </w:r>
            <w:r w:rsidR="00AE1A98">
              <w:rPr>
                <w:i/>
                <w:iCs/>
                <w:lang w:val="en-US"/>
              </w:rPr>
              <w:t xml:space="preserve">Safety Assurance </w:t>
            </w:r>
            <w:proofErr w:type="gramStart"/>
            <w:r w:rsidR="00AE1A98">
              <w:rPr>
                <w:i/>
                <w:iCs/>
                <w:lang w:val="en-US"/>
              </w:rPr>
              <w:t>C</w:t>
            </w:r>
            <w:r w:rsidRPr="00A874E8">
              <w:rPr>
                <w:i/>
                <w:iCs/>
                <w:lang w:val="en-US"/>
              </w:rPr>
              <w:t>ase</w:t>
            </w:r>
            <w:r>
              <w:rPr>
                <w:lang w:val="en-US"/>
              </w:rPr>
              <w:t xml:space="preserve">  (</w:t>
            </w:r>
            <w:proofErr w:type="gramEnd"/>
            <w:r>
              <w:rPr>
                <w:lang w:val="en-US"/>
              </w:rPr>
              <w:t xml:space="preserve">SAC) developed by UK </w:t>
            </w:r>
            <w:proofErr w:type="spellStart"/>
            <w:r>
              <w:rPr>
                <w:lang w:val="en-US"/>
              </w:rPr>
              <w:t>Ofcom</w:t>
            </w:r>
            <w:proofErr w:type="spellEnd"/>
            <w:r>
              <w:rPr>
                <w:lang w:val="en-US"/>
              </w:rPr>
              <w:t xml:space="preserve">.  </w:t>
            </w:r>
          </w:p>
          <w:p w14:paraId="425434BB" w14:textId="77777777" w:rsidR="00CA5EA3" w:rsidRDefault="00CA5EA3" w:rsidP="00CA5EA3">
            <w:pPr>
              <w:rPr>
                <w:lang w:val="en-US"/>
              </w:rPr>
            </w:pPr>
          </w:p>
          <w:p w14:paraId="3377AEB8" w14:textId="77777777" w:rsidR="00CA5EA3" w:rsidRDefault="00CA5EA3" w:rsidP="00AE1A98">
            <w:pPr>
              <w:rPr>
                <w:lang w:val="en-US"/>
              </w:rPr>
            </w:pPr>
            <w:r>
              <w:rPr>
                <w:lang w:val="en-US"/>
              </w:rPr>
              <w:t>Prior to UK CAA’s acceptance of the SAC</w:t>
            </w:r>
            <w:r w:rsidR="001826BA">
              <w:rPr>
                <w:lang w:val="en-US"/>
              </w:rPr>
              <w:t xml:space="preserve"> document</w:t>
            </w:r>
            <w:r>
              <w:rPr>
                <w:lang w:val="en-US"/>
              </w:rPr>
              <w:t>, the ICAO Secretariat had a brief opportunity to review it</w:t>
            </w:r>
            <w:r w:rsidR="00B7790B">
              <w:rPr>
                <w:lang w:val="en-US"/>
              </w:rPr>
              <w:t xml:space="preserve"> and provide comments</w:t>
            </w:r>
            <w:r>
              <w:rPr>
                <w:lang w:val="en-US"/>
              </w:rPr>
              <w:t>.  In this context it should be noted that the SAC</w:t>
            </w:r>
            <w:r w:rsidR="001826BA">
              <w:rPr>
                <w:lang w:val="en-US"/>
              </w:rPr>
              <w:t xml:space="preserve"> document</w:t>
            </w:r>
            <w:r>
              <w:rPr>
                <w:i/>
                <w:iCs/>
                <w:lang w:val="en-US"/>
              </w:rPr>
              <w:t xml:space="preserve"> </w:t>
            </w:r>
            <w:r>
              <w:rPr>
                <w:lang w:val="en-US"/>
              </w:rPr>
              <w:t xml:space="preserve">is not considered equivalent to a </w:t>
            </w:r>
            <w:r w:rsidR="00AE1A98">
              <w:rPr>
                <w:i/>
                <w:iCs/>
                <w:lang w:val="en-US"/>
              </w:rPr>
              <w:t>S</w:t>
            </w:r>
            <w:r w:rsidRPr="00823C0E">
              <w:rPr>
                <w:i/>
                <w:iCs/>
                <w:lang w:val="en-US"/>
              </w:rPr>
              <w:t xml:space="preserve">afety </w:t>
            </w:r>
            <w:r w:rsidR="00AE1A98">
              <w:rPr>
                <w:i/>
                <w:iCs/>
                <w:lang w:val="en-US"/>
              </w:rPr>
              <w:t>C</w:t>
            </w:r>
            <w:r w:rsidR="00B7790B">
              <w:rPr>
                <w:i/>
                <w:iCs/>
                <w:lang w:val="en-US"/>
              </w:rPr>
              <w:t>ase</w:t>
            </w:r>
            <w:r>
              <w:rPr>
                <w:lang w:val="en-US"/>
              </w:rPr>
              <w:t xml:space="preserve">, which, according to the ICAO and EASA regulatory frameworks has to be developed by the affected </w:t>
            </w:r>
            <w:r w:rsidR="00AE1A98">
              <w:rPr>
                <w:lang w:val="en-US"/>
              </w:rPr>
              <w:t>Air Traffic Service P</w:t>
            </w:r>
            <w:r>
              <w:rPr>
                <w:lang w:val="en-US"/>
              </w:rPr>
              <w:t>roviders</w:t>
            </w:r>
            <w:r w:rsidR="00B7790B">
              <w:rPr>
                <w:lang w:val="en-US"/>
              </w:rPr>
              <w:t xml:space="preserve"> and approved by the national </w:t>
            </w:r>
            <w:r w:rsidR="00AE1A98">
              <w:rPr>
                <w:lang w:val="en-US"/>
              </w:rPr>
              <w:t>Civil Aviation A</w:t>
            </w:r>
            <w:r w:rsidR="00B7790B">
              <w:rPr>
                <w:lang w:val="en-US"/>
              </w:rPr>
              <w:t>uthority</w:t>
            </w:r>
            <w:r>
              <w:rPr>
                <w:lang w:val="en-US"/>
              </w:rPr>
              <w:t>.</w:t>
            </w:r>
          </w:p>
          <w:p w14:paraId="117698F2" w14:textId="77777777" w:rsidR="00CA5EA3" w:rsidRPr="00823C0E" w:rsidRDefault="00CA5EA3" w:rsidP="00CA5EA3">
            <w:pPr>
              <w:rPr>
                <w:lang w:val="en-US"/>
              </w:rPr>
            </w:pPr>
          </w:p>
          <w:p w14:paraId="0DD63610" w14:textId="77777777" w:rsidR="00CA5EA3" w:rsidRDefault="00CA5EA3" w:rsidP="006C7280">
            <w:pPr>
              <w:rPr>
                <w:lang w:val="en-US"/>
              </w:rPr>
            </w:pPr>
            <w:r>
              <w:rPr>
                <w:lang w:val="en-US"/>
              </w:rPr>
              <w:t xml:space="preserve">During the Secretariat review it was noted that the </w:t>
            </w:r>
            <w:proofErr w:type="gramStart"/>
            <w:r>
              <w:rPr>
                <w:lang w:val="en-US"/>
              </w:rPr>
              <w:t>SAC  was</w:t>
            </w:r>
            <w:proofErr w:type="gramEnd"/>
            <w:r>
              <w:rPr>
                <w:lang w:val="en-US"/>
              </w:rPr>
              <w:t xml:space="preserve"> based on a number of assumptions, concluding that it is only valid if those assumptions remain accurate.  The Secretariat</w:t>
            </w:r>
            <w:r w:rsidR="00B7790B">
              <w:rPr>
                <w:lang w:val="en-US"/>
              </w:rPr>
              <w:t xml:space="preserve"> </w:t>
            </w:r>
            <w:r>
              <w:rPr>
                <w:lang w:val="en-US"/>
              </w:rPr>
              <w:t>review</w:t>
            </w:r>
            <w:r w:rsidR="00B7790B">
              <w:rPr>
                <w:lang w:val="en-US"/>
              </w:rPr>
              <w:t>ed</w:t>
            </w:r>
            <w:r>
              <w:rPr>
                <w:lang w:val="en-US"/>
              </w:rPr>
              <w:t xml:space="preserve"> the key assumptions </w:t>
            </w:r>
            <w:r w:rsidR="00B7790B">
              <w:rPr>
                <w:lang w:val="en-US"/>
              </w:rPr>
              <w:t xml:space="preserve">contained in the SAC and found some of those </w:t>
            </w:r>
            <w:r>
              <w:rPr>
                <w:lang w:val="en-US"/>
              </w:rPr>
              <w:t xml:space="preserve">not to be accurate.  The </w:t>
            </w:r>
            <w:r w:rsidR="00B7790B">
              <w:rPr>
                <w:lang w:val="en-US"/>
              </w:rPr>
              <w:t>outcome of this brief review was</w:t>
            </w:r>
            <w:r>
              <w:rPr>
                <w:lang w:val="en-US"/>
              </w:rPr>
              <w:t xml:space="preserve"> promptly communicated to the UK CAA.</w:t>
            </w:r>
          </w:p>
          <w:p w14:paraId="6DE4B57D" w14:textId="77777777" w:rsidR="00CA5EA3" w:rsidRDefault="00CA5EA3" w:rsidP="00CA5EA3">
            <w:pPr>
              <w:rPr>
                <w:lang w:val="en-US"/>
              </w:rPr>
            </w:pPr>
          </w:p>
          <w:p w14:paraId="7A1366A8" w14:textId="77777777" w:rsidR="00770160" w:rsidRDefault="00CA5EA3" w:rsidP="006C7280">
            <w:pPr>
              <w:rPr>
                <w:lang w:val="en-US"/>
              </w:rPr>
            </w:pPr>
            <w:r>
              <w:rPr>
                <w:lang w:val="en-US"/>
              </w:rPr>
              <w:t xml:space="preserve">FSMP WG/8 is invited to review and comment on the SAC developed by UK </w:t>
            </w:r>
            <w:proofErr w:type="spellStart"/>
            <w:r>
              <w:rPr>
                <w:lang w:val="en-US"/>
              </w:rPr>
              <w:t>Ofcom</w:t>
            </w:r>
            <w:proofErr w:type="spellEnd"/>
            <w:r>
              <w:rPr>
                <w:lang w:val="en-US"/>
              </w:rPr>
              <w:t xml:space="preserve"> (</w:t>
            </w:r>
            <w:r w:rsidRPr="00823C0E">
              <w:rPr>
                <w:lang w:val="en-US"/>
              </w:rPr>
              <w:t xml:space="preserve">Attachment </w:t>
            </w:r>
            <w:r>
              <w:rPr>
                <w:lang w:val="en-US"/>
              </w:rPr>
              <w:t>1)</w:t>
            </w:r>
            <w:r w:rsidRPr="00823C0E">
              <w:rPr>
                <w:lang w:val="en-US"/>
              </w:rPr>
              <w:t xml:space="preserve"> and</w:t>
            </w:r>
            <w:r>
              <w:rPr>
                <w:lang w:val="en-US"/>
              </w:rPr>
              <w:t xml:space="preserve"> the ICAO Secretariat </w:t>
            </w:r>
            <w:r w:rsidR="006C7280">
              <w:rPr>
                <w:lang w:val="en-US"/>
              </w:rPr>
              <w:t>review of it</w:t>
            </w:r>
            <w:r>
              <w:rPr>
                <w:lang w:val="en-US"/>
              </w:rPr>
              <w:t xml:space="preserve"> (Attachment 2).</w:t>
            </w:r>
          </w:p>
        </w:tc>
      </w:tr>
    </w:tbl>
    <w:p w14:paraId="65B2DAFE" w14:textId="77777777" w:rsidR="00770160" w:rsidRDefault="00770160"/>
    <w:p w14:paraId="19883AE9" w14:textId="77777777" w:rsidR="00CA5EA3" w:rsidRDefault="00CA5EA3" w:rsidP="00CA5EA3">
      <w:pPr>
        <w:pStyle w:val="1Heading"/>
      </w:pPr>
      <w:r>
        <w:t>INTRODUCTION</w:t>
      </w:r>
    </w:p>
    <w:p w14:paraId="1A48C10F" w14:textId="77777777" w:rsidR="00CA5EA3" w:rsidRDefault="00CA5EA3" w:rsidP="00B7790B">
      <w:pPr>
        <w:pStyle w:val="2para"/>
        <w:rPr>
          <w:szCs w:val="22"/>
        </w:rPr>
      </w:pPr>
      <w:r>
        <w:t>UK Ofcom has for some time been developing a SAC to assess and quantify the risks of introducing the operation of audio PMSE equipment</w:t>
      </w:r>
      <w:r w:rsidR="00B7790B">
        <w:t xml:space="preserve"> </w:t>
      </w:r>
      <w:r>
        <w:t xml:space="preserve">in the 960 – 1164 MHz band in the UK.  This frequency band is used </w:t>
      </w:r>
      <w:r w:rsidR="00B7790B">
        <w:t xml:space="preserve">by a number of safety critical </w:t>
      </w:r>
      <w:r>
        <w:t xml:space="preserve">aeronautical </w:t>
      </w:r>
      <w:r w:rsidR="00B7790B">
        <w:t xml:space="preserve">communication, navigation and </w:t>
      </w:r>
      <w:r w:rsidR="00B7790B">
        <w:lastRenderedPageBreak/>
        <w:t>surveillance</w:t>
      </w:r>
      <w:r>
        <w:t xml:space="preserve"> systems, </w:t>
      </w:r>
      <w:r w:rsidR="00B7790B">
        <w:t>including</w:t>
      </w:r>
      <w:r>
        <w:t xml:space="preserve"> Distance Measuring Equipment (DME), Secondary Surveillance Radar (SSR) and Airborne </w:t>
      </w:r>
      <w:r w:rsidRPr="00FE74B6">
        <w:rPr>
          <w:szCs w:val="22"/>
        </w:rPr>
        <w:t>Collision Avoidance Systems</w:t>
      </w:r>
      <w:r w:rsidR="00AE1A98">
        <w:rPr>
          <w:szCs w:val="22"/>
        </w:rPr>
        <w:t xml:space="preserve"> (ACAS)</w:t>
      </w:r>
      <w:r w:rsidRPr="00FE74B6">
        <w:rPr>
          <w:szCs w:val="22"/>
        </w:rPr>
        <w:t xml:space="preserve">, </w:t>
      </w:r>
      <w:r w:rsidR="00AE1A98">
        <w:rPr>
          <w:szCs w:val="22"/>
        </w:rPr>
        <w:t xml:space="preserve">just </w:t>
      </w:r>
      <w:r w:rsidRPr="00FE74B6">
        <w:rPr>
          <w:szCs w:val="22"/>
        </w:rPr>
        <w:t xml:space="preserve">to name a few. </w:t>
      </w:r>
    </w:p>
    <w:p w14:paraId="742309B4" w14:textId="77777777" w:rsidR="000955F2" w:rsidRPr="000955F2" w:rsidRDefault="00CA5EA3" w:rsidP="005A3C0F">
      <w:pPr>
        <w:pStyle w:val="2para"/>
        <w:rPr>
          <w:szCs w:val="22"/>
        </w:rPr>
      </w:pPr>
      <w:r w:rsidRPr="00FA3A1E">
        <w:rPr>
          <w:szCs w:val="22"/>
          <w:lang w:val="en-US"/>
        </w:rPr>
        <w:t>In accordance with the ICAO regulatory framework (</w:t>
      </w:r>
      <w:r>
        <w:rPr>
          <w:szCs w:val="22"/>
          <w:lang w:val="en-US"/>
        </w:rPr>
        <w:t>ICAO</w:t>
      </w:r>
      <w:r w:rsidR="00AE1A98">
        <w:rPr>
          <w:szCs w:val="22"/>
          <w:lang w:val="en-US"/>
        </w:rPr>
        <w:t> </w:t>
      </w:r>
      <w:r w:rsidR="00891CB6">
        <w:rPr>
          <w:szCs w:val="22"/>
          <w:lang w:val="en-US"/>
        </w:rPr>
        <w:t>Annex 11 “</w:t>
      </w:r>
      <w:r w:rsidR="00891CB6" w:rsidRPr="009F28F7">
        <w:rPr>
          <w:i/>
          <w:iCs/>
          <w:szCs w:val="22"/>
          <w:lang w:val="en-US"/>
        </w:rPr>
        <w:t>Air Traffic Services</w:t>
      </w:r>
      <w:r w:rsidR="00891CB6">
        <w:rPr>
          <w:szCs w:val="22"/>
          <w:lang w:val="en-US"/>
        </w:rPr>
        <w:t xml:space="preserve">”, Annex 19 </w:t>
      </w:r>
      <w:r w:rsidR="009F28F7">
        <w:rPr>
          <w:szCs w:val="22"/>
          <w:lang w:val="en-US"/>
        </w:rPr>
        <w:t>“</w:t>
      </w:r>
      <w:r w:rsidR="009F28F7" w:rsidRPr="009F28F7">
        <w:rPr>
          <w:i/>
          <w:iCs/>
          <w:szCs w:val="22"/>
          <w:lang w:val="en-US"/>
        </w:rPr>
        <w:t>Safety Management</w:t>
      </w:r>
      <w:r w:rsidR="009F28F7">
        <w:rPr>
          <w:szCs w:val="22"/>
          <w:lang w:val="en-US"/>
        </w:rPr>
        <w:t xml:space="preserve">”, </w:t>
      </w:r>
      <w:r w:rsidR="005A3C0F">
        <w:rPr>
          <w:szCs w:val="22"/>
          <w:lang w:val="en-US"/>
        </w:rPr>
        <w:t xml:space="preserve">Doc </w:t>
      </w:r>
      <w:r>
        <w:rPr>
          <w:szCs w:val="22"/>
          <w:lang w:val="en-US"/>
        </w:rPr>
        <w:t>9</w:t>
      </w:r>
      <w:r w:rsidR="005A3C0F">
        <w:rPr>
          <w:szCs w:val="22"/>
          <w:lang w:val="en-US"/>
        </w:rPr>
        <w:t>7</w:t>
      </w:r>
      <w:r>
        <w:rPr>
          <w:szCs w:val="22"/>
          <w:lang w:val="en-US"/>
        </w:rPr>
        <w:t>34 “</w:t>
      </w:r>
      <w:r w:rsidRPr="00AE1A98">
        <w:rPr>
          <w:i/>
          <w:iCs/>
          <w:szCs w:val="22"/>
          <w:lang w:val="en-US"/>
        </w:rPr>
        <w:t>Safety Oversight Manual</w:t>
      </w:r>
      <w:r>
        <w:rPr>
          <w:szCs w:val="22"/>
          <w:lang w:val="en-US"/>
        </w:rPr>
        <w:t>”</w:t>
      </w:r>
      <w:r w:rsidR="009F28F7">
        <w:rPr>
          <w:szCs w:val="22"/>
          <w:lang w:val="en-US"/>
        </w:rPr>
        <w:t>, Doc 9859 “</w:t>
      </w:r>
      <w:r w:rsidR="009F28F7" w:rsidRPr="009F28F7">
        <w:rPr>
          <w:i/>
          <w:iCs/>
          <w:szCs w:val="22"/>
          <w:lang w:val="en-US"/>
        </w:rPr>
        <w:t>Safety Management Manual</w:t>
      </w:r>
      <w:r w:rsidR="009F28F7">
        <w:rPr>
          <w:szCs w:val="22"/>
          <w:lang w:val="en-US"/>
        </w:rPr>
        <w:t>”</w:t>
      </w:r>
      <w:r>
        <w:rPr>
          <w:szCs w:val="22"/>
          <w:lang w:val="en-US"/>
        </w:rPr>
        <w:t>)</w:t>
      </w:r>
      <w:r w:rsidRPr="00FA3A1E">
        <w:rPr>
          <w:szCs w:val="22"/>
          <w:lang w:val="en-US"/>
        </w:rPr>
        <w:t xml:space="preserve"> the development of Safety Case</w:t>
      </w:r>
      <w:r>
        <w:rPr>
          <w:szCs w:val="22"/>
          <w:lang w:val="en-US"/>
        </w:rPr>
        <w:t>s</w:t>
      </w:r>
      <w:r w:rsidR="00AE1A98">
        <w:rPr>
          <w:szCs w:val="22"/>
          <w:lang w:val="en-US"/>
        </w:rPr>
        <w:t xml:space="preserve"> is the responsibility of the Air Traffic Service P</w:t>
      </w:r>
      <w:r w:rsidRPr="00FA3A1E">
        <w:rPr>
          <w:szCs w:val="22"/>
          <w:lang w:val="en-US"/>
        </w:rPr>
        <w:t>rovider</w:t>
      </w:r>
      <w:r>
        <w:rPr>
          <w:szCs w:val="22"/>
          <w:lang w:val="en-US"/>
        </w:rPr>
        <w:t>s, as being the entities</w:t>
      </w:r>
      <w:r w:rsidRPr="00FA3A1E">
        <w:rPr>
          <w:szCs w:val="22"/>
          <w:lang w:val="en-US"/>
        </w:rPr>
        <w:t xml:space="preserve"> having full knowledge of the use and vulnerabilities of their systems and services.  </w:t>
      </w:r>
      <w:r w:rsidR="000955F2">
        <w:rPr>
          <w:szCs w:val="22"/>
          <w:lang w:val="en-US"/>
        </w:rPr>
        <w:t>A</w:t>
      </w:r>
      <w:r w:rsidR="00701E83">
        <w:rPr>
          <w:szCs w:val="22"/>
          <w:lang w:val="en-US"/>
        </w:rPr>
        <w:t>ttachment 3 contains a few relevant</w:t>
      </w:r>
      <w:r w:rsidR="000955F2">
        <w:rPr>
          <w:szCs w:val="22"/>
          <w:lang w:val="en-US"/>
        </w:rPr>
        <w:t xml:space="preserve"> excerpt</w:t>
      </w:r>
      <w:r w:rsidR="00701E83">
        <w:rPr>
          <w:szCs w:val="22"/>
          <w:lang w:val="en-US"/>
        </w:rPr>
        <w:t>s</w:t>
      </w:r>
      <w:r w:rsidR="000955F2">
        <w:rPr>
          <w:szCs w:val="22"/>
          <w:lang w:val="en-US"/>
        </w:rPr>
        <w:t xml:space="preserve"> from the ICAO provisions referenced above.</w:t>
      </w:r>
    </w:p>
    <w:p w14:paraId="7F383380" w14:textId="77777777" w:rsidR="00CA5EA3" w:rsidRPr="00FA3A1E" w:rsidRDefault="000955F2" w:rsidP="000955F2">
      <w:pPr>
        <w:pStyle w:val="2para"/>
        <w:rPr>
          <w:szCs w:val="22"/>
        </w:rPr>
      </w:pPr>
      <w:r>
        <w:rPr>
          <w:szCs w:val="22"/>
        </w:rPr>
        <w:t>While t</w:t>
      </w:r>
      <w:r w:rsidR="00CA5EA3" w:rsidRPr="00FA3A1E">
        <w:rPr>
          <w:szCs w:val="22"/>
          <w:lang w:val="en-US"/>
        </w:rPr>
        <w:t xml:space="preserve">he SAC developed by UK </w:t>
      </w:r>
      <w:proofErr w:type="spellStart"/>
      <w:r w:rsidR="00CA5EA3" w:rsidRPr="00FA3A1E">
        <w:rPr>
          <w:szCs w:val="22"/>
          <w:lang w:val="en-US"/>
        </w:rPr>
        <w:t>Ofcom</w:t>
      </w:r>
      <w:proofErr w:type="spellEnd"/>
      <w:r w:rsidR="00CA5EA3" w:rsidRPr="00FA3A1E">
        <w:rPr>
          <w:szCs w:val="22"/>
          <w:lang w:val="en-US"/>
        </w:rPr>
        <w:t xml:space="preserve"> is not </w:t>
      </w:r>
      <w:r w:rsidR="00CA5EA3">
        <w:rPr>
          <w:szCs w:val="22"/>
          <w:lang w:val="en-US"/>
        </w:rPr>
        <w:t xml:space="preserve">considered </w:t>
      </w:r>
      <w:r w:rsidR="00CA5EA3" w:rsidRPr="00FA3A1E">
        <w:rPr>
          <w:szCs w:val="22"/>
          <w:lang w:val="en-US"/>
        </w:rPr>
        <w:t>the equivalent to a Safety Case</w:t>
      </w:r>
      <w:r>
        <w:rPr>
          <w:szCs w:val="22"/>
          <w:lang w:val="en-US"/>
        </w:rPr>
        <w:t xml:space="preserve">, </w:t>
      </w:r>
      <w:r w:rsidR="00CA5EA3" w:rsidRPr="00FA3A1E">
        <w:rPr>
          <w:szCs w:val="22"/>
          <w:lang w:val="en-US"/>
        </w:rPr>
        <w:t xml:space="preserve">it is understood that </w:t>
      </w:r>
      <w:r w:rsidR="00AE1A98">
        <w:rPr>
          <w:szCs w:val="22"/>
          <w:lang w:val="en-US"/>
        </w:rPr>
        <w:t>Air Traffic Service P</w:t>
      </w:r>
      <w:r w:rsidR="00CA5EA3">
        <w:rPr>
          <w:szCs w:val="22"/>
          <w:lang w:val="en-US"/>
        </w:rPr>
        <w:t>roviders</w:t>
      </w:r>
      <w:r w:rsidR="00CA5EA3" w:rsidRPr="00FA3A1E">
        <w:rPr>
          <w:szCs w:val="22"/>
          <w:lang w:val="en-US"/>
        </w:rPr>
        <w:t xml:space="preserve"> </w:t>
      </w:r>
      <w:r w:rsidR="00CA5EA3">
        <w:rPr>
          <w:szCs w:val="22"/>
          <w:lang w:val="en-US"/>
        </w:rPr>
        <w:t xml:space="preserve">may be able to use information contained in the </w:t>
      </w:r>
      <w:r w:rsidR="00CA5EA3" w:rsidRPr="00FA3A1E">
        <w:rPr>
          <w:szCs w:val="22"/>
          <w:lang w:val="en-US"/>
        </w:rPr>
        <w:t>SAC</w:t>
      </w:r>
      <w:r w:rsidR="00CA5EA3">
        <w:rPr>
          <w:szCs w:val="22"/>
          <w:lang w:val="en-US"/>
        </w:rPr>
        <w:t xml:space="preserve"> </w:t>
      </w:r>
      <w:r w:rsidR="00CA5EA3" w:rsidRPr="00FA3A1E">
        <w:rPr>
          <w:szCs w:val="22"/>
          <w:lang w:val="en-US"/>
        </w:rPr>
        <w:t xml:space="preserve">when developing their </w:t>
      </w:r>
      <w:r w:rsidR="00AE1A98">
        <w:rPr>
          <w:szCs w:val="22"/>
          <w:lang w:val="en-US"/>
        </w:rPr>
        <w:t xml:space="preserve">own </w:t>
      </w:r>
      <w:r w:rsidR="00CA5EA3" w:rsidRPr="00FA3A1E">
        <w:rPr>
          <w:szCs w:val="22"/>
          <w:lang w:val="en-US"/>
        </w:rPr>
        <w:t xml:space="preserve">required Safety </w:t>
      </w:r>
      <w:r w:rsidR="00CA5EA3">
        <w:rPr>
          <w:szCs w:val="22"/>
          <w:lang w:val="en-US"/>
        </w:rPr>
        <w:t>Cases.</w:t>
      </w:r>
      <w:r w:rsidR="00CA5EA3" w:rsidRPr="00FA3A1E">
        <w:rPr>
          <w:szCs w:val="22"/>
        </w:rPr>
        <w:t xml:space="preserve"> </w:t>
      </w:r>
    </w:p>
    <w:p w14:paraId="2A1CB21B" w14:textId="2A196811" w:rsidR="00CA5EA3" w:rsidRDefault="00CA5EA3" w:rsidP="00CD3549">
      <w:pPr>
        <w:pStyle w:val="2para"/>
      </w:pPr>
      <w:r w:rsidRPr="00FE74B6">
        <w:rPr>
          <w:szCs w:val="22"/>
        </w:rPr>
        <w:t xml:space="preserve">  </w:t>
      </w:r>
      <w:r>
        <w:rPr>
          <w:szCs w:val="22"/>
        </w:rPr>
        <w:t>A copy of the SAC was provided by UK CAA to</w:t>
      </w:r>
      <w:r>
        <w:t xml:space="preserve"> the ICAO Secretariat in October 2018.  The Secretariat provided comments back, highlighting serious concerns with a number of key assumptions the SAC is based on.  To date, it is not known to which extent those comments were taken into account.</w:t>
      </w:r>
    </w:p>
    <w:p w14:paraId="29E99259" w14:textId="77777777" w:rsidR="00C51783" w:rsidRPr="00EE0BD4" w:rsidRDefault="00CA5EA3" w:rsidP="0068350F">
      <w:pPr>
        <w:pStyle w:val="2para"/>
        <w:rPr>
          <w:szCs w:val="22"/>
        </w:rPr>
      </w:pPr>
      <w:r w:rsidRPr="00FE74B6">
        <w:rPr>
          <w:szCs w:val="22"/>
        </w:rPr>
        <w:t xml:space="preserve">In December 2018, UK Ofcom and UK CAA released a communication, indicating that </w:t>
      </w:r>
      <w:r>
        <w:rPr>
          <w:szCs w:val="22"/>
        </w:rPr>
        <w:t>t</w:t>
      </w:r>
      <w:r w:rsidRPr="00FE74B6">
        <w:rPr>
          <w:szCs w:val="22"/>
          <w:lang w:val="en"/>
        </w:rPr>
        <w:t xml:space="preserve">he </w:t>
      </w:r>
      <w:r>
        <w:rPr>
          <w:szCs w:val="22"/>
          <w:lang w:val="en"/>
        </w:rPr>
        <w:t>CAA</w:t>
      </w:r>
      <w:r w:rsidRPr="00FE74B6">
        <w:rPr>
          <w:szCs w:val="22"/>
          <w:lang w:val="en"/>
        </w:rPr>
        <w:t xml:space="preserve"> has reviewed the </w:t>
      </w:r>
      <w:r>
        <w:rPr>
          <w:szCs w:val="22"/>
          <w:lang w:val="en"/>
        </w:rPr>
        <w:t>SAC</w:t>
      </w:r>
      <w:r w:rsidRPr="00FE74B6">
        <w:rPr>
          <w:szCs w:val="22"/>
          <w:lang w:val="en"/>
        </w:rPr>
        <w:t xml:space="preserve"> and is satisfied that any proposed change to the radio spectrum environment can be implemented and maintained without interference to aeronautical services</w:t>
      </w:r>
      <w:r>
        <w:rPr>
          <w:szCs w:val="22"/>
          <w:lang w:val="en"/>
        </w:rPr>
        <w:t xml:space="preserve"> and that as </w:t>
      </w:r>
      <w:r w:rsidRPr="00FE74B6">
        <w:rPr>
          <w:szCs w:val="22"/>
          <w:lang w:val="en"/>
        </w:rPr>
        <w:t>a result, assignments to PMSE in the 960 to 1164 MHz band will commence in early 2019</w:t>
      </w:r>
      <w:r>
        <w:rPr>
          <w:szCs w:val="22"/>
          <w:lang w:val="en"/>
        </w:rPr>
        <w:t>.</w:t>
      </w:r>
    </w:p>
    <w:p w14:paraId="0C7AAD67" w14:textId="77777777" w:rsidR="00EE0BD4" w:rsidRPr="0068350F" w:rsidRDefault="00EE0BD4" w:rsidP="00EE0BD4">
      <w:pPr>
        <w:pStyle w:val="2para"/>
        <w:numPr>
          <w:ilvl w:val="0"/>
          <w:numId w:val="0"/>
        </w:numPr>
        <w:rPr>
          <w:szCs w:val="22"/>
        </w:rPr>
      </w:pPr>
    </w:p>
    <w:p w14:paraId="00A02053" w14:textId="77777777" w:rsidR="00CA5EA3" w:rsidRDefault="00CA5EA3" w:rsidP="00CA5EA3">
      <w:pPr>
        <w:pStyle w:val="1Heading"/>
      </w:pPr>
      <w:r>
        <w:t>DISCUSSION</w:t>
      </w:r>
    </w:p>
    <w:p w14:paraId="1A04C847" w14:textId="77777777" w:rsidR="00CA5EA3" w:rsidRPr="00AE1A98" w:rsidRDefault="00CA5EA3" w:rsidP="00AE1A98">
      <w:pPr>
        <w:pStyle w:val="2para"/>
      </w:pPr>
      <w:r w:rsidRPr="00AE1A98">
        <w:t>The SAC (Attachment 1) developed by UK Ofcom is “</w:t>
      </w:r>
      <w:r w:rsidRPr="00AE1A98">
        <w:rPr>
          <w:rFonts w:eastAsia="MS Mincho"/>
          <w:i/>
          <w:iCs/>
          <w:szCs w:val="24"/>
          <w:lang w:val="en-US"/>
        </w:rPr>
        <w:t xml:space="preserve">predicated on a number of assumptions relating to the environment and type of PMSE use and is therefore valid only if those assumptions remain accurate.” </w:t>
      </w:r>
      <w:r w:rsidRPr="00AE1A98">
        <w:rPr>
          <w:rFonts w:eastAsia="MS Mincho"/>
          <w:szCs w:val="24"/>
          <w:lang w:val="en-US"/>
        </w:rPr>
        <w:t>(Ref: Executive Summary of the SAC)</w:t>
      </w:r>
      <w:r w:rsidR="00AE1A98">
        <w:rPr>
          <w:rFonts w:eastAsia="MS Mincho"/>
          <w:szCs w:val="24"/>
          <w:lang w:val="en-US"/>
        </w:rPr>
        <w:t>.</w:t>
      </w:r>
    </w:p>
    <w:p w14:paraId="44840125" w14:textId="032021AA" w:rsidR="00CA5EA3" w:rsidRPr="00AE1A98" w:rsidRDefault="00CA5EA3" w:rsidP="00CA5EA3">
      <w:pPr>
        <w:pStyle w:val="2para"/>
      </w:pPr>
      <w:r w:rsidRPr="00AE1A98">
        <w:rPr>
          <w:rFonts w:eastAsia="MS Mincho"/>
          <w:szCs w:val="24"/>
          <w:lang w:val="en-US"/>
        </w:rPr>
        <w:t>Two “</w:t>
      </w:r>
      <w:r w:rsidRPr="00AE1A98">
        <w:rPr>
          <w:rFonts w:eastAsia="MS Mincho"/>
          <w:i/>
          <w:iCs/>
          <w:szCs w:val="24"/>
          <w:lang w:val="en-US"/>
        </w:rPr>
        <w:t>critical assumptions include”</w:t>
      </w:r>
      <w:r w:rsidRPr="00AE1A98">
        <w:rPr>
          <w:rFonts w:eastAsia="MS Mincho"/>
          <w:szCs w:val="24"/>
          <w:lang w:val="en-US"/>
        </w:rPr>
        <w:t xml:space="preserve"> (Ref: Executive Summary of the SAC):</w:t>
      </w:r>
    </w:p>
    <w:p w14:paraId="172CB402" w14:textId="77777777" w:rsidR="00CA5EA3" w:rsidRPr="00AE1A98" w:rsidRDefault="00CA5EA3" w:rsidP="00CA5EA3">
      <w:pPr>
        <w:pStyle w:val="Bulletpoints"/>
        <w:rPr>
          <w:rFonts w:ascii="Times New Roman" w:hAnsi="Times New Roman" w:cs="Times New Roman"/>
          <w:i/>
          <w:iCs/>
          <w:color w:val="auto"/>
        </w:rPr>
      </w:pPr>
      <w:r w:rsidRPr="00AE1A98">
        <w:rPr>
          <w:rFonts w:ascii="Times New Roman" w:hAnsi="Times New Roman" w:cs="Times New Roman"/>
          <w:i/>
          <w:iCs/>
          <w:color w:val="auto"/>
        </w:rPr>
        <w:t xml:space="preserve">“That PMSE users who will </w:t>
      </w:r>
      <w:proofErr w:type="spellStart"/>
      <w:r w:rsidRPr="00AE1A98">
        <w:rPr>
          <w:rFonts w:ascii="Times New Roman" w:hAnsi="Times New Roman" w:cs="Times New Roman"/>
          <w:i/>
          <w:iCs/>
          <w:color w:val="auto"/>
        </w:rPr>
        <w:t>utilise</w:t>
      </w:r>
      <w:proofErr w:type="spellEnd"/>
      <w:r w:rsidRPr="00AE1A98">
        <w:rPr>
          <w:rFonts w:ascii="Times New Roman" w:hAnsi="Times New Roman" w:cs="Times New Roman"/>
          <w:i/>
          <w:iCs/>
          <w:color w:val="auto"/>
        </w:rPr>
        <w:t xml:space="preserve"> equipment capable of tuning to this frequency range are professionals (only the largest events will require such equipment).</w:t>
      </w:r>
      <w:r w:rsidR="00701E83">
        <w:rPr>
          <w:rFonts w:ascii="Times New Roman" w:hAnsi="Times New Roman" w:cs="Times New Roman"/>
          <w:i/>
          <w:iCs/>
          <w:color w:val="auto"/>
        </w:rPr>
        <w:t>”</w:t>
      </w:r>
    </w:p>
    <w:p w14:paraId="29027E81" w14:textId="77777777" w:rsidR="00CA5EA3" w:rsidRPr="00AE1A98" w:rsidRDefault="00701E83" w:rsidP="00CA5EA3">
      <w:pPr>
        <w:pStyle w:val="Bulletpoints"/>
        <w:rPr>
          <w:rFonts w:ascii="Times New Roman" w:hAnsi="Times New Roman" w:cs="Times New Roman"/>
          <w:i/>
          <w:iCs/>
          <w:color w:val="auto"/>
        </w:rPr>
      </w:pPr>
      <w:r>
        <w:rPr>
          <w:rFonts w:ascii="Times New Roman" w:hAnsi="Times New Roman" w:cs="Times New Roman"/>
          <w:i/>
          <w:iCs/>
          <w:color w:val="auto"/>
        </w:rPr>
        <w:t>“</w:t>
      </w:r>
      <w:r w:rsidR="00CA5EA3" w:rsidRPr="00AE1A98">
        <w:rPr>
          <w:rFonts w:ascii="Times New Roman" w:hAnsi="Times New Roman" w:cs="Times New Roman"/>
          <w:i/>
          <w:iCs/>
          <w:color w:val="auto"/>
        </w:rPr>
        <w:t>There will be around 945 assignments of PMSE equipment in the 960-1164 MHz band on a peak day.”</w:t>
      </w:r>
    </w:p>
    <w:p w14:paraId="5FBBE32B" w14:textId="11E9797C" w:rsidR="00CA5EA3" w:rsidRPr="00F52DA7" w:rsidRDefault="00CA5EA3" w:rsidP="00CA5EA3">
      <w:pPr>
        <w:pStyle w:val="2para"/>
        <w:rPr>
          <w:b/>
          <w:bCs/>
        </w:rPr>
      </w:pPr>
      <w:r w:rsidRPr="00F52DA7">
        <w:rPr>
          <w:b/>
          <w:bCs/>
        </w:rPr>
        <w:t>Analysis of the first assumption</w:t>
      </w:r>
    </w:p>
    <w:p w14:paraId="4606CD53" w14:textId="0E9329C9" w:rsidR="00BA25C7" w:rsidRPr="00BA25C7" w:rsidRDefault="00BA25C7" w:rsidP="00EE0BD4">
      <w:pPr>
        <w:pStyle w:val="3para"/>
      </w:pPr>
      <w:r>
        <w:t xml:space="preserve">The first assumption is made on the basis that </w:t>
      </w:r>
      <w:r w:rsidRPr="00BA25C7">
        <w:rPr>
          <w:lang w:val="en-US"/>
        </w:rPr>
        <w:t xml:space="preserve">PMSE is operated by professional sound stage engineers managing large venues.  However, </w:t>
      </w:r>
      <w:r>
        <w:rPr>
          <w:lang w:val="en-US"/>
        </w:rPr>
        <w:t>n</w:t>
      </w:r>
      <w:r w:rsidR="00CA5EA3">
        <w:t>o evidence is provided that only “professionals</w:t>
      </w:r>
      <w:r w:rsidR="00C57768">
        <w:t>”</w:t>
      </w:r>
      <w:r w:rsidR="00CA5EA3">
        <w:t xml:space="preserve"> </w:t>
      </w:r>
      <w:r w:rsidR="00CA5EA3" w:rsidRPr="00BA25C7">
        <w:rPr>
          <w:lang w:val="en-US"/>
        </w:rPr>
        <w:t xml:space="preserve">will </w:t>
      </w:r>
      <w:r w:rsidR="00EE0BD4">
        <w:rPr>
          <w:lang w:val="en-US"/>
        </w:rPr>
        <w:t>operate</w:t>
      </w:r>
      <w:r w:rsidR="00CA5EA3" w:rsidRPr="00BA25C7">
        <w:rPr>
          <w:lang w:val="en-US"/>
        </w:rPr>
        <w:t xml:space="preserve"> PMSE equipment in th</w:t>
      </w:r>
      <w:r w:rsidR="00EE0BD4">
        <w:rPr>
          <w:lang w:val="en-US"/>
        </w:rPr>
        <w:t>e</w:t>
      </w:r>
      <w:r w:rsidR="00CA5EA3" w:rsidRPr="00BA25C7">
        <w:rPr>
          <w:lang w:val="en-US"/>
        </w:rPr>
        <w:t xml:space="preserve"> frequency band</w:t>
      </w:r>
      <w:r w:rsidR="00EE0BD4">
        <w:rPr>
          <w:lang w:val="en-US"/>
        </w:rPr>
        <w:t xml:space="preserve"> 960 – 1164 MHz</w:t>
      </w:r>
      <w:r>
        <w:rPr>
          <w:lang w:val="en-US"/>
        </w:rPr>
        <w:t>.</w:t>
      </w:r>
    </w:p>
    <w:p w14:paraId="0DFFC7CA" w14:textId="77777777" w:rsidR="006545E3" w:rsidRPr="006545E3" w:rsidRDefault="006545E3" w:rsidP="006545E3">
      <w:pPr>
        <w:pStyle w:val="3para"/>
      </w:pPr>
      <w:r w:rsidRPr="006545E3">
        <w:rPr>
          <w:lang w:val="en-US"/>
        </w:rPr>
        <w:t>Contrary to the assumption</w:t>
      </w:r>
      <w:r w:rsidR="00BA25C7" w:rsidRPr="006545E3">
        <w:rPr>
          <w:lang w:val="en-US"/>
        </w:rPr>
        <w:t xml:space="preserve">, </w:t>
      </w:r>
      <w:r w:rsidR="00EE7D7A">
        <w:rPr>
          <w:lang w:val="en-US"/>
        </w:rPr>
        <w:t xml:space="preserve">and </w:t>
      </w:r>
      <w:r w:rsidR="00BA25C7" w:rsidRPr="006545E3">
        <w:rPr>
          <w:lang w:val="en-US"/>
        </w:rPr>
        <w:t xml:space="preserve">as </w:t>
      </w:r>
      <w:r w:rsidRPr="006545E3">
        <w:rPr>
          <w:lang w:val="en-US"/>
        </w:rPr>
        <w:t xml:space="preserve">evident from </w:t>
      </w:r>
      <w:r w:rsidR="00CA5EA3" w:rsidRPr="006545E3">
        <w:rPr>
          <w:lang w:val="en-US"/>
        </w:rPr>
        <w:t xml:space="preserve">the </w:t>
      </w:r>
      <w:r w:rsidR="00CA5EA3" w:rsidRPr="006545E3">
        <w:rPr>
          <w:szCs w:val="22"/>
          <w:lang w:val="en-US"/>
        </w:rPr>
        <w:t xml:space="preserve">description of </w:t>
      </w:r>
      <w:r w:rsidR="00CA5EA3" w:rsidRPr="006545E3">
        <w:rPr>
          <w:szCs w:val="22"/>
        </w:rPr>
        <w:t xml:space="preserve">PMSE use on the </w:t>
      </w:r>
      <w:r w:rsidR="00EE7D7A">
        <w:rPr>
          <w:szCs w:val="22"/>
        </w:rPr>
        <w:t xml:space="preserve">UK </w:t>
      </w:r>
      <w:r w:rsidR="00CA5EA3" w:rsidRPr="006545E3">
        <w:rPr>
          <w:szCs w:val="22"/>
        </w:rPr>
        <w:t xml:space="preserve">Ofcom website, PMSE is also </w:t>
      </w:r>
      <w:r w:rsidR="00EE7D7A">
        <w:rPr>
          <w:szCs w:val="22"/>
        </w:rPr>
        <w:t xml:space="preserve">used </w:t>
      </w:r>
      <w:r w:rsidR="00CA5EA3" w:rsidRPr="006545E3">
        <w:rPr>
          <w:szCs w:val="22"/>
        </w:rPr>
        <w:t xml:space="preserve">for other </w:t>
      </w:r>
      <w:r w:rsidR="00CA5EA3" w:rsidRPr="006545E3">
        <w:rPr>
          <w:b/>
          <w:bCs/>
          <w:szCs w:val="22"/>
        </w:rPr>
        <w:t xml:space="preserve">public or private events, at any location, e.g. sporting, music, theatrical, religious, political, hobby </w:t>
      </w:r>
      <w:proofErr w:type="gramStart"/>
      <w:r w:rsidR="00CA5EA3" w:rsidRPr="006545E3">
        <w:rPr>
          <w:b/>
          <w:bCs/>
          <w:szCs w:val="22"/>
        </w:rPr>
        <w:t>and  corporate</w:t>
      </w:r>
      <w:proofErr w:type="gramEnd"/>
      <w:r w:rsidR="00CA5EA3" w:rsidRPr="006545E3">
        <w:rPr>
          <w:b/>
          <w:bCs/>
          <w:szCs w:val="22"/>
        </w:rPr>
        <w:t xml:space="preserve"> retailing</w:t>
      </w:r>
      <w:r w:rsidR="00CA5EA3" w:rsidRPr="006545E3">
        <w:rPr>
          <w:szCs w:val="22"/>
        </w:rPr>
        <w:t xml:space="preserve">.  </w:t>
      </w:r>
    </w:p>
    <w:p w14:paraId="28A053AC" w14:textId="77777777" w:rsidR="0047610B" w:rsidRPr="0047610B" w:rsidRDefault="006545E3" w:rsidP="00E336B9">
      <w:pPr>
        <w:pStyle w:val="3para"/>
      </w:pPr>
      <w:r w:rsidRPr="0047610B">
        <w:rPr>
          <w:lang w:val="en-US"/>
        </w:rPr>
        <w:t xml:space="preserve">PMSE is used extensively by amateur performers, conferencing personnel and other users </w:t>
      </w:r>
      <w:r w:rsidR="00EE7D7A" w:rsidRPr="0047610B">
        <w:rPr>
          <w:lang w:val="en-US"/>
        </w:rPr>
        <w:t xml:space="preserve">which </w:t>
      </w:r>
      <w:r w:rsidR="00701E83" w:rsidRPr="0047610B">
        <w:rPr>
          <w:lang w:val="en-US"/>
        </w:rPr>
        <w:t xml:space="preserve">are not required to </w:t>
      </w:r>
      <w:r w:rsidRPr="0047610B">
        <w:rPr>
          <w:lang w:val="en-US"/>
        </w:rPr>
        <w:t>hav</w:t>
      </w:r>
      <w:r w:rsidR="00EE7D7A" w:rsidRPr="0047610B">
        <w:rPr>
          <w:lang w:val="en-US"/>
        </w:rPr>
        <w:t>e</w:t>
      </w:r>
      <w:r w:rsidRPr="0047610B">
        <w:rPr>
          <w:lang w:val="en-US"/>
        </w:rPr>
        <w:t xml:space="preserve"> the training or skillset </w:t>
      </w:r>
      <w:r w:rsidR="00701E83" w:rsidRPr="0047610B">
        <w:rPr>
          <w:lang w:val="en-US"/>
        </w:rPr>
        <w:t>expected</w:t>
      </w:r>
      <w:r w:rsidR="00097A67" w:rsidRPr="0047610B">
        <w:rPr>
          <w:lang w:val="en-US"/>
        </w:rPr>
        <w:t xml:space="preserve"> </w:t>
      </w:r>
      <w:r w:rsidRPr="0047610B">
        <w:rPr>
          <w:lang w:val="en-US"/>
        </w:rPr>
        <w:t>of professional sound stage managers</w:t>
      </w:r>
      <w:r w:rsidR="00097A67" w:rsidRPr="0047610B">
        <w:rPr>
          <w:lang w:val="en-US"/>
        </w:rPr>
        <w:t xml:space="preserve"> in order to provide high fidelity reproduction of </w:t>
      </w:r>
      <w:proofErr w:type="gramStart"/>
      <w:r w:rsidR="00097A67" w:rsidRPr="0047610B">
        <w:rPr>
          <w:lang w:val="en-US"/>
        </w:rPr>
        <w:t>high profile</w:t>
      </w:r>
      <w:proofErr w:type="gramEnd"/>
      <w:r w:rsidR="00097A67" w:rsidRPr="0047610B">
        <w:rPr>
          <w:lang w:val="en-US"/>
        </w:rPr>
        <w:t xml:space="preserve"> events</w:t>
      </w:r>
      <w:r w:rsidRPr="0047610B">
        <w:rPr>
          <w:lang w:val="en-US"/>
        </w:rPr>
        <w:t>.</w:t>
      </w:r>
      <w:r w:rsidR="00700288" w:rsidRPr="0047610B">
        <w:rPr>
          <w:lang w:val="en-US"/>
        </w:rPr>
        <w:t xml:space="preserve">  </w:t>
      </w:r>
    </w:p>
    <w:p w14:paraId="29B6A54F" w14:textId="77777777" w:rsidR="00701E83" w:rsidRDefault="00701E83" w:rsidP="00E336B9">
      <w:pPr>
        <w:pStyle w:val="3para"/>
      </w:pPr>
      <w:r w:rsidRPr="0047610B">
        <w:rPr>
          <w:lang w:val="en-US"/>
        </w:rPr>
        <w:lastRenderedPageBreak/>
        <w:t>The typical</w:t>
      </w:r>
      <w:r w:rsidR="00700288" w:rsidRPr="00700288">
        <w:t xml:space="preserve"> PMSE users are not frequency spectrum professionals</w:t>
      </w:r>
      <w:r w:rsidR="00700288">
        <w:t xml:space="preserve"> </w:t>
      </w:r>
      <w:r w:rsidR="00EE7D7A">
        <w:t xml:space="preserve">and </w:t>
      </w:r>
      <w:r w:rsidR="00700288" w:rsidRPr="00700288">
        <w:t xml:space="preserve">may not be aware of </w:t>
      </w:r>
      <w:r w:rsidR="00700288">
        <w:t xml:space="preserve">spectrum management </w:t>
      </w:r>
      <w:r w:rsidR="00700288" w:rsidRPr="00700288">
        <w:t xml:space="preserve">rules, </w:t>
      </w:r>
      <w:r>
        <w:t xml:space="preserve">or even the </w:t>
      </w:r>
      <w:r w:rsidR="00700288" w:rsidRPr="00700288">
        <w:t>web-based frequency-assignment licensing application</w:t>
      </w:r>
      <w:r w:rsidR="00EE7D7A">
        <w:t xml:space="preserve"> as provided by UK Ofcom</w:t>
      </w:r>
      <w:r w:rsidR="00700288" w:rsidRPr="00700288">
        <w:t>.</w:t>
      </w:r>
      <w:r w:rsidR="00097A67">
        <w:t xml:space="preserve">  </w:t>
      </w:r>
    </w:p>
    <w:p w14:paraId="5EF08789" w14:textId="29E72E2D" w:rsidR="00CA5EA3" w:rsidRDefault="0047610B" w:rsidP="00EE0BD4">
      <w:pPr>
        <w:pStyle w:val="3para"/>
      </w:pPr>
      <w:r>
        <w:rPr>
          <w:szCs w:val="22"/>
        </w:rPr>
        <w:t>There is n</w:t>
      </w:r>
      <w:r w:rsidR="00CA5EA3" w:rsidRPr="00097A67">
        <w:rPr>
          <w:szCs w:val="22"/>
        </w:rPr>
        <w:t xml:space="preserve">o </w:t>
      </w:r>
      <w:r>
        <w:rPr>
          <w:szCs w:val="22"/>
        </w:rPr>
        <w:t xml:space="preserve">certification of competency or licensing requirement in order to purchase PMSE equipment.  No </w:t>
      </w:r>
      <w:r w:rsidR="00CA5EA3" w:rsidRPr="00097A67">
        <w:rPr>
          <w:szCs w:val="22"/>
        </w:rPr>
        <w:t xml:space="preserve">specific ownership certification or licensing is </w:t>
      </w:r>
      <w:r w:rsidR="00097A67">
        <w:rPr>
          <w:szCs w:val="22"/>
        </w:rPr>
        <w:t xml:space="preserve">being </w:t>
      </w:r>
      <w:r w:rsidR="00CA5EA3" w:rsidRPr="00097A67">
        <w:rPr>
          <w:szCs w:val="22"/>
        </w:rPr>
        <w:t xml:space="preserve">proposed for </w:t>
      </w:r>
      <w:r w:rsidR="00EE0BD4">
        <w:rPr>
          <w:szCs w:val="22"/>
        </w:rPr>
        <w:t xml:space="preserve">PMSE </w:t>
      </w:r>
      <w:r w:rsidR="00CA5EA3" w:rsidRPr="00097A67">
        <w:rPr>
          <w:szCs w:val="22"/>
        </w:rPr>
        <w:t>equipment operating in the 960-1164 MHz band</w:t>
      </w:r>
      <w:r w:rsidR="00BA25C7" w:rsidRPr="00097A67">
        <w:rPr>
          <w:szCs w:val="22"/>
        </w:rPr>
        <w:t xml:space="preserve">.  Hence anyone </w:t>
      </w:r>
      <w:r w:rsidR="00701E83">
        <w:rPr>
          <w:szCs w:val="22"/>
        </w:rPr>
        <w:t xml:space="preserve">will be able to </w:t>
      </w:r>
      <w:r w:rsidR="00BA25C7" w:rsidRPr="00097A67">
        <w:rPr>
          <w:szCs w:val="22"/>
        </w:rPr>
        <w:t xml:space="preserve">purchase and operate </w:t>
      </w:r>
      <w:r w:rsidR="00701E83">
        <w:rPr>
          <w:szCs w:val="22"/>
        </w:rPr>
        <w:t>960</w:t>
      </w:r>
      <w:r w:rsidR="00EE0BD4">
        <w:rPr>
          <w:szCs w:val="22"/>
        </w:rPr>
        <w:t> </w:t>
      </w:r>
      <w:r w:rsidR="00701E83">
        <w:rPr>
          <w:szCs w:val="22"/>
        </w:rPr>
        <w:t xml:space="preserve">– 1164 MHz </w:t>
      </w:r>
      <w:r w:rsidR="00BA25C7" w:rsidRPr="00097A67">
        <w:rPr>
          <w:szCs w:val="22"/>
        </w:rPr>
        <w:t>PMSE equipment.</w:t>
      </w:r>
      <w:r w:rsidR="00CA5EA3">
        <w:t xml:space="preserve">  </w:t>
      </w:r>
    </w:p>
    <w:p w14:paraId="4C8C89AE" w14:textId="33C949E4" w:rsidR="00CA5EA3" w:rsidRPr="00A853DE" w:rsidRDefault="006545E3" w:rsidP="00097A67">
      <w:pPr>
        <w:pStyle w:val="3para"/>
      </w:pPr>
      <w:r>
        <w:rPr>
          <w:lang w:val="en-US"/>
        </w:rPr>
        <w:t>In summary, t</w:t>
      </w:r>
      <w:r w:rsidR="00CA5EA3" w:rsidRPr="005B334F">
        <w:rPr>
          <w:lang w:val="en-US"/>
        </w:rPr>
        <w:t>he SAC only addresses the professional user</w:t>
      </w:r>
      <w:r w:rsidR="00097A67">
        <w:rPr>
          <w:lang w:val="en-US"/>
        </w:rPr>
        <w:t>s</w:t>
      </w:r>
      <w:r w:rsidR="00CA5EA3" w:rsidRPr="005B334F">
        <w:rPr>
          <w:lang w:val="en-US"/>
        </w:rPr>
        <w:t xml:space="preserve">, which may be assumed to possess </w:t>
      </w:r>
      <w:r w:rsidR="009062BF">
        <w:rPr>
          <w:lang w:val="en-US"/>
        </w:rPr>
        <w:t>a certain</w:t>
      </w:r>
      <w:r w:rsidR="00CA5EA3" w:rsidRPr="005B334F">
        <w:rPr>
          <w:lang w:val="en-US"/>
        </w:rPr>
        <w:t xml:space="preserve"> </w:t>
      </w:r>
      <w:r w:rsidR="00097A67">
        <w:rPr>
          <w:lang w:val="en-US"/>
        </w:rPr>
        <w:t xml:space="preserve">skillset and </w:t>
      </w:r>
      <w:r w:rsidR="00CA5EA3" w:rsidRPr="005B334F">
        <w:rPr>
          <w:lang w:val="en-US"/>
        </w:rPr>
        <w:t>knowledge of their equipment</w:t>
      </w:r>
      <w:r w:rsidR="00097A67">
        <w:rPr>
          <w:lang w:val="en-US"/>
        </w:rPr>
        <w:t xml:space="preserve"> as well as</w:t>
      </w:r>
      <w:r w:rsidR="00CA5EA3" w:rsidRPr="005B334F">
        <w:rPr>
          <w:lang w:val="en-US"/>
        </w:rPr>
        <w:t xml:space="preserve"> the associated frequency management rules and regulations to operate in accordance with the use cases contained in the study.  </w:t>
      </w:r>
      <w:proofErr w:type="gramStart"/>
      <w:r w:rsidR="00CA5EA3" w:rsidRPr="005B334F">
        <w:rPr>
          <w:lang w:val="en-US"/>
        </w:rPr>
        <w:t>However</w:t>
      </w:r>
      <w:proofErr w:type="gramEnd"/>
      <w:r w:rsidR="00CA5EA3" w:rsidRPr="005B334F">
        <w:rPr>
          <w:lang w:val="en-US"/>
        </w:rPr>
        <w:t xml:space="preserve"> since there is no certification requirement for the competency of users, and no licensing required for ownership of the equipment, the expectation </w:t>
      </w:r>
      <w:r w:rsidR="00097A67">
        <w:rPr>
          <w:lang w:val="en-US"/>
        </w:rPr>
        <w:t xml:space="preserve">clearly </w:t>
      </w:r>
      <w:r w:rsidR="00CA5EA3" w:rsidRPr="005B334F">
        <w:rPr>
          <w:lang w:val="en-US"/>
        </w:rPr>
        <w:t xml:space="preserve">cannot be validated that all users will possess the required knowledge and skillset to operate inside of the licensing rules.  </w:t>
      </w:r>
    </w:p>
    <w:p w14:paraId="468ABC2A" w14:textId="77777777" w:rsidR="00CA5EA3" w:rsidRPr="0065562C" w:rsidRDefault="00CA5EA3" w:rsidP="00097A67">
      <w:pPr>
        <w:pStyle w:val="3para"/>
      </w:pPr>
      <w:r>
        <w:t>The</w:t>
      </w:r>
      <w:r w:rsidRPr="00656E4A">
        <w:rPr>
          <w:lang w:val="en-US"/>
        </w:rPr>
        <w:t xml:space="preserve"> linked </w:t>
      </w:r>
      <w:hyperlink r:id="rId10" w:history="1">
        <w:r w:rsidRPr="00656E4A">
          <w:rPr>
            <w:rStyle w:val="Hyperlink"/>
            <w:lang w:val="en-US"/>
          </w:rPr>
          <w:t>Report</w:t>
        </w:r>
      </w:hyperlink>
      <w:r w:rsidRPr="00656E4A">
        <w:rPr>
          <w:lang w:val="en-US"/>
        </w:rPr>
        <w:t xml:space="preserve"> (page 27), available on the </w:t>
      </w:r>
      <w:proofErr w:type="spellStart"/>
      <w:r w:rsidRPr="00656E4A">
        <w:rPr>
          <w:lang w:val="en-US"/>
        </w:rPr>
        <w:t>Ofcom</w:t>
      </w:r>
      <w:proofErr w:type="spellEnd"/>
      <w:r w:rsidRPr="00656E4A">
        <w:rPr>
          <w:lang w:val="en-US"/>
        </w:rPr>
        <w:t xml:space="preserve"> website</w:t>
      </w:r>
      <w:r>
        <w:rPr>
          <w:lang w:val="en-US"/>
        </w:rPr>
        <w:t xml:space="preserve"> makes reference to “</w:t>
      </w:r>
      <w:r w:rsidRPr="00AC12E5">
        <w:rPr>
          <w:i/>
          <w:iCs/>
          <w:lang w:val="en-US"/>
        </w:rPr>
        <w:t>illegal</w:t>
      </w:r>
      <w:r>
        <w:rPr>
          <w:lang w:val="en-US"/>
        </w:rPr>
        <w:t>” use</w:t>
      </w:r>
      <w:r w:rsidRPr="00656E4A">
        <w:rPr>
          <w:lang w:val="en-US"/>
        </w:rPr>
        <w:t xml:space="preserve">.  </w:t>
      </w:r>
      <w:r w:rsidR="00097A67">
        <w:rPr>
          <w:lang w:val="en-US"/>
        </w:rPr>
        <w:t>Success</w:t>
      </w:r>
      <w:r w:rsidRPr="00656E4A">
        <w:rPr>
          <w:lang w:val="en-US"/>
        </w:rPr>
        <w:t xml:space="preserve">/failure case analysis taking this fact into account is </w:t>
      </w:r>
      <w:r>
        <w:rPr>
          <w:lang w:val="en-US"/>
        </w:rPr>
        <w:t xml:space="preserve">completely </w:t>
      </w:r>
      <w:r w:rsidRPr="00656E4A">
        <w:rPr>
          <w:lang w:val="en-US"/>
        </w:rPr>
        <w:t>missing from the safety assurance study.</w:t>
      </w:r>
    </w:p>
    <w:p w14:paraId="53617CEF" w14:textId="50FB2208" w:rsidR="00CA5EA3" w:rsidRPr="00F52DA7" w:rsidRDefault="00CA5EA3" w:rsidP="00CA5EA3">
      <w:pPr>
        <w:pStyle w:val="2para"/>
        <w:rPr>
          <w:b/>
          <w:bCs/>
        </w:rPr>
      </w:pPr>
      <w:r w:rsidRPr="00F52DA7">
        <w:rPr>
          <w:b/>
          <w:bCs/>
        </w:rPr>
        <w:t>Analysis of the second half of the first assum</w:t>
      </w:r>
      <w:r w:rsidR="005044EF">
        <w:rPr>
          <w:b/>
          <w:bCs/>
        </w:rPr>
        <w:t>ption and the second assumption</w:t>
      </w:r>
    </w:p>
    <w:p w14:paraId="5E02C952" w14:textId="77777777" w:rsidR="00CA5EA3" w:rsidRPr="005B334F" w:rsidRDefault="00CA5EA3" w:rsidP="00CA5EA3">
      <w:pPr>
        <w:pStyle w:val="3para"/>
        <w:rPr>
          <w:szCs w:val="22"/>
        </w:rPr>
      </w:pPr>
      <w:r>
        <w:rPr>
          <w:lang w:val="en-US"/>
        </w:rPr>
        <w:t xml:space="preserve">Here it is assumed that the 960 – 1164 MHz band will be used as a top-up band only, by loading the existing 470 MHz band to capacity first, hence only a very small portion (7%) of all PMSE assignments would </w:t>
      </w:r>
      <w:r w:rsidRPr="005B334F">
        <w:rPr>
          <w:szCs w:val="22"/>
          <w:lang w:val="en-US"/>
        </w:rPr>
        <w:t xml:space="preserve">use </w:t>
      </w:r>
      <w:r>
        <w:rPr>
          <w:szCs w:val="22"/>
          <w:lang w:val="en-US"/>
        </w:rPr>
        <w:t>the frequencies within the 960 – 1164 MHz</w:t>
      </w:r>
      <w:r w:rsidRPr="005B334F">
        <w:rPr>
          <w:szCs w:val="22"/>
          <w:lang w:val="en-US"/>
        </w:rPr>
        <w:t xml:space="preserve"> band.</w:t>
      </w:r>
    </w:p>
    <w:p w14:paraId="2BF2293B" w14:textId="24E342A6" w:rsidR="00CA5EA3" w:rsidRDefault="00CA5EA3" w:rsidP="00ED7783">
      <w:pPr>
        <w:pStyle w:val="3para"/>
        <w:rPr>
          <w:szCs w:val="22"/>
        </w:rPr>
      </w:pPr>
      <w:r w:rsidRPr="005B334F">
        <w:rPr>
          <w:szCs w:val="22"/>
        </w:rPr>
        <w:t xml:space="preserve">There is no PMSE equipment ownership licensing or enforcement mechanism being proposed that would steer the loading of the frequency bands.  </w:t>
      </w:r>
      <w:r w:rsidR="00ED7783">
        <w:rPr>
          <w:szCs w:val="22"/>
        </w:rPr>
        <w:t>I</w:t>
      </w:r>
      <w:r w:rsidRPr="005B334F">
        <w:rPr>
          <w:szCs w:val="22"/>
        </w:rPr>
        <w:t xml:space="preserve">t </w:t>
      </w:r>
      <w:r w:rsidR="00ED7783">
        <w:rPr>
          <w:szCs w:val="22"/>
        </w:rPr>
        <w:t>can be expected that</w:t>
      </w:r>
      <w:r w:rsidRPr="005B334F">
        <w:rPr>
          <w:szCs w:val="22"/>
        </w:rPr>
        <w:t xml:space="preserve"> a significant portion of the existing 700 MHz band</w:t>
      </w:r>
      <w:r w:rsidR="00ED7783">
        <w:rPr>
          <w:szCs w:val="22"/>
        </w:rPr>
        <w:t xml:space="preserve"> equipment slated for removal from PMSE service</w:t>
      </w:r>
      <w:r w:rsidRPr="005B334F">
        <w:rPr>
          <w:szCs w:val="22"/>
        </w:rPr>
        <w:t xml:space="preserve"> </w:t>
      </w:r>
      <w:r w:rsidR="00ED7783">
        <w:rPr>
          <w:szCs w:val="22"/>
        </w:rPr>
        <w:t>will</w:t>
      </w:r>
      <w:r w:rsidRPr="005B334F">
        <w:rPr>
          <w:szCs w:val="22"/>
        </w:rPr>
        <w:t xml:space="preserve"> be replaced by 960-1164 MHz equipment.  </w:t>
      </w:r>
      <w:r w:rsidR="00E72A72">
        <w:rPr>
          <w:szCs w:val="22"/>
        </w:rPr>
        <w:t xml:space="preserve">It is also reasonable to expect that a significant portion of new PMSE equipment purchases will target this </w:t>
      </w:r>
      <w:r w:rsidR="00EE0BD4">
        <w:rPr>
          <w:szCs w:val="22"/>
        </w:rPr>
        <w:t xml:space="preserve">new </w:t>
      </w:r>
      <w:r w:rsidR="00E72A72">
        <w:rPr>
          <w:szCs w:val="22"/>
        </w:rPr>
        <w:t xml:space="preserve">band.  </w:t>
      </w:r>
    </w:p>
    <w:p w14:paraId="04247921" w14:textId="4C24901C" w:rsidR="00CA5EA3" w:rsidRDefault="00CA5EA3" w:rsidP="00D347F8">
      <w:pPr>
        <w:pStyle w:val="3para"/>
        <w:rPr>
          <w:szCs w:val="22"/>
        </w:rPr>
      </w:pPr>
      <w:r w:rsidRPr="0040367C">
        <w:rPr>
          <w:szCs w:val="22"/>
        </w:rPr>
        <w:t xml:space="preserve">The web-based licensing tool </w:t>
      </w:r>
      <w:r w:rsidR="00D347F8">
        <w:rPr>
          <w:szCs w:val="22"/>
        </w:rPr>
        <w:t>does not provide means to</w:t>
      </w:r>
      <w:r w:rsidRPr="0040367C">
        <w:rPr>
          <w:szCs w:val="22"/>
        </w:rPr>
        <w:t xml:space="preserve"> steer use towards the 470 MHz band first.  Users would utilize the tuning range of the equipment they have available before seeking additional equipment.  In other words, the distribution between the 470 MHz band and the new 960 – 1164 MHz band would </w:t>
      </w:r>
      <w:r w:rsidR="00D347F8">
        <w:rPr>
          <w:szCs w:val="22"/>
        </w:rPr>
        <w:t>be</w:t>
      </w:r>
      <w:r w:rsidRPr="0040367C">
        <w:rPr>
          <w:szCs w:val="22"/>
        </w:rPr>
        <w:t xml:space="preserve"> governed mainly by the proportional ownership of equipment in th</w:t>
      </w:r>
      <w:r>
        <w:rPr>
          <w:szCs w:val="22"/>
        </w:rPr>
        <w:t xml:space="preserve">e two </w:t>
      </w:r>
      <w:r w:rsidRPr="0040367C">
        <w:rPr>
          <w:szCs w:val="22"/>
        </w:rPr>
        <w:t>frequency band</w:t>
      </w:r>
      <w:r>
        <w:rPr>
          <w:szCs w:val="22"/>
        </w:rPr>
        <w:t>s</w:t>
      </w:r>
      <w:r w:rsidRPr="0040367C">
        <w:rPr>
          <w:szCs w:val="22"/>
        </w:rPr>
        <w:t xml:space="preserve">.  </w:t>
      </w:r>
    </w:p>
    <w:p w14:paraId="06479F6A" w14:textId="77777777" w:rsidR="00CA5EA3" w:rsidRPr="0040367C" w:rsidRDefault="00CA5EA3" w:rsidP="00CA5EA3">
      <w:pPr>
        <w:pStyle w:val="3para"/>
        <w:rPr>
          <w:szCs w:val="22"/>
        </w:rPr>
      </w:pPr>
      <w:r>
        <w:rPr>
          <w:szCs w:val="22"/>
        </w:rPr>
        <w:t>As evident from the above,</w:t>
      </w:r>
      <w:r w:rsidRPr="0040367C">
        <w:rPr>
          <w:szCs w:val="22"/>
        </w:rPr>
        <w:t xml:space="preserve"> it can safely be assumed that a much larger use of the 960-1164 MHz band </w:t>
      </w:r>
      <w:r>
        <w:rPr>
          <w:szCs w:val="22"/>
        </w:rPr>
        <w:t>will</w:t>
      </w:r>
      <w:r w:rsidRPr="0040367C">
        <w:rPr>
          <w:szCs w:val="22"/>
        </w:rPr>
        <w:t xml:space="preserve"> be expected than the one postulated</w:t>
      </w:r>
      <w:r w:rsidR="009062BF">
        <w:rPr>
          <w:szCs w:val="22"/>
        </w:rPr>
        <w:t xml:space="preserve"> in the SAC</w:t>
      </w:r>
      <w:r w:rsidRPr="0040367C">
        <w:rPr>
          <w:szCs w:val="22"/>
        </w:rPr>
        <w:t>.</w:t>
      </w:r>
    </w:p>
    <w:p w14:paraId="04BB505F" w14:textId="77777777" w:rsidR="00CA5EA3" w:rsidRPr="00FE7A8F" w:rsidRDefault="00CA5EA3" w:rsidP="00CA5EA3">
      <w:pPr>
        <w:pStyle w:val="2para"/>
        <w:rPr>
          <w:b/>
          <w:bCs/>
        </w:rPr>
      </w:pPr>
      <w:r>
        <w:rPr>
          <w:b/>
          <w:bCs/>
        </w:rPr>
        <w:t>Review</w:t>
      </w:r>
      <w:r w:rsidRPr="00FE7A8F">
        <w:rPr>
          <w:b/>
          <w:bCs/>
        </w:rPr>
        <w:t xml:space="preserve"> of the SAC as a whole</w:t>
      </w:r>
    </w:p>
    <w:p w14:paraId="2106FC18" w14:textId="77777777" w:rsidR="00D347F8" w:rsidRDefault="00CA5EA3" w:rsidP="00F54E12">
      <w:pPr>
        <w:pStyle w:val="3para"/>
      </w:pPr>
      <w:r>
        <w:t>Th</w:t>
      </w:r>
      <w:r w:rsidR="00D347F8">
        <w:t>e quick review contained in Attachment 2</w:t>
      </w:r>
      <w:r>
        <w:t xml:space="preserve"> is not intended to reassess the assumptions contained in the SAC or the “success cases” and “failure cases” derived from those.  However, it is evident from the review of those assumptions</w:t>
      </w:r>
      <w:r w:rsidR="00D347F8">
        <w:t>,</w:t>
      </w:r>
      <w:r>
        <w:t xml:space="preserve"> that there is a problem with a number of the core assumptions and that hence the </w:t>
      </w:r>
      <w:r w:rsidR="00D347F8">
        <w:t xml:space="preserve">outcome of the </w:t>
      </w:r>
      <w:r>
        <w:t xml:space="preserve">SAC </w:t>
      </w:r>
      <w:r w:rsidR="00D347F8">
        <w:t>as a whole is in doubt</w:t>
      </w:r>
      <w:r>
        <w:t>.</w:t>
      </w:r>
      <w:r w:rsidR="00770160">
        <w:t xml:space="preserve"> </w:t>
      </w:r>
    </w:p>
    <w:p w14:paraId="595B034F" w14:textId="139AE510" w:rsidR="00EE0BD4" w:rsidRDefault="00EE0BD4">
      <w:pPr>
        <w:jc w:val="left"/>
      </w:pPr>
      <w:r>
        <w:br w:type="page"/>
      </w:r>
    </w:p>
    <w:p w14:paraId="2401E54F" w14:textId="77777777" w:rsidR="00770160" w:rsidRDefault="00770160">
      <w:pPr>
        <w:pStyle w:val="1Heading"/>
      </w:pPr>
      <w:r>
        <w:lastRenderedPageBreak/>
        <w:t>ACTION BY THE MEETING</w:t>
      </w:r>
    </w:p>
    <w:p w14:paraId="77C6D133" w14:textId="77777777" w:rsidR="00770160" w:rsidRDefault="00770160">
      <w:pPr>
        <w:pStyle w:val="2para"/>
      </w:pPr>
      <w:r>
        <w:t>The meeting is invited to:</w:t>
      </w:r>
    </w:p>
    <w:p w14:paraId="21549900" w14:textId="77777777" w:rsidR="00770160" w:rsidRDefault="00770160" w:rsidP="00CA5EA3">
      <w:pPr>
        <w:pStyle w:val="Listabc"/>
      </w:pPr>
      <w:r>
        <w:t xml:space="preserve">review the </w:t>
      </w:r>
      <w:r w:rsidR="00CA5EA3">
        <w:t xml:space="preserve">UK Ofcom SAC contained in Attachment 1 to </w:t>
      </w:r>
      <w:r>
        <w:t>this working paper;</w:t>
      </w:r>
      <w:r w:rsidR="005358A2">
        <w:t xml:space="preserve"> and</w:t>
      </w:r>
    </w:p>
    <w:p w14:paraId="457E5810" w14:textId="77777777" w:rsidR="00CA5EA3" w:rsidRDefault="00CA5EA3" w:rsidP="00CA5EA3">
      <w:pPr>
        <w:pStyle w:val="Listabc"/>
      </w:pPr>
      <w:r>
        <w:t xml:space="preserve">review and validate the ICAO Secretariat analysis of the UK Ofcom SAC contained in Attachment 2 to </w:t>
      </w:r>
      <w:r w:rsidR="005358A2">
        <w:t>this working paper.</w:t>
      </w:r>
    </w:p>
    <w:p w14:paraId="1B052718" w14:textId="77777777" w:rsidR="005358A2" w:rsidRDefault="005358A2" w:rsidP="005358A2">
      <w:pPr>
        <w:pStyle w:val="Listabc"/>
        <w:numPr>
          <w:ilvl w:val="0"/>
          <w:numId w:val="0"/>
        </w:numPr>
        <w:ind w:left="1800"/>
      </w:pPr>
    </w:p>
    <w:p w14:paraId="2FB98FEC" w14:textId="77777777" w:rsidR="005358A2" w:rsidRDefault="005358A2" w:rsidP="005358A2">
      <w:pPr>
        <w:pStyle w:val="Listabc"/>
        <w:numPr>
          <w:ilvl w:val="0"/>
          <w:numId w:val="0"/>
        </w:numPr>
        <w:ind w:left="1800"/>
      </w:pPr>
    </w:p>
    <w:p w14:paraId="7CD32028" w14:textId="77777777" w:rsidR="005358A2" w:rsidRPr="005358A2" w:rsidRDefault="005358A2" w:rsidP="005358A2">
      <w:pPr>
        <w:pStyle w:val="Listabc"/>
        <w:numPr>
          <w:ilvl w:val="0"/>
          <w:numId w:val="0"/>
        </w:numPr>
        <w:rPr>
          <w:b/>
          <w:bCs/>
        </w:rPr>
      </w:pPr>
      <w:r w:rsidRPr="005358A2">
        <w:rPr>
          <w:b/>
          <w:bCs/>
        </w:rPr>
        <w:t>Attachment 1:</w:t>
      </w:r>
    </w:p>
    <w:bookmarkStart w:id="2" w:name="_MON_1608985669"/>
    <w:bookmarkEnd w:id="2"/>
    <w:p w14:paraId="4A858D0D" w14:textId="77777777" w:rsidR="00770160" w:rsidRDefault="00362354" w:rsidP="00423C6F">
      <w:pPr>
        <w:pStyle w:val="Listabc"/>
        <w:numPr>
          <w:ilvl w:val="0"/>
          <w:numId w:val="0"/>
        </w:numPr>
      </w:pPr>
      <w:r>
        <w:object w:dxaOrig="1513" w:dyaOrig="961" w14:anchorId="7A187F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76pt;height:48pt;mso-width-percent:0;mso-height-percent:0;mso-width-percent:0;mso-height-percent:0" o:ole="">
            <v:imagedata r:id="rId11" o:title=""/>
          </v:shape>
          <o:OLEObject Type="Embed" ProgID="Word.Document.12" ShapeID="_x0000_i1029" DrawAspect="Icon" ObjectID="_1609318046" r:id="rId12">
            <o:FieldCodes>\s</o:FieldCodes>
          </o:OLEObject>
        </w:object>
      </w:r>
      <w:r w:rsidR="005358A2">
        <w:t xml:space="preserve"> </w:t>
      </w:r>
      <w:bookmarkStart w:id="3" w:name="_MON_1608985708"/>
      <w:bookmarkEnd w:id="3"/>
      <w:r>
        <w:object w:dxaOrig="1513" w:dyaOrig="961" w14:anchorId="0A678FBA">
          <v:shape id="_x0000_i1028" type="#_x0000_t75" alt="" style="width:76pt;height:48pt;mso-width-percent:0;mso-height-percent:0;mso-width-percent:0;mso-height-percent:0" o:ole="">
            <v:imagedata r:id="rId13" o:title=""/>
          </v:shape>
          <o:OLEObject Type="Embed" ProgID="Word.Document.12" ShapeID="_x0000_i1028" DrawAspect="Icon" ObjectID="_1609318047" r:id="rId14">
            <o:FieldCodes>\s</o:FieldCodes>
          </o:OLEObject>
        </w:object>
      </w:r>
      <w:r w:rsidR="005358A2">
        <w:t xml:space="preserve">  </w:t>
      </w:r>
      <w:bookmarkStart w:id="4" w:name="_MON_1608985739"/>
      <w:bookmarkEnd w:id="4"/>
      <w:r>
        <w:object w:dxaOrig="1513" w:dyaOrig="961" w14:anchorId="4F43EEBF">
          <v:shape id="_x0000_i1027" type="#_x0000_t75" alt="" style="width:76pt;height:48pt;mso-width-percent:0;mso-height-percent:0;mso-width-percent:0;mso-height-percent:0" o:ole="">
            <v:imagedata r:id="rId15" o:title=""/>
          </v:shape>
          <o:OLEObject Type="Embed" ProgID="Word.Document.12" ShapeID="_x0000_i1027" DrawAspect="Icon" ObjectID="_1609318048" r:id="rId16">
            <o:FieldCodes>\s</o:FieldCodes>
          </o:OLEObject>
        </w:object>
      </w:r>
    </w:p>
    <w:p w14:paraId="55ADB0F7" w14:textId="77777777" w:rsidR="0060580D" w:rsidRDefault="0060580D" w:rsidP="00423C6F">
      <w:pPr>
        <w:pStyle w:val="Listabc"/>
        <w:numPr>
          <w:ilvl w:val="0"/>
          <w:numId w:val="0"/>
        </w:numPr>
        <w:rPr>
          <w:b/>
          <w:bCs/>
        </w:rPr>
      </w:pPr>
    </w:p>
    <w:p w14:paraId="700D091D" w14:textId="77777777" w:rsidR="0060580D" w:rsidRDefault="0060580D" w:rsidP="00423C6F">
      <w:pPr>
        <w:pStyle w:val="Listabc"/>
        <w:numPr>
          <w:ilvl w:val="0"/>
          <w:numId w:val="0"/>
        </w:numPr>
        <w:rPr>
          <w:b/>
          <w:bCs/>
        </w:rPr>
      </w:pPr>
    </w:p>
    <w:p w14:paraId="37ACAF50" w14:textId="77777777" w:rsidR="005358A2" w:rsidRPr="005358A2" w:rsidRDefault="005358A2" w:rsidP="00423C6F">
      <w:pPr>
        <w:pStyle w:val="Listabc"/>
        <w:numPr>
          <w:ilvl w:val="0"/>
          <w:numId w:val="0"/>
        </w:numPr>
        <w:rPr>
          <w:b/>
          <w:bCs/>
        </w:rPr>
      </w:pPr>
      <w:r w:rsidRPr="005358A2">
        <w:rPr>
          <w:b/>
          <w:bCs/>
        </w:rPr>
        <w:t>Attachment 2:</w:t>
      </w:r>
    </w:p>
    <w:bookmarkStart w:id="5" w:name="_MON_1608985873"/>
    <w:bookmarkEnd w:id="5"/>
    <w:p w14:paraId="76CE5AEA" w14:textId="77777777" w:rsidR="005358A2" w:rsidRDefault="00362354" w:rsidP="00423C6F">
      <w:pPr>
        <w:pStyle w:val="Listabc"/>
        <w:numPr>
          <w:ilvl w:val="0"/>
          <w:numId w:val="0"/>
        </w:numPr>
      </w:pPr>
      <w:r>
        <w:object w:dxaOrig="1513" w:dyaOrig="961" w14:anchorId="178FA594">
          <v:shape id="_x0000_i1026" type="#_x0000_t75" alt="" style="width:76pt;height:48pt;mso-width-percent:0;mso-height-percent:0;mso-width-percent:0;mso-height-percent:0" o:ole="">
            <v:imagedata r:id="rId17" o:title=""/>
          </v:shape>
          <o:OLEObject Type="Embed" ProgID="Word.Document.12" ShapeID="_x0000_i1026" DrawAspect="Icon" ObjectID="_1609318049" r:id="rId18">
            <o:FieldCodes>\s</o:FieldCodes>
          </o:OLEObject>
        </w:object>
      </w:r>
    </w:p>
    <w:p w14:paraId="6582AE74" w14:textId="77777777" w:rsidR="005A3C0F" w:rsidRDefault="005A3C0F" w:rsidP="00423C6F">
      <w:pPr>
        <w:pStyle w:val="Listabc"/>
        <w:numPr>
          <w:ilvl w:val="0"/>
          <w:numId w:val="0"/>
        </w:numPr>
        <w:rPr>
          <w:b/>
          <w:bCs/>
        </w:rPr>
      </w:pPr>
    </w:p>
    <w:p w14:paraId="616B8443" w14:textId="77777777" w:rsidR="005A3C0F" w:rsidRDefault="005A3C0F" w:rsidP="00423C6F">
      <w:pPr>
        <w:pStyle w:val="Listabc"/>
        <w:numPr>
          <w:ilvl w:val="0"/>
          <w:numId w:val="0"/>
        </w:numPr>
        <w:rPr>
          <w:b/>
          <w:bCs/>
        </w:rPr>
      </w:pPr>
    </w:p>
    <w:p w14:paraId="74BDDC4C" w14:textId="77777777" w:rsidR="000955F2" w:rsidRDefault="000955F2" w:rsidP="00423C6F">
      <w:pPr>
        <w:pStyle w:val="Listabc"/>
        <w:numPr>
          <w:ilvl w:val="0"/>
          <w:numId w:val="0"/>
        </w:numPr>
        <w:rPr>
          <w:b/>
          <w:bCs/>
        </w:rPr>
      </w:pPr>
      <w:r w:rsidRPr="005A3C0F">
        <w:rPr>
          <w:b/>
          <w:bCs/>
        </w:rPr>
        <w:t>Attachment 3:</w:t>
      </w:r>
    </w:p>
    <w:bookmarkStart w:id="6" w:name="_MON_1609049602"/>
    <w:bookmarkEnd w:id="6"/>
    <w:p w14:paraId="32B94745" w14:textId="77777777" w:rsidR="005A3C0F" w:rsidRPr="005A3C0F" w:rsidRDefault="00362354" w:rsidP="00423C6F">
      <w:pPr>
        <w:pStyle w:val="Listabc"/>
        <w:numPr>
          <w:ilvl w:val="0"/>
          <w:numId w:val="0"/>
        </w:numPr>
        <w:rPr>
          <w:b/>
          <w:bCs/>
        </w:rPr>
      </w:pPr>
      <w:r>
        <w:rPr>
          <w:b/>
          <w:bCs/>
        </w:rPr>
        <w:object w:dxaOrig="1513" w:dyaOrig="961" w14:anchorId="4EFD40F3">
          <v:shape id="_x0000_i1025" type="#_x0000_t75" alt="" style="width:76pt;height:48pt;mso-width-percent:0;mso-height-percent:0;mso-width-percent:0;mso-height-percent:0" o:ole="">
            <v:imagedata r:id="rId19" o:title=""/>
          </v:shape>
          <o:OLEObject Type="Embed" ProgID="Word.Document.12" ShapeID="_x0000_i1025" DrawAspect="Icon" ObjectID="_1609318050" r:id="rId20">
            <o:FieldCodes>\s</o:FieldCodes>
          </o:OLEObject>
        </w:object>
      </w:r>
    </w:p>
    <w:p w14:paraId="08EFFF0E" w14:textId="77777777" w:rsidR="00A12CBA" w:rsidRDefault="00770160" w:rsidP="00C51783">
      <w:pPr>
        <w:spacing w:before="600"/>
        <w:jc w:val="center"/>
      </w:pPr>
      <w:r>
        <w:t>— END —</w:t>
      </w:r>
    </w:p>
    <w:sectPr w:rsidR="00A12CBA" w:rsidSect="00EE0BD4">
      <w:headerReference w:type="even" r:id="rId21"/>
      <w:headerReference w:type="default" r:id="rId22"/>
      <w:footerReference w:type="even" r:id="rId23"/>
      <w:footerReference w:type="default" r:id="rId24"/>
      <w:headerReference w:type="first" r:id="rId25"/>
      <w:footerReference w:type="first" r:id="rId26"/>
      <w:pgSz w:w="12242" w:h="15842"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A5812B" w14:textId="77777777" w:rsidR="00362354" w:rsidRDefault="00362354">
      <w:r>
        <w:separator/>
      </w:r>
    </w:p>
  </w:endnote>
  <w:endnote w:type="continuationSeparator" w:id="0">
    <w:p w14:paraId="44DCE649" w14:textId="77777777" w:rsidR="00362354" w:rsidRDefault="00362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00000003" w:usb1="00000000" w:usb2="00000000" w:usb3="00000000" w:csb0="00000001" w:csb1="00000000"/>
  </w:font>
  <w:font w:name="MS Mincho">
    <w:altName w:val="ＭＳ 明朝"/>
    <w:panose1 w:val="02020609040205080304"/>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C40E1" w14:textId="77777777" w:rsidR="00F22225" w:rsidRDefault="00F222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B4AA4" w14:textId="77777777" w:rsidR="00F22225" w:rsidRDefault="00F222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321A4"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CD3549">
      <w:rPr>
        <w:noProof/>
        <w:sz w:val="18"/>
        <w:lang w:val="fr-FR"/>
      </w:rPr>
      <w:t>4</w:t>
    </w:r>
    <w:r>
      <w:rPr>
        <w:sz w:val="18"/>
        <w:lang w:val="en-US"/>
      </w:rPr>
      <w:fldChar w:fldCharType="end"/>
    </w:r>
    <w:r>
      <w:rPr>
        <w:sz w:val="18"/>
        <w:lang w:val="fr-FR"/>
      </w:rPr>
      <w:t xml:space="preserve"> pages)</w:t>
    </w:r>
  </w:p>
  <w:p w14:paraId="610E808F" w14:textId="56254E0F"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ED0722">
      <w:rPr>
        <w:noProof/>
        <w:sz w:val="18"/>
        <w:lang w:val="en-US"/>
      </w:rPr>
      <w:t>FSMP-WG08-WP09_UK_PMSE_safety_assurance_case-ICAO.docx</w:t>
    </w:r>
    <w:r>
      <w:rPr>
        <w:sz w:val="18"/>
        <w:lang w:val="en-US"/>
      </w:rPr>
      <w:fldChar w:fldCharType="end"/>
    </w:r>
    <w:bookmarkStart w:id="15" w:name="_GoBack"/>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D354AC" w14:textId="77777777" w:rsidR="00362354" w:rsidRDefault="00362354">
      <w:r>
        <w:separator/>
      </w:r>
    </w:p>
  </w:footnote>
  <w:footnote w:type="continuationSeparator" w:id="0">
    <w:p w14:paraId="45089C59" w14:textId="77777777" w:rsidR="00362354" w:rsidRDefault="00362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204B7" w14:textId="77777777" w:rsidR="00770160" w:rsidRDefault="000D26D5" w:rsidP="00F56F90">
    <w:pPr>
      <w:tabs>
        <w:tab w:val="center" w:pos="4876"/>
      </w:tabs>
      <w:spacing w:after="600"/>
    </w:pPr>
    <w:r>
      <w:t>FS</w:t>
    </w:r>
    <w:r w:rsidR="00725205">
      <w:t>MP</w:t>
    </w:r>
    <w:r w:rsidR="007E6A06">
      <w:t>-WG</w:t>
    </w:r>
    <w:r w:rsidR="00770160">
      <w:t>/</w:t>
    </w:r>
    <w:r w:rsidR="00F56F90">
      <w:t>8</w:t>
    </w:r>
    <w:r w:rsidR="007E6A06">
      <w:t xml:space="preserve"> </w:t>
    </w:r>
    <w:r w:rsidR="00770160">
      <w:t>WP/</w:t>
    </w:r>
    <w:r w:rsidR="0068350F">
      <w:t>09</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CD3549">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D9477" w14:textId="77777777" w:rsidR="00770160" w:rsidRDefault="00770160" w:rsidP="00F56F90">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CD3549">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F56F90">
      <w:t>8</w:t>
    </w:r>
    <w:r w:rsidR="007E6A06">
      <w:t xml:space="preserve"> </w:t>
    </w:r>
    <w:r>
      <w:t>WP/</w:t>
    </w:r>
    <w:r w:rsidR="0068350F">
      <w:t>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2D01A4" w14:paraId="61C941D9" w14:textId="77777777" w:rsidTr="008D7BB5">
      <w:trPr>
        <w:trHeight w:val="1790"/>
      </w:trPr>
      <w:tc>
        <w:tcPr>
          <w:tcW w:w="1915" w:type="dxa"/>
          <w:shd w:val="clear" w:color="auto" w:fill="FFFFFF"/>
        </w:tcPr>
        <w:p w14:paraId="0B25EFE3" w14:textId="77777777" w:rsidR="002D01A4" w:rsidRDefault="002D01A4" w:rsidP="002D01A4">
          <w:bookmarkStart w:id="7" w:name="logo"/>
          <w:r>
            <w:rPr>
              <w:noProof/>
              <w:lang w:eastAsia="zh-CN"/>
            </w:rPr>
            <w:drawing>
              <wp:inline distT="0" distB="0" distL="0" distR="0" wp14:anchorId="7E83B08D" wp14:editId="1D18FED8">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7"/>
        </w:p>
      </w:tc>
      <w:tc>
        <w:tcPr>
          <w:tcW w:w="3895" w:type="dxa"/>
          <w:shd w:val="clear" w:color="auto" w:fill="FFFFFF"/>
          <w:tcMar>
            <w:right w:w="0" w:type="dxa"/>
          </w:tcMar>
        </w:tcPr>
        <w:p w14:paraId="49708C10" w14:textId="77777777" w:rsidR="002D01A4" w:rsidRPr="00066AB7" w:rsidRDefault="002D01A4" w:rsidP="002D01A4">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9264" behindDoc="0" locked="0" layoutInCell="1" allowOverlap="1" wp14:anchorId="62F5746A" wp14:editId="7D7FFF70">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5F519"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"/>
                </w:pict>
              </mc:Fallback>
            </mc:AlternateContent>
          </w:r>
        </w:p>
        <w:p w14:paraId="7DBA2F47" w14:textId="77777777" w:rsidR="002D01A4" w:rsidRPr="00066AB7" w:rsidRDefault="002D01A4" w:rsidP="002D01A4">
          <w:pPr>
            <w:rPr>
              <w:rFonts w:ascii="Arial" w:hAnsi="Arial" w:cs="Arial"/>
              <w:szCs w:val="22"/>
            </w:rPr>
          </w:pPr>
          <w:r w:rsidRPr="00066AB7">
            <w:rPr>
              <w:rFonts w:ascii="Arial" w:hAnsi="Arial" w:cs="Arial"/>
              <w:szCs w:val="22"/>
            </w:rPr>
            <w:t>International Civil Aviation Organization</w:t>
          </w:r>
        </w:p>
        <w:p w14:paraId="6AB4C574" w14:textId="77777777" w:rsidR="002D01A4" w:rsidRPr="00066AB7" w:rsidRDefault="002D01A4" w:rsidP="002D01A4">
          <w:pPr>
            <w:rPr>
              <w:rFonts w:ascii="Arial" w:hAnsi="Arial" w:cs="Arial"/>
              <w:szCs w:val="22"/>
            </w:rPr>
          </w:pPr>
        </w:p>
        <w:p w14:paraId="3407ED5A" w14:textId="77777777" w:rsidR="002D01A4" w:rsidRPr="00066AB7" w:rsidRDefault="002D01A4" w:rsidP="002D01A4">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2D01A4" w14:paraId="3A20AC19" w14:textId="77777777" w:rsidTr="008D7BB5">
            <w:trPr>
              <w:jc w:val="right"/>
            </w:trPr>
            <w:tc>
              <w:tcPr>
                <w:tcW w:w="0" w:type="auto"/>
              </w:tcPr>
              <w:p w14:paraId="2F2952FD" w14:textId="77777777" w:rsidR="002D01A4" w:rsidRPr="00066AB7" w:rsidRDefault="002D01A4" w:rsidP="00ED0722">
                <w:pPr>
                  <w:framePr w:hSpace="180" w:wrap="around" w:vAnchor="text" w:hAnchor="text" w:y="1"/>
                  <w:suppressOverlap/>
                  <w:jc w:val="left"/>
                  <w:rPr>
                    <w:szCs w:val="22"/>
                  </w:rPr>
                </w:pPr>
                <w:bookmarkStart w:id="8" w:name="document_no"/>
                <w:r>
                  <w:rPr>
                    <w:szCs w:val="22"/>
                  </w:rPr>
                  <w:t>FSMP-WG</w:t>
                </w:r>
                <w:r w:rsidRPr="00066AB7">
                  <w:rPr>
                    <w:szCs w:val="22"/>
                  </w:rPr>
                  <w:t>/</w:t>
                </w:r>
                <w:r>
                  <w:rPr>
                    <w:szCs w:val="22"/>
                  </w:rPr>
                  <w:t xml:space="preserve">8 </w:t>
                </w:r>
                <w:r w:rsidRPr="00066AB7">
                  <w:rPr>
                    <w:szCs w:val="22"/>
                  </w:rPr>
                  <w:t>WP/</w:t>
                </w:r>
                <w:bookmarkEnd w:id="8"/>
                <w:r w:rsidR="0068350F">
                  <w:rPr>
                    <w:szCs w:val="22"/>
                  </w:rPr>
                  <w:t>09</w:t>
                </w:r>
              </w:p>
              <w:p w14:paraId="5F617DB7" w14:textId="4F8138BC" w:rsidR="002D01A4" w:rsidRPr="00066AB7" w:rsidRDefault="002D01A4" w:rsidP="00ED0722">
                <w:pPr>
                  <w:framePr w:hSpace="180" w:wrap="around" w:vAnchor="text" w:hAnchor="text" w:y="1"/>
                  <w:suppressOverlap/>
                  <w:jc w:val="left"/>
                  <w:rPr>
                    <w:b/>
                  </w:rPr>
                </w:pPr>
                <w:bookmarkStart w:id="9" w:name="restricted"/>
                <w:bookmarkStart w:id="10" w:name="addendum_corrigendum_appendix"/>
                <w:bookmarkStart w:id="11" w:name="revision_no"/>
                <w:bookmarkStart w:id="12" w:name="revision_date"/>
                <w:bookmarkStart w:id="13" w:name="related_to"/>
                <w:bookmarkEnd w:id="9"/>
                <w:bookmarkEnd w:id="10"/>
                <w:bookmarkEnd w:id="11"/>
                <w:bookmarkEnd w:id="12"/>
                <w:bookmarkEnd w:id="13"/>
                <w:r>
                  <w:rPr>
                    <w:sz w:val="18"/>
                    <w:szCs w:val="18"/>
                  </w:rPr>
                  <w:t>2019-01-1</w:t>
                </w:r>
                <w:r w:rsidR="00E43A7F">
                  <w:rPr>
                    <w:sz w:val="18"/>
                    <w:szCs w:val="18"/>
                  </w:rPr>
                  <w:t>8</w:t>
                </w:r>
                <w:r w:rsidRPr="00066AB7">
                  <w:rPr>
                    <w:b/>
                    <w:sz w:val="18"/>
                    <w:szCs w:val="18"/>
                  </w:rPr>
                  <w:t xml:space="preserve"> </w:t>
                </w:r>
                <w:bookmarkStart w:id="14" w:name="info_paper"/>
                <w:bookmarkEnd w:id="14"/>
              </w:p>
            </w:tc>
          </w:tr>
          <w:tr w:rsidR="002D01A4" w14:paraId="7D47F4F4" w14:textId="77777777" w:rsidTr="008D7BB5">
            <w:trPr>
              <w:jc w:val="right"/>
            </w:trPr>
            <w:tc>
              <w:tcPr>
                <w:tcW w:w="0" w:type="auto"/>
              </w:tcPr>
              <w:p w14:paraId="12771406" w14:textId="77777777" w:rsidR="002D01A4" w:rsidRPr="00066AB7" w:rsidRDefault="002D01A4" w:rsidP="00ED0722">
                <w:pPr>
                  <w:framePr w:hSpace="180" w:wrap="around" w:vAnchor="text" w:hAnchor="text" w:y="1"/>
                  <w:suppressOverlap/>
                  <w:jc w:val="left"/>
                  <w:rPr>
                    <w:szCs w:val="22"/>
                  </w:rPr>
                </w:pPr>
              </w:p>
            </w:tc>
          </w:tr>
        </w:tbl>
        <w:p w14:paraId="4C8D3F7B" w14:textId="77777777" w:rsidR="002D01A4" w:rsidRPr="00066AB7" w:rsidRDefault="002D01A4" w:rsidP="002D01A4">
          <w:pPr>
            <w:tabs>
              <w:tab w:val="left" w:pos="720"/>
              <w:tab w:val="left" w:pos="1440"/>
              <w:tab w:val="left" w:pos="1800"/>
              <w:tab w:val="left" w:pos="2160"/>
              <w:tab w:val="left" w:pos="2520"/>
              <w:tab w:val="left" w:pos="2880"/>
            </w:tabs>
            <w:ind w:left="4320"/>
            <w:rPr>
              <w:b/>
              <w:sz w:val="18"/>
              <w:szCs w:val="18"/>
            </w:rPr>
          </w:pPr>
        </w:p>
      </w:tc>
    </w:tr>
  </w:tbl>
  <w:p w14:paraId="00F01ED1" w14:textId="77777777" w:rsidR="00770160" w:rsidRPr="002D01A4" w:rsidRDefault="00770160" w:rsidP="002D0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EA46CFB"/>
    <w:multiLevelType w:val="hybridMultilevel"/>
    <w:tmpl w:val="D7BCCFCA"/>
    <w:lvl w:ilvl="0" w:tplc="3682618E">
      <w:start w:val="1"/>
      <w:numFmt w:val="bullet"/>
      <w:pStyle w:val="Bulletpoints"/>
      <w:lvlText w:val=""/>
      <w:lvlJc w:val="left"/>
      <w:pPr>
        <w:ind w:left="2798" w:hanging="340"/>
      </w:pPr>
      <w:rPr>
        <w:rFonts w:ascii="Symbol" w:hAnsi="Symbol" w:hint="default"/>
        <w:sz w:val="20"/>
        <w:szCs w:val="20"/>
      </w:rPr>
    </w:lvl>
    <w:lvl w:ilvl="1" w:tplc="6C9AC1F6">
      <w:start w:val="1"/>
      <w:numFmt w:val="bullet"/>
      <w:pStyle w:val="Subbullets"/>
      <w:lvlText w:val="-"/>
      <w:lvlJc w:val="left"/>
      <w:pPr>
        <w:ind w:left="3138" w:hanging="340"/>
      </w:pPr>
      <w:rPr>
        <w:rFonts w:ascii="Courier New" w:hAnsi="Courier New" w:hint="default"/>
      </w:rPr>
    </w:lvl>
    <w:lvl w:ilvl="2" w:tplc="08090005" w:tentative="1">
      <w:start w:val="1"/>
      <w:numFmt w:val="bullet"/>
      <w:lvlText w:val=""/>
      <w:lvlJc w:val="left"/>
      <w:pPr>
        <w:ind w:left="4618" w:hanging="360"/>
      </w:pPr>
      <w:rPr>
        <w:rFonts w:ascii="Wingdings" w:hAnsi="Wingdings" w:hint="default"/>
      </w:rPr>
    </w:lvl>
    <w:lvl w:ilvl="3" w:tplc="08090001" w:tentative="1">
      <w:start w:val="1"/>
      <w:numFmt w:val="bullet"/>
      <w:lvlText w:val=""/>
      <w:lvlJc w:val="left"/>
      <w:pPr>
        <w:ind w:left="5338" w:hanging="360"/>
      </w:pPr>
      <w:rPr>
        <w:rFonts w:ascii="Symbol" w:hAnsi="Symbol" w:hint="default"/>
      </w:rPr>
    </w:lvl>
    <w:lvl w:ilvl="4" w:tplc="08090003" w:tentative="1">
      <w:start w:val="1"/>
      <w:numFmt w:val="bullet"/>
      <w:lvlText w:val="o"/>
      <w:lvlJc w:val="left"/>
      <w:pPr>
        <w:ind w:left="6058" w:hanging="360"/>
      </w:pPr>
      <w:rPr>
        <w:rFonts w:ascii="Courier New" w:hAnsi="Courier New" w:cs="Courier New" w:hint="default"/>
      </w:rPr>
    </w:lvl>
    <w:lvl w:ilvl="5" w:tplc="08090005" w:tentative="1">
      <w:start w:val="1"/>
      <w:numFmt w:val="bullet"/>
      <w:lvlText w:val=""/>
      <w:lvlJc w:val="left"/>
      <w:pPr>
        <w:ind w:left="6778" w:hanging="360"/>
      </w:pPr>
      <w:rPr>
        <w:rFonts w:ascii="Wingdings" w:hAnsi="Wingdings" w:hint="default"/>
      </w:rPr>
    </w:lvl>
    <w:lvl w:ilvl="6" w:tplc="08090001" w:tentative="1">
      <w:start w:val="1"/>
      <w:numFmt w:val="bullet"/>
      <w:lvlText w:val=""/>
      <w:lvlJc w:val="left"/>
      <w:pPr>
        <w:ind w:left="7498" w:hanging="360"/>
      </w:pPr>
      <w:rPr>
        <w:rFonts w:ascii="Symbol" w:hAnsi="Symbol" w:hint="default"/>
      </w:rPr>
    </w:lvl>
    <w:lvl w:ilvl="7" w:tplc="08090003" w:tentative="1">
      <w:start w:val="1"/>
      <w:numFmt w:val="bullet"/>
      <w:lvlText w:val="o"/>
      <w:lvlJc w:val="left"/>
      <w:pPr>
        <w:ind w:left="8218" w:hanging="360"/>
      </w:pPr>
      <w:rPr>
        <w:rFonts w:ascii="Courier New" w:hAnsi="Courier New" w:cs="Courier New" w:hint="default"/>
      </w:rPr>
    </w:lvl>
    <w:lvl w:ilvl="8" w:tplc="08090005" w:tentative="1">
      <w:start w:val="1"/>
      <w:numFmt w:val="bullet"/>
      <w:lvlText w:val=""/>
      <w:lvlJc w:val="left"/>
      <w:pPr>
        <w:ind w:left="8938" w:hanging="360"/>
      </w:pPr>
      <w:rPr>
        <w:rFonts w:ascii="Wingdings" w:hAnsi="Wingdings" w:hint="default"/>
      </w:rPr>
    </w:lvl>
  </w:abstractNum>
  <w:abstractNum w:abstractNumId="2"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15:restartNumberingAfterBreak="0">
    <w:nsid w:val="23715C4A"/>
    <w:multiLevelType w:val="hybridMultilevel"/>
    <w:tmpl w:val="AB869D76"/>
    <w:lvl w:ilvl="0" w:tplc="1FDA39E8">
      <w:start w:val="1"/>
      <w:numFmt w:val="lowerLetter"/>
      <w:lvlText w:val="%1)"/>
      <w:lvlJc w:val="left"/>
      <w:pPr>
        <w:ind w:left="2879" w:hanging="721"/>
      </w:pPr>
      <w:rPr>
        <w:rFonts w:ascii="Times New Roman" w:eastAsia="Times New Roman" w:hAnsi="Times New Roman" w:cs="Times New Roman" w:hint="default"/>
        <w:w w:val="100"/>
        <w:sz w:val="22"/>
        <w:szCs w:val="22"/>
      </w:rPr>
    </w:lvl>
    <w:lvl w:ilvl="1" w:tplc="D764C8EA">
      <w:numFmt w:val="bullet"/>
      <w:lvlText w:val="•"/>
      <w:lvlJc w:val="left"/>
      <w:pPr>
        <w:ind w:left="3556" w:hanging="721"/>
      </w:pPr>
      <w:rPr>
        <w:rFonts w:hint="default"/>
      </w:rPr>
    </w:lvl>
    <w:lvl w:ilvl="2" w:tplc="6CC4F42A">
      <w:numFmt w:val="bullet"/>
      <w:lvlText w:val="•"/>
      <w:lvlJc w:val="left"/>
      <w:pPr>
        <w:ind w:left="4232" w:hanging="721"/>
      </w:pPr>
      <w:rPr>
        <w:rFonts w:hint="default"/>
      </w:rPr>
    </w:lvl>
    <w:lvl w:ilvl="3" w:tplc="7F1CDDF2">
      <w:numFmt w:val="bullet"/>
      <w:lvlText w:val="•"/>
      <w:lvlJc w:val="left"/>
      <w:pPr>
        <w:ind w:left="4908" w:hanging="721"/>
      </w:pPr>
      <w:rPr>
        <w:rFonts w:hint="default"/>
      </w:rPr>
    </w:lvl>
    <w:lvl w:ilvl="4" w:tplc="378EC612">
      <w:numFmt w:val="bullet"/>
      <w:lvlText w:val="•"/>
      <w:lvlJc w:val="left"/>
      <w:pPr>
        <w:ind w:left="5584" w:hanging="721"/>
      </w:pPr>
      <w:rPr>
        <w:rFonts w:hint="default"/>
      </w:rPr>
    </w:lvl>
    <w:lvl w:ilvl="5" w:tplc="3C54B2D4">
      <w:numFmt w:val="bullet"/>
      <w:lvlText w:val="•"/>
      <w:lvlJc w:val="left"/>
      <w:pPr>
        <w:ind w:left="6260" w:hanging="721"/>
      </w:pPr>
      <w:rPr>
        <w:rFonts w:hint="default"/>
      </w:rPr>
    </w:lvl>
    <w:lvl w:ilvl="6" w:tplc="F8F8FF60">
      <w:numFmt w:val="bullet"/>
      <w:lvlText w:val="•"/>
      <w:lvlJc w:val="left"/>
      <w:pPr>
        <w:ind w:left="6936" w:hanging="721"/>
      </w:pPr>
      <w:rPr>
        <w:rFonts w:hint="default"/>
      </w:rPr>
    </w:lvl>
    <w:lvl w:ilvl="7" w:tplc="C910F0E0">
      <w:numFmt w:val="bullet"/>
      <w:lvlText w:val="•"/>
      <w:lvlJc w:val="left"/>
      <w:pPr>
        <w:ind w:left="7612" w:hanging="721"/>
      </w:pPr>
      <w:rPr>
        <w:rFonts w:hint="default"/>
      </w:rPr>
    </w:lvl>
    <w:lvl w:ilvl="8" w:tplc="492C89C8">
      <w:numFmt w:val="bullet"/>
      <w:lvlText w:val="•"/>
      <w:lvlJc w:val="left"/>
      <w:pPr>
        <w:ind w:left="8288" w:hanging="721"/>
      </w:pPr>
      <w:rPr>
        <w:rFonts w:hint="default"/>
      </w:rPr>
    </w:lvl>
  </w:abstractNum>
  <w:abstractNum w:abstractNumId="4"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5"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4"/>
  </w:num>
  <w:num w:numId="2">
    <w:abstractNumId w:val="5"/>
  </w:num>
  <w:num w:numId="3">
    <w:abstractNumId w:val="2"/>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0160"/>
    <w:rsid w:val="000273D2"/>
    <w:rsid w:val="000955F2"/>
    <w:rsid w:val="00097A67"/>
    <w:rsid w:val="000D26D5"/>
    <w:rsid w:val="000E218A"/>
    <w:rsid w:val="001826BA"/>
    <w:rsid w:val="00236A89"/>
    <w:rsid w:val="002A2E7A"/>
    <w:rsid w:val="002D01A4"/>
    <w:rsid w:val="00334C4D"/>
    <w:rsid w:val="00362354"/>
    <w:rsid w:val="003814A1"/>
    <w:rsid w:val="003830A8"/>
    <w:rsid w:val="003D7FD8"/>
    <w:rsid w:val="00423C6F"/>
    <w:rsid w:val="00427A1D"/>
    <w:rsid w:val="004735BC"/>
    <w:rsid w:val="0047610B"/>
    <w:rsid w:val="0049280E"/>
    <w:rsid w:val="004C776B"/>
    <w:rsid w:val="005044EF"/>
    <w:rsid w:val="00505F6E"/>
    <w:rsid w:val="00506427"/>
    <w:rsid w:val="00523B0D"/>
    <w:rsid w:val="005358A2"/>
    <w:rsid w:val="005A3C0F"/>
    <w:rsid w:val="005C7D87"/>
    <w:rsid w:val="0060580D"/>
    <w:rsid w:val="00607F24"/>
    <w:rsid w:val="00625E2A"/>
    <w:rsid w:val="006545E3"/>
    <w:rsid w:val="00664C07"/>
    <w:rsid w:val="0067088A"/>
    <w:rsid w:val="0068350F"/>
    <w:rsid w:val="006C7280"/>
    <w:rsid w:val="00700288"/>
    <w:rsid w:val="00701E83"/>
    <w:rsid w:val="00725205"/>
    <w:rsid w:val="00760654"/>
    <w:rsid w:val="00770160"/>
    <w:rsid w:val="007E6A06"/>
    <w:rsid w:val="00860FB4"/>
    <w:rsid w:val="00891CB6"/>
    <w:rsid w:val="008B4B45"/>
    <w:rsid w:val="008B54C4"/>
    <w:rsid w:val="0090204A"/>
    <w:rsid w:val="009062BF"/>
    <w:rsid w:val="009116AB"/>
    <w:rsid w:val="00920C27"/>
    <w:rsid w:val="009602EE"/>
    <w:rsid w:val="00993D13"/>
    <w:rsid w:val="009F28F7"/>
    <w:rsid w:val="00A03CFF"/>
    <w:rsid w:val="00A12CBA"/>
    <w:rsid w:val="00A232A8"/>
    <w:rsid w:val="00AE1A98"/>
    <w:rsid w:val="00B76CA3"/>
    <w:rsid w:val="00B7790B"/>
    <w:rsid w:val="00BA25C7"/>
    <w:rsid w:val="00C2608A"/>
    <w:rsid w:val="00C51783"/>
    <w:rsid w:val="00C57768"/>
    <w:rsid w:val="00CA5EA3"/>
    <w:rsid w:val="00CB79BA"/>
    <w:rsid w:val="00CD3549"/>
    <w:rsid w:val="00CF72A2"/>
    <w:rsid w:val="00D22255"/>
    <w:rsid w:val="00D347F8"/>
    <w:rsid w:val="00D8375B"/>
    <w:rsid w:val="00D94FD3"/>
    <w:rsid w:val="00DF76D3"/>
    <w:rsid w:val="00E43A7F"/>
    <w:rsid w:val="00E5444A"/>
    <w:rsid w:val="00E72A72"/>
    <w:rsid w:val="00E77340"/>
    <w:rsid w:val="00EA4023"/>
    <w:rsid w:val="00ED0722"/>
    <w:rsid w:val="00ED7783"/>
    <w:rsid w:val="00EE0BD4"/>
    <w:rsid w:val="00EE1B2D"/>
    <w:rsid w:val="00EE7D7A"/>
    <w:rsid w:val="00F22225"/>
    <w:rsid w:val="00F4110E"/>
    <w:rsid w:val="00F54E12"/>
    <w:rsid w:val="00F56F90"/>
    <w:rsid w:val="00F82083"/>
    <w:rsid w:val="00F975FD"/>
    <w:rsid w:val="00FF125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6A1074"/>
  <w15:docId w15:val="{E2AE21CE-7791-854B-AE65-4A28F04F8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ulletpoints">
    <w:name w:val="Bullet points"/>
    <w:basedOn w:val="Normal"/>
    <w:uiPriority w:val="3"/>
    <w:qFormat/>
    <w:rsid w:val="00CA5EA3"/>
    <w:pPr>
      <w:numPr>
        <w:numId w:val="7"/>
      </w:numPr>
      <w:spacing w:after="120" w:line="276" w:lineRule="auto"/>
      <w:ind w:left="1191"/>
      <w:contextualSpacing/>
      <w:jc w:val="left"/>
    </w:pPr>
    <w:rPr>
      <w:rFonts w:ascii="Calibri" w:eastAsia="MS Mincho" w:hAnsi="Calibri" w:cs="Arial"/>
      <w:color w:val="404040"/>
      <w:szCs w:val="24"/>
      <w:lang w:val="en-US"/>
    </w:rPr>
  </w:style>
  <w:style w:type="paragraph" w:customStyle="1" w:styleId="Blockquote">
    <w:name w:val="Blockquote"/>
    <w:basedOn w:val="Normal"/>
    <w:pPr>
      <w:spacing w:after="240"/>
      <w:ind w:left="1440"/>
      <w:jc w:val="center"/>
    </w:pPr>
    <w:rPr>
      <w:b/>
      <w:sz w:val="24"/>
      <w:lang w:val="en-US"/>
    </w:rPr>
  </w:style>
  <w:style w:type="paragraph" w:customStyle="1" w:styleId="Subbullets">
    <w:name w:val="Sub bullets"/>
    <w:basedOn w:val="Bulletpoints"/>
    <w:uiPriority w:val="4"/>
    <w:qFormat/>
    <w:rsid w:val="00CA5EA3"/>
    <w:pPr>
      <w:numPr>
        <w:ilvl w:val="1"/>
      </w:numPr>
      <w:tabs>
        <w:tab w:val="num" w:pos="2160"/>
      </w:tabs>
      <w:ind w:left="1560" w:hanging="360"/>
    </w:pPr>
  </w:style>
  <w:style w:type="character" w:styleId="Hyperlink">
    <w:name w:val="Hyperlink"/>
    <w:rsid w:val="00CA5EA3"/>
    <w:rPr>
      <w:color w:val="0000FF"/>
      <w:u w:val="single"/>
    </w:rPr>
  </w:style>
  <w:style w:type="paragraph" w:styleId="BalloonText">
    <w:name w:val="Balloon Text"/>
    <w:basedOn w:val="Normal"/>
    <w:link w:val="BalloonTextChar"/>
    <w:rsid w:val="001826BA"/>
    <w:rPr>
      <w:rFonts w:ascii="Tahoma" w:hAnsi="Tahoma" w:cs="Tahoma"/>
      <w:sz w:val="16"/>
      <w:szCs w:val="16"/>
    </w:rPr>
  </w:style>
  <w:style w:type="character" w:customStyle="1" w:styleId="BalloonTextChar">
    <w:name w:val="Balloon Text Char"/>
    <w:basedOn w:val="DefaultParagraphFont"/>
    <w:link w:val="BalloonText"/>
    <w:rsid w:val="001826B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package" Target="embeddings/Microsoft_Word_Document3.docx"/><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package" Target="embeddings/Microsoft_Word_Document.docx"/><Relationship Id="rId17" Type="http://schemas.openxmlformats.org/officeDocument/2006/relationships/image" Target="media/image4.emf"/><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package" Target="embeddings/Microsoft_Word_Document2.docx"/><Relationship Id="rId20" Type="http://schemas.openxmlformats.org/officeDocument/2006/relationships/package" Target="embeddings/Microsoft_Word_Document4.docx"/><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ofcom.org.uk/__data/assets/pdf_file/0024/59163/cambridge-main-report.pdf" TargetMode="External"/><Relationship Id="rId19" Type="http://schemas.openxmlformats.org/officeDocument/2006/relationships/image" Target="media/image5.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package" Target="embeddings/Microsoft_Word_Document1.docx"/><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725139-7BEC-4FE8-8482-AF8C9975FF0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3.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F:\My Documents\Web Sites\ATMRPP\Templates\ATMRPP_WG_WHL_1.dot</Template>
  <TotalTime>362</TotalTime>
  <Pages>4</Pages>
  <Words>1285</Words>
  <Characters>7119</Characters>
  <Application>Microsoft Office Word</Application>
  <DocSecurity>0</DocSecurity>
  <Lines>118</Lines>
  <Paragraphs>53</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8351</CharactersWithSpaces>
  <SharedDoc>false</SharedDoc>
  <HLinks>
    <vt:vector size="6" baseType="variant">
      <vt:variant>
        <vt:i4>6357066</vt:i4>
      </vt:variant>
      <vt:variant>
        <vt:i4>0</vt:i4>
      </vt:variant>
      <vt:variant>
        <vt:i4>0</vt:i4>
      </vt:variant>
      <vt:variant>
        <vt:i4>5</vt:i4>
      </vt:variant>
      <vt:variant>
        <vt:lpwstr>https://www.ofcom.org.uk/__data/assets/pdf_file/0024/59163/cambridge-main-report.pdf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lastModifiedBy>Loftur Jonasson</cp:lastModifiedBy>
  <cp:revision>19</cp:revision>
  <cp:lastPrinted>2019-01-16T00:30:00Z</cp:lastPrinted>
  <dcterms:created xsi:type="dcterms:W3CDTF">2019-01-16T00:23:00Z</dcterms:created>
  <dcterms:modified xsi:type="dcterms:W3CDTF">2019-01-18T16:58:00Z</dcterms:modified>
</cp:coreProperties>
</file>