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781" w:type="dxa"/>
        <w:tblInd w:w="-72" w:type="dxa"/>
        <w:tblLayout w:type="fixed"/>
        <w:tblCellMar>
          <w:left w:w="70" w:type="dxa"/>
          <w:right w:w="70" w:type="dxa"/>
        </w:tblCellMar>
        <w:tblLook w:val="0000" w:firstRow="0" w:lastRow="0" w:firstColumn="0" w:lastColumn="0" w:noHBand="0" w:noVBand="0"/>
      </w:tblPr>
      <w:tblGrid>
        <w:gridCol w:w="1819"/>
        <w:gridCol w:w="3001"/>
        <w:gridCol w:w="4961"/>
      </w:tblGrid>
      <w:tr w:rsidR="00265F50" w:rsidRPr="00A3755D" w14:paraId="274A231E" w14:textId="77777777" w:rsidTr="2B5A4590">
        <w:trPr>
          <w:cantSplit/>
          <w:trHeight w:val="1560"/>
        </w:trPr>
        <w:tc>
          <w:tcPr>
            <w:tcW w:w="4820" w:type="dxa"/>
            <w:gridSpan w:val="2"/>
            <w:tcBorders>
              <w:top w:val="nil"/>
              <w:left w:val="nil"/>
              <w:bottom w:val="nil"/>
              <w:right w:val="nil"/>
            </w:tcBorders>
            <w:vAlign w:val="center"/>
          </w:tcPr>
          <w:p w14:paraId="7FE27276" w14:textId="77777777" w:rsidR="00265F50" w:rsidRPr="00265F50" w:rsidRDefault="00265F50" w:rsidP="00DD5136">
            <w:pPr>
              <w:pStyle w:val="ECCLetterHead"/>
            </w:pPr>
            <w:r w:rsidRPr="00265F50">
              <w:rPr>
                <w:noProof/>
                <w:lang w:val="fr-FR" w:eastAsia="fr-FR"/>
              </w:rPr>
              <w:drawing>
                <wp:inline distT="0" distB="0" distL="0" distR="0" wp14:anchorId="523EC7AF" wp14:editId="4D7F550C">
                  <wp:extent cx="1617980" cy="82804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17980" cy="828040"/>
                          </a:xfrm>
                          <a:prstGeom prst="rect">
                            <a:avLst/>
                          </a:prstGeom>
                          <a:noFill/>
                          <a:ln>
                            <a:noFill/>
                          </a:ln>
                        </pic:spPr>
                      </pic:pic>
                    </a:graphicData>
                  </a:graphic>
                </wp:inline>
              </w:drawing>
            </w:r>
          </w:p>
        </w:tc>
        <w:tc>
          <w:tcPr>
            <w:tcW w:w="4961" w:type="dxa"/>
            <w:tcBorders>
              <w:top w:val="nil"/>
              <w:left w:val="nil"/>
              <w:bottom w:val="nil"/>
              <w:right w:val="nil"/>
            </w:tcBorders>
          </w:tcPr>
          <w:p w14:paraId="2D4E1360" w14:textId="77777777" w:rsidR="00265F50" w:rsidRPr="00265F50" w:rsidRDefault="002E3124" w:rsidP="2B5A4590">
            <w:pPr>
              <w:pStyle w:val="ECCLetterHead"/>
              <w:jc w:val="right"/>
            </w:pPr>
            <w:r>
              <w:t>ECC PT1(20)xyz</w:t>
            </w:r>
          </w:p>
        </w:tc>
      </w:tr>
      <w:tr w:rsidR="00F11542" w:rsidRPr="00A3755D" w14:paraId="31BE636F" w14:textId="77777777" w:rsidTr="2B5A4590">
        <w:tblPrEx>
          <w:tblCellMar>
            <w:left w:w="108" w:type="dxa"/>
            <w:right w:w="108" w:type="dxa"/>
          </w:tblCellMar>
        </w:tblPrEx>
        <w:trPr>
          <w:cantSplit/>
          <w:trHeight w:val="405"/>
        </w:trPr>
        <w:tc>
          <w:tcPr>
            <w:tcW w:w="9781" w:type="dxa"/>
            <w:gridSpan w:val="3"/>
            <w:tcBorders>
              <w:top w:val="nil"/>
              <w:left w:val="nil"/>
              <w:bottom w:val="nil"/>
              <w:right w:val="nil"/>
            </w:tcBorders>
            <w:vAlign w:val="center"/>
          </w:tcPr>
          <w:p w14:paraId="6231F62F" w14:textId="77777777" w:rsidR="00F11542" w:rsidRPr="0011705C" w:rsidRDefault="002E3124" w:rsidP="00DD5136">
            <w:pPr>
              <w:pStyle w:val="ECCLetterHead"/>
            </w:pPr>
            <w:r>
              <w:t>ECC PT1 #66</w:t>
            </w:r>
          </w:p>
        </w:tc>
      </w:tr>
      <w:tr w:rsidR="00F11542" w:rsidRPr="00A3755D" w14:paraId="4D935D26" w14:textId="77777777" w:rsidTr="2B5A4590">
        <w:tblPrEx>
          <w:tblCellMar>
            <w:left w:w="108" w:type="dxa"/>
            <w:right w:w="108" w:type="dxa"/>
          </w:tblCellMar>
        </w:tblPrEx>
        <w:trPr>
          <w:cantSplit/>
          <w:trHeight w:val="405"/>
        </w:trPr>
        <w:tc>
          <w:tcPr>
            <w:tcW w:w="9781" w:type="dxa"/>
            <w:gridSpan w:val="3"/>
            <w:tcBorders>
              <w:top w:val="nil"/>
              <w:left w:val="nil"/>
              <w:bottom w:val="nil"/>
              <w:right w:val="nil"/>
            </w:tcBorders>
            <w:vAlign w:val="center"/>
          </w:tcPr>
          <w:p w14:paraId="6FF9648D" w14:textId="77777777" w:rsidR="00F11542" w:rsidRPr="0011705C" w:rsidRDefault="002E3124" w:rsidP="00265F50">
            <w:pPr>
              <w:pStyle w:val="ECCLetterHead"/>
            </w:pPr>
            <w:r>
              <w:t>Web meeting</w:t>
            </w:r>
            <w:r w:rsidR="00F11542" w:rsidRPr="00265F50">
              <w:t xml:space="preserve">, </w:t>
            </w:r>
            <w:r>
              <w:t>1-3 and 9-11 September 2020</w:t>
            </w:r>
          </w:p>
        </w:tc>
      </w:tr>
      <w:tr w:rsidR="00F11542" w:rsidRPr="00A3755D" w14:paraId="488513C0" w14:textId="77777777" w:rsidTr="2B5A4590">
        <w:tblPrEx>
          <w:tblCellMar>
            <w:left w:w="108" w:type="dxa"/>
            <w:right w:w="108" w:type="dxa"/>
          </w:tblCellMar>
        </w:tblPrEx>
        <w:trPr>
          <w:cantSplit/>
          <w:trHeight w:hRule="exact" w:val="79"/>
        </w:trPr>
        <w:tc>
          <w:tcPr>
            <w:tcW w:w="9781" w:type="dxa"/>
            <w:gridSpan w:val="3"/>
            <w:tcBorders>
              <w:top w:val="nil"/>
              <w:left w:val="nil"/>
              <w:bottom w:val="nil"/>
              <w:right w:val="nil"/>
            </w:tcBorders>
            <w:vAlign w:val="center"/>
          </w:tcPr>
          <w:p w14:paraId="2969523F" w14:textId="77777777" w:rsidR="00F11542" w:rsidRPr="00A3755D" w:rsidRDefault="00F11542" w:rsidP="00263FFB">
            <w:pPr>
              <w:pStyle w:val="ECCLetterHead"/>
            </w:pPr>
          </w:p>
        </w:tc>
      </w:tr>
      <w:tr w:rsidR="00263FFB" w:rsidRPr="00A3755D" w14:paraId="5B65E098" w14:textId="77777777" w:rsidTr="2B5A4590">
        <w:tblPrEx>
          <w:tblCellMar>
            <w:left w:w="108" w:type="dxa"/>
            <w:right w:w="108" w:type="dxa"/>
          </w:tblCellMar>
        </w:tblPrEx>
        <w:trPr>
          <w:cantSplit/>
          <w:trHeight w:val="405"/>
        </w:trPr>
        <w:tc>
          <w:tcPr>
            <w:tcW w:w="1819" w:type="dxa"/>
            <w:tcBorders>
              <w:top w:val="nil"/>
              <w:left w:val="nil"/>
              <w:bottom w:val="nil"/>
              <w:right w:val="nil"/>
            </w:tcBorders>
            <w:vAlign w:val="center"/>
          </w:tcPr>
          <w:p w14:paraId="345396ED" w14:textId="77777777" w:rsidR="00263FFB" w:rsidRPr="00263FFB" w:rsidRDefault="00263FFB" w:rsidP="00263FFB">
            <w:pPr>
              <w:pStyle w:val="ECCLetterHead"/>
            </w:pPr>
            <w:r w:rsidRPr="00A3755D">
              <w:t xml:space="preserve">Date issued: </w:t>
            </w:r>
          </w:p>
        </w:tc>
        <w:tc>
          <w:tcPr>
            <w:tcW w:w="7962" w:type="dxa"/>
            <w:gridSpan w:val="2"/>
            <w:tcBorders>
              <w:top w:val="nil"/>
              <w:left w:val="nil"/>
              <w:bottom w:val="nil"/>
              <w:right w:val="nil"/>
            </w:tcBorders>
            <w:vAlign w:val="center"/>
          </w:tcPr>
          <w:p w14:paraId="05D1C457" w14:textId="77777777" w:rsidR="00263FFB" w:rsidRPr="00263FFB" w:rsidRDefault="00060E20" w:rsidP="00263FFB">
            <w:pPr>
              <w:pStyle w:val="ECCLetterHead"/>
            </w:pPr>
            <w:r>
              <w:t>TBD</w:t>
            </w:r>
          </w:p>
        </w:tc>
      </w:tr>
      <w:tr w:rsidR="00263FFB" w:rsidRPr="00A3755D" w14:paraId="1E3D6C7B" w14:textId="77777777" w:rsidTr="2B5A4590">
        <w:tblPrEx>
          <w:tblCellMar>
            <w:left w:w="108" w:type="dxa"/>
            <w:right w:w="108" w:type="dxa"/>
          </w:tblCellMar>
        </w:tblPrEx>
        <w:trPr>
          <w:cantSplit/>
          <w:trHeight w:val="405"/>
        </w:trPr>
        <w:tc>
          <w:tcPr>
            <w:tcW w:w="1819" w:type="dxa"/>
            <w:tcBorders>
              <w:top w:val="nil"/>
              <w:left w:val="nil"/>
              <w:bottom w:val="nil"/>
              <w:right w:val="nil"/>
            </w:tcBorders>
            <w:vAlign w:val="center"/>
          </w:tcPr>
          <w:p w14:paraId="6E6620C0" w14:textId="77777777" w:rsidR="00263FFB" w:rsidRPr="00263FFB" w:rsidRDefault="00263FFB" w:rsidP="00263FFB">
            <w:pPr>
              <w:pStyle w:val="ECCLetterHead"/>
            </w:pPr>
            <w:r w:rsidRPr="00A3755D">
              <w:t xml:space="preserve">Source: </w:t>
            </w:r>
          </w:p>
        </w:tc>
        <w:tc>
          <w:tcPr>
            <w:tcW w:w="7962" w:type="dxa"/>
            <w:gridSpan w:val="2"/>
            <w:tcBorders>
              <w:top w:val="nil"/>
              <w:left w:val="nil"/>
              <w:bottom w:val="nil"/>
              <w:right w:val="nil"/>
            </w:tcBorders>
            <w:vAlign w:val="center"/>
          </w:tcPr>
          <w:p w14:paraId="5F03576A" w14:textId="5DCDB93D" w:rsidR="00263FFB" w:rsidRPr="00263FFB" w:rsidRDefault="00563F2C" w:rsidP="00263FFB">
            <w:pPr>
              <w:pStyle w:val="ECCLetterHead"/>
            </w:pPr>
            <w:r>
              <w:t>International Civil Aviation Organization (</w:t>
            </w:r>
            <w:r w:rsidR="00060E20">
              <w:t>ICAO</w:t>
            </w:r>
            <w:r>
              <w:t>)</w:t>
            </w:r>
          </w:p>
        </w:tc>
      </w:tr>
      <w:tr w:rsidR="00263FFB" w:rsidRPr="00A3755D" w14:paraId="2608D185" w14:textId="77777777" w:rsidTr="2B5A4590">
        <w:tblPrEx>
          <w:tblCellMar>
            <w:left w:w="108" w:type="dxa"/>
            <w:right w:w="108" w:type="dxa"/>
          </w:tblCellMar>
        </w:tblPrEx>
        <w:trPr>
          <w:cantSplit/>
          <w:trHeight w:val="405"/>
        </w:trPr>
        <w:tc>
          <w:tcPr>
            <w:tcW w:w="1819" w:type="dxa"/>
            <w:tcBorders>
              <w:top w:val="nil"/>
              <w:left w:val="nil"/>
              <w:bottom w:val="nil"/>
              <w:right w:val="nil"/>
            </w:tcBorders>
            <w:vAlign w:val="center"/>
          </w:tcPr>
          <w:p w14:paraId="35775E89" w14:textId="77777777" w:rsidR="00263FFB" w:rsidRPr="00263FFB" w:rsidRDefault="00263FFB" w:rsidP="00263FFB">
            <w:pPr>
              <w:pStyle w:val="ECCLetterHead"/>
            </w:pPr>
            <w:r w:rsidRPr="00A3755D">
              <w:t xml:space="preserve">Subject: </w:t>
            </w:r>
          </w:p>
        </w:tc>
        <w:tc>
          <w:tcPr>
            <w:tcW w:w="7962" w:type="dxa"/>
            <w:gridSpan w:val="2"/>
            <w:tcBorders>
              <w:top w:val="nil"/>
              <w:left w:val="nil"/>
              <w:bottom w:val="nil"/>
              <w:right w:val="nil"/>
            </w:tcBorders>
            <w:vAlign w:val="center"/>
          </w:tcPr>
          <w:p w14:paraId="3F727BEC" w14:textId="29B78366" w:rsidR="00263FFB" w:rsidRPr="00263FFB" w:rsidRDefault="0081321E" w:rsidP="00263FFB">
            <w:pPr>
              <w:pStyle w:val="ECCLetterHead"/>
            </w:pPr>
            <w:r>
              <w:t>IMT</w:t>
            </w:r>
            <w:r w:rsidR="00060E20" w:rsidRPr="00060E20">
              <w:t xml:space="preserve"> emissions and Radio Altimeters in the frequency band 4200 – 4400 MHz</w:t>
            </w:r>
          </w:p>
        </w:tc>
      </w:tr>
      <w:tr w:rsidR="00263FFB" w:rsidRPr="00A3755D" w14:paraId="206EE205" w14:textId="77777777" w:rsidTr="2B5A4590">
        <w:tblPrEx>
          <w:tblCellMar>
            <w:left w:w="108" w:type="dxa"/>
            <w:right w:w="108" w:type="dxa"/>
          </w:tblCellMar>
        </w:tblPrEx>
        <w:trPr>
          <w:cantSplit/>
          <w:trHeight w:val="1040"/>
        </w:trPr>
        <w:tc>
          <w:tcPr>
            <w:tcW w:w="9781" w:type="dxa"/>
            <w:gridSpan w:val="3"/>
            <w:tcBorders>
              <w:top w:val="nil"/>
              <w:left w:val="nil"/>
              <w:bottom w:val="nil"/>
              <w:right w:val="nil"/>
            </w:tcBorders>
            <w:vAlign w:val="center"/>
          </w:tcPr>
          <w:p w14:paraId="3B5AAB6A" w14:textId="77777777" w:rsidR="00263FFB" w:rsidRPr="00263FFB" w:rsidRDefault="00263FFB" w:rsidP="00263FFB">
            <w:pPr>
              <w:pStyle w:val="ECCTabletext"/>
            </w:pPr>
            <w:r w:rsidRPr="00263FFB">
              <w:rPr>
                <w:noProof/>
                <w:lang w:val="fr-FR" w:eastAsia="fr-FR"/>
              </w:rPr>
              <mc:AlternateContent>
                <mc:Choice Requires="wps">
                  <w:drawing>
                    <wp:anchor distT="0" distB="0" distL="114300" distR="114300" simplePos="0" relativeHeight="251662336" behindDoc="0" locked="1" layoutInCell="0" allowOverlap="1" wp14:anchorId="28EE8A59" wp14:editId="623E3BC4">
                      <wp:simplePos x="0" y="0"/>
                      <wp:positionH relativeFrom="column">
                        <wp:posOffset>2718435</wp:posOffset>
                      </wp:positionH>
                      <wp:positionV relativeFrom="paragraph">
                        <wp:posOffset>186690</wp:posOffset>
                      </wp:positionV>
                      <wp:extent cx="457200" cy="269875"/>
                      <wp:effectExtent l="0" t="0" r="19050" b="15875"/>
                      <wp:wrapNone/>
                      <wp:docPr id="24" name="Textfeld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69875"/>
                              </a:xfrm>
                              <a:prstGeom prst="rect">
                                <a:avLst/>
                              </a:prstGeom>
                              <a:solidFill>
                                <a:srgbClr val="FFFFFF"/>
                              </a:solidFill>
                              <a:ln w="9525">
                                <a:solidFill>
                                  <a:srgbClr val="000000"/>
                                </a:solidFill>
                                <a:miter lim="800000"/>
                                <a:headEnd/>
                                <a:tailEnd/>
                              </a:ln>
                            </wps:spPr>
                            <wps:txbx>
                              <w:txbxContent>
                                <w:p w14:paraId="69623466" w14:textId="77777777" w:rsidR="00EF1DAB" w:rsidRPr="00F45561" w:rsidRDefault="00EF1DAB" w:rsidP="00F45561">
                                  <w:pPr>
                                    <w:pStyle w:val="ECCTabletext"/>
                                    <w:jc w:val="center"/>
                                    <w:rPr>
                                      <w:lang w:val="de-DE"/>
                                    </w:rPr>
                                  </w:pPr>
                                  <w:r>
                                    <w:rPr>
                                      <w:lang w:val="de-DE"/>
                                    </w:rPr>
                                    <w:t>N</w:t>
                                  </w:r>
                                </w:p>
                              </w:txbxContent>
                            </wps:txbx>
                            <wps:bodyPr rot="0" vert="horz" wrap="square" lIns="43200" tIns="28800" rIns="36000" bIns="7200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28EE8A59" id="_x0000_t202" coordsize="21600,21600" o:spt="202" path="m,l,21600r21600,l21600,xe">
                      <v:stroke joinstyle="miter"/>
                      <v:path gradientshapeok="t" o:connecttype="rect"/>
                    </v:shapetype>
                    <v:shape id="Textfeld 24" o:spid="_x0000_s1026" type="#_x0000_t202" style="position:absolute;left:0;text-align:left;margin-left:214.05pt;margin-top:14.7pt;width:36pt;height:21.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" o:allowincell="f">
                      <v:textbox inset="1.2mm,.8mm,1mm,2mm">
                        <w:txbxContent>
                          <w:p w14:paraId="69623466" w14:textId="77777777" w:rsidR="00EF1DAB" w:rsidRPr="00F45561" w:rsidRDefault="00EF1DAB" w:rsidP="00F45561">
                            <w:pPr>
                              <w:pStyle w:val="ECCTabletext"/>
                              <w:jc w:val="center"/>
                              <w:rPr>
                                <w:lang w:val="de-DE"/>
                              </w:rPr>
                            </w:pPr>
                            <w:r>
                              <w:rPr>
                                <w:lang w:val="de-DE"/>
                              </w:rPr>
                              <w:t>N</w:t>
                            </w:r>
                          </w:p>
                        </w:txbxContent>
                      </v:textbox>
                      <w10:anchorlock/>
                    </v:shape>
                  </w:pict>
                </mc:Fallback>
              </mc:AlternateContent>
            </w:r>
            <w:r w:rsidRPr="00263FFB">
              <w:t xml:space="preserve">Group membership required to </w:t>
            </w:r>
            <w:proofErr w:type="gramStart"/>
            <w:r w:rsidRPr="00263FFB">
              <w:t>read?</w:t>
            </w:r>
            <w:proofErr w:type="gramEnd"/>
            <w:r w:rsidRPr="00263FFB">
              <w:t xml:space="preserve"> (Y/N)</w:t>
            </w:r>
          </w:p>
        </w:tc>
      </w:tr>
      <w:tr w:rsidR="00263FFB" w:rsidRPr="00A3755D" w14:paraId="2F97EE63" w14:textId="77777777" w:rsidTr="2B5A4590">
        <w:tblPrEx>
          <w:tblCellMar>
            <w:left w:w="108" w:type="dxa"/>
            <w:right w:w="108" w:type="dxa"/>
          </w:tblCellMar>
        </w:tblPrEx>
        <w:trPr>
          <w:cantSplit/>
          <w:trHeight w:hRule="exact" w:val="74"/>
        </w:trPr>
        <w:tc>
          <w:tcPr>
            <w:tcW w:w="9781" w:type="dxa"/>
            <w:gridSpan w:val="3"/>
            <w:tcBorders>
              <w:top w:val="nil"/>
              <w:left w:val="nil"/>
              <w:bottom w:val="nil"/>
              <w:right w:val="nil"/>
            </w:tcBorders>
            <w:vAlign w:val="center"/>
          </w:tcPr>
          <w:p w14:paraId="58E18B7E" w14:textId="77777777" w:rsidR="00263FFB" w:rsidRPr="00F32DEC" w:rsidRDefault="00263FFB" w:rsidP="00263FFB">
            <w:pPr>
              <w:rPr>
                <w:rStyle w:val="ECCParagraph"/>
              </w:rPr>
            </w:pPr>
          </w:p>
          <w:p w14:paraId="5FB14B05" w14:textId="77777777" w:rsidR="00263FFB" w:rsidRPr="00A3755D" w:rsidRDefault="00263FFB" w:rsidP="00263FFB"/>
        </w:tc>
      </w:tr>
      <w:tr w:rsidR="00263FFB" w:rsidRPr="00A3755D" w14:paraId="281DA513" w14:textId="77777777" w:rsidTr="2B5A45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6"/>
        </w:trPr>
        <w:tc>
          <w:tcPr>
            <w:tcW w:w="9781" w:type="dxa"/>
            <w:gridSpan w:val="3"/>
            <w:tcBorders>
              <w:top w:val="single" w:sz="6" w:space="0" w:color="C00000"/>
              <w:left w:val="single" w:sz="6" w:space="0" w:color="C00000"/>
              <w:bottom w:val="nil"/>
              <w:right w:val="single" w:sz="6" w:space="0" w:color="C00000"/>
            </w:tcBorders>
            <w:vAlign w:val="center"/>
          </w:tcPr>
          <w:p w14:paraId="72A11132" w14:textId="77777777" w:rsidR="00263FFB" w:rsidRPr="00263FFB" w:rsidRDefault="00263FFB" w:rsidP="00263FFB">
            <w:pPr>
              <w:pStyle w:val="ECCLetterHead"/>
            </w:pPr>
            <w:r w:rsidRPr="00A3755D">
              <w:t xml:space="preserve">Summary: </w:t>
            </w:r>
          </w:p>
        </w:tc>
      </w:tr>
      <w:tr w:rsidR="00263FFB" w:rsidRPr="00A3755D" w14:paraId="334B666D" w14:textId="77777777" w:rsidTr="2B5A45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112"/>
        </w:trPr>
        <w:tc>
          <w:tcPr>
            <w:tcW w:w="9781" w:type="dxa"/>
            <w:gridSpan w:val="3"/>
            <w:tcBorders>
              <w:top w:val="nil"/>
              <w:left w:val="single" w:sz="6" w:space="0" w:color="C00000"/>
              <w:bottom w:val="single" w:sz="6" w:space="0" w:color="C00000"/>
              <w:right w:val="single" w:sz="6" w:space="0" w:color="C00000"/>
            </w:tcBorders>
          </w:tcPr>
          <w:p w14:paraId="07625A5C" w14:textId="77777777" w:rsidR="002F70E6" w:rsidRDefault="00060E20" w:rsidP="00263FFB">
            <w:pPr>
              <w:pStyle w:val="ECCTabletext"/>
            </w:pPr>
            <w:r>
              <w:t>In accordance with the guidance of ECC, ICAO would like to bring to the attention of ECC PT1 the following material:</w:t>
            </w:r>
          </w:p>
          <w:p w14:paraId="633140BB" w14:textId="11D34239" w:rsidR="00060E20" w:rsidRDefault="00060E20" w:rsidP="00060E20">
            <w:pPr>
              <w:pStyle w:val="ECCTabletext"/>
              <w:numPr>
                <w:ilvl w:val="0"/>
                <w:numId w:val="10"/>
              </w:numPr>
            </w:pPr>
            <w:r>
              <w:t xml:space="preserve">Information on radio altimeter characteristics and its application (based on </w:t>
            </w:r>
            <w:r w:rsidR="004130CF">
              <w:t xml:space="preserve">Recommendation </w:t>
            </w:r>
            <w:r>
              <w:t>ITU-R M.2059),</w:t>
            </w:r>
          </w:p>
          <w:p w14:paraId="738D2072" w14:textId="67D42BBA" w:rsidR="00060E20" w:rsidRDefault="00060E20" w:rsidP="00060E20">
            <w:pPr>
              <w:pStyle w:val="ECCTabletext"/>
              <w:numPr>
                <w:ilvl w:val="0"/>
                <w:numId w:val="10"/>
              </w:numPr>
            </w:pPr>
            <w:r>
              <w:t xml:space="preserve">Usage scenarios to consider for assessing the impact of </w:t>
            </w:r>
            <w:r w:rsidR="0081321E">
              <w:t>IMT</w:t>
            </w:r>
            <w:r w:rsidR="0081321E">
              <w:t xml:space="preserve"> </w:t>
            </w:r>
            <w:r>
              <w:t>unwanted emissions to the Radioaltimeters operating in the frequency band 4200-4400 MHz.</w:t>
            </w:r>
          </w:p>
          <w:p w14:paraId="08229F71" w14:textId="77777777" w:rsidR="002F70E6" w:rsidRPr="00263FFB" w:rsidRDefault="002F70E6" w:rsidP="00263FFB">
            <w:pPr>
              <w:pStyle w:val="ECCTabletext"/>
            </w:pPr>
          </w:p>
        </w:tc>
      </w:tr>
      <w:tr w:rsidR="00263FFB" w:rsidRPr="00A3755D" w14:paraId="5401E58F" w14:textId="77777777" w:rsidTr="2B5A45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3"/>
        </w:trPr>
        <w:tc>
          <w:tcPr>
            <w:tcW w:w="9781" w:type="dxa"/>
            <w:gridSpan w:val="3"/>
            <w:tcBorders>
              <w:top w:val="single" w:sz="6" w:space="0" w:color="C00000"/>
              <w:left w:val="single" w:sz="6" w:space="0" w:color="C00000"/>
              <w:bottom w:val="nil"/>
              <w:right w:val="single" w:sz="6" w:space="0" w:color="C00000"/>
            </w:tcBorders>
            <w:vAlign w:val="center"/>
          </w:tcPr>
          <w:p w14:paraId="6EA53C29" w14:textId="77777777" w:rsidR="00263FFB" w:rsidRPr="00263FFB" w:rsidRDefault="00263FFB" w:rsidP="00263FFB">
            <w:pPr>
              <w:pStyle w:val="ECCLetterHead"/>
            </w:pPr>
            <w:r w:rsidRPr="00A3755D">
              <w:t>Proposal:</w:t>
            </w:r>
          </w:p>
        </w:tc>
      </w:tr>
      <w:tr w:rsidR="00263FFB" w:rsidRPr="00A3755D" w14:paraId="5FCF8ECE" w14:textId="77777777" w:rsidTr="2B5A45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132"/>
        </w:trPr>
        <w:tc>
          <w:tcPr>
            <w:tcW w:w="9781" w:type="dxa"/>
            <w:gridSpan w:val="3"/>
            <w:tcBorders>
              <w:top w:val="nil"/>
              <w:left w:val="single" w:sz="6" w:space="0" w:color="C00000"/>
              <w:bottom w:val="single" w:sz="6" w:space="0" w:color="C00000"/>
              <w:right w:val="single" w:sz="6" w:space="0" w:color="C00000"/>
            </w:tcBorders>
          </w:tcPr>
          <w:p w14:paraId="67D071BE" w14:textId="52509B1F" w:rsidR="00263FFB" w:rsidRDefault="007E1A57" w:rsidP="00263FFB">
            <w:pPr>
              <w:pStyle w:val="ECCTabletext"/>
            </w:pPr>
            <w:r>
              <w:t xml:space="preserve">invites </w:t>
            </w:r>
            <w:r w:rsidR="00997E34">
              <w:t xml:space="preserve">ECC PT 1 </w:t>
            </w:r>
            <w:r w:rsidR="00265F50">
              <w:t>to</w:t>
            </w:r>
          </w:p>
          <w:p w14:paraId="42A87B36" w14:textId="1524FC8D" w:rsidR="003675F0" w:rsidRDefault="003675F0" w:rsidP="003675F0">
            <w:pPr>
              <w:pStyle w:val="ECCBulletsLv2"/>
            </w:pPr>
            <w:r w:rsidRPr="003675F0">
              <w:t>Consider the information in this document, as needed, when performing studies regarding the co-exi</w:t>
            </w:r>
            <w:r>
              <w:t>s</w:t>
            </w:r>
            <w:r w:rsidRPr="003675F0">
              <w:t>t</w:t>
            </w:r>
            <w:r>
              <w:t>e</w:t>
            </w:r>
            <w:r w:rsidRPr="003675F0">
              <w:t xml:space="preserve">nce of </w:t>
            </w:r>
            <w:r w:rsidR="0081321E">
              <w:t>IMT</w:t>
            </w:r>
            <w:r w:rsidRPr="003675F0">
              <w:t xml:space="preserve"> and </w:t>
            </w:r>
            <w:proofErr w:type="spellStart"/>
            <w:r w:rsidRPr="003675F0">
              <w:t>Radioaltim</w:t>
            </w:r>
            <w:r>
              <w:t>eters</w:t>
            </w:r>
            <w:proofErr w:type="spellEnd"/>
            <w:r w:rsidRPr="003675F0">
              <w:t xml:space="preserve"> operating in the 4200-4400 MHz frequency band.</w:t>
            </w:r>
          </w:p>
          <w:p w14:paraId="0C15F47D" w14:textId="77777777" w:rsidR="002F70E6" w:rsidRDefault="002F70E6" w:rsidP="002F70E6">
            <w:pPr>
              <w:pStyle w:val="ECCBulletsLv2"/>
              <w:numPr>
                <w:ilvl w:val="0"/>
                <w:numId w:val="0"/>
              </w:numPr>
              <w:ind w:left="680" w:hanging="340"/>
            </w:pPr>
          </w:p>
          <w:p w14:paraId="41511CED" w14:textId="77777777" w:rsidR="002F70E6" w:rsidRPr="00263FFB" w:rsidRDefault="002F70E6" w:rsidP="002F70E6">
            <w:pPr>
              <w:pStyle w:val="ECCBulletsLv2"/>
              <w:numPr>
                <w:ilvl w:val="0"/>
                <w:numId w:val="0"/>
              </w:numPr>
              <w:ind w:left="680" w:hanging="340"/>
            </w:pPr>
          </w:p>
        </w:tc>
      </w:tr>
      <w:tr w:rsidR="00263FFB" w:rsidRPr="00A3755D" w14:paraId="628EED34" w14:textId="77777777" w:rsidTr="2B5A45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3"/>
        </w:trPr>
        <w:tc>
          <w:tcPr>
            <w:tcW w:w="9781" w:type="dxa"/>
            <w:gridSpan w:val="3"/>
            <w:tcBorders>
              <w:top w:val="single" w:sz="6" w:space="0" w:color="C00000"/>
              <w:left w:val="single" w:sz="6" w:space="0" w:color="C00000"/>
              <w:bottom w:val="nil"/>
              <w:right w:val="single" w:sz="6" w:space="0" w:color="C00000"/>
            </w:tcBorders>
            <w:vAlign w:val="center"/>
          </w:tcPr>
          <w:p w14:paraId="38A66574" w14:textId="77777777" w:rsidR="00263FFB" w:rsidRPr="00263FFB" w:rsidRDefault="00263FFB" w:rsidP="00263FFB">
            <w:pPr>
              <w:pStyle w:val="ECCLetterHead"/>
            </w:pPr>
            <w:r w:rsidRPr="00A3755D">
              <w:t>Background:</w:t>
            </w:r>
          </w:p>
        </w:tc>
      </w:tr>
      <w:tr w:rsidR="00265F50" w:rsidRPr="00A3755D" w14:paraId="643C5888" w14:textId="77777777" w:rsidTr="00D90B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98"/>
        </w:trPr>
        <w:tc>
          <w:tcPr>
            <w:tcW w:w="9781" w:type="dxa"/>
            <w:gridSpan w:val="3"/>
            <w:tcBorders>
              <w:top w:val="nil"/>
              <w:left w:val="single" w:sz="6" w:space="0" w:color="C00000"/>
              <w:bottom w:val="single" w:sz="6" w:space="0" w:color="C00000"/>
              <w:right w:val="single" w:sz="6" w:space="0" w:color="C00000"/>
            </w:tcBorders>
          </w:tcPr>
          <w:p w14:paraId="3BE05E03" w14:textId="283060F5" w:rsidR="00E2036B" w:rsidRDefault="00E2036B" w:rsidP="00E2036B">
            <w:pPr>
              <w:pStyle w:val="ECCTabletext"/>
            </w:pPr>
            <w:r>
              <w:t xml:space="preserve">During the last ECC meeting, ICAO raised its concerns about </w:t>
            </w:r>
            <w:r w:rsidRPr="00060E20">
              <w:t xml:space="preserve">the issue of potential interference to aeronautical Radio Altimeters operating in the 4200 - 4400 MHz frequency band, caused by IMT </w:t>
            </w:r>
            <w:r w:rsidR="00B70961">
              <w:t xml:space="preserve">(sometimes referred as 5G) </w:t>
            </w:r>
            <w:r w:rsidRPr="00060E20">
              <w:t>systems currently operating or planned to operate in the frequency band 3400 - 3800 MHz. This issue is raising concerns within aviation due to the possible large impact which could occur to the operation of aeronautical Radio Altimeters, systems which provide a function critical to the safety of aircraft.</w:t>
            </w:r>
          </w:p>
          <w:p w14:paraId="5B1F95F5" w14:textId="77777777" w:rsidR="00E2036B" w:rsidRDefault="00E2036B" w:rsidP="00E2036B">
            <w:pPr>
              <w:pStyle w:val="ECCTabletext"/>
            </w:pPr>
          </w:p>
          <w:p w14:paraId="3E1A2A9F" w14:textId="29B0DFE4" w:rsidR="00997E34" w:rsidRDefault="00997E34" w:rsidP="00997E34">
            <w:pPr>
              <w:pStyle w:val="ECCTabletext"/>
            </w:pPr>
            <w:r>
              <w:t xml:space="preserve">The discussion was summarised  in the ECC minutes as </w:t>
            </w:r>
            <w:r w:rsidR="003173F5">
              <w:t>follows</w:t>
            </w:r>
            <w:r>
              <w:t>:</w:t>
            </w:r>
          </w:p>
          <w:p w14:paraId="0189FEE8" w14:textId="77777777" w:rsidR="00D90B50" w:rsidRDefault="00D90B50" w:rsidP="00997E34">
            <w:pPr>
              <w:pStyle w:val="ECCTabletext"/>
            </w:pPr>
          </w:p>
          <w:p w14:paraId="0CE1E51D" w14:textId="77777777" w:rsidR="00997E34" w:rsidRPr="00821F34" w:rsidRDefault="00997E34" w:rsidP="00997E34">
            <w:pPr>
              <w:pStyle w:val="ECCTabletext"/>
              <w:rPr>
                <w:rStyle w:val="Emphasis"/>
              </w:rPr>
            </w:pPr>
            <w:r w:rsidRPr="00821F34">
              <w:rPr>
                <w:rStyle w:val="Emphasis"/>
              </w:rPr>
              <w:t xml:space="preserve">Document </w:t>
            </w:r>
            <w:hyperlink r:id="rId12" w:history="1">
              <w:r w:rsidRPr="00821F34">
                <w:rPr>
                  <w:rStyle w:val="Emphasis"/>
                </w:rPr>
                <w:t>ECC(20)INFO 06</w:t>
              </w:r>
            </w:hyperlink>
            <w:r w:rsidRPr="00821F34">
              <w:rPr>
                <w:rStyle w:val="Emphasis"/>
              </w:rPr>
              <w:t xml:space="preserve"> from ICAO was introduced by France. This highlighted concerns about potential interference from 5G MFCN unwanted emissions to Radio Altimeters in the frequency band 4200 – 4400 MHz. It was generally considered that this issue should be looked at in ECC PT1 to see if any action is needed.</w:t>
            </w:r>
          </w:p>
          <w:p w14:paraId="34A5F192" w14:textId="2A88A8AD" w:rsidR="00E2036B" w:rsidRDefault="00997E34" w:rsidP="00997E34">
            <w:pPr>
              <w:pStyle w:val="ECCTabletext"/>
              <w:rPr>
                <w:rStyle w:val="Emphasis"/>
              </w:rPr>
            </w:pPr>
            <w:r w:rsidRPr="00821F34">
              <w:rPr>
                <w:rStyle w:val="Emphasis"/>
              </w:rPr>
              <w:t xml:space="preserve">It was noted that ICAO was not able to find all the information about channel bandwidth of MFCN systems in 3400-3800 MHz and has assumed that the limit in block edge mask in ECC Decision (11)06 and Decision (EU) 2019/235 applies in the 4200 – 4400 MHz band. Participants noted that depending on the channel </w:t>
            </w:r>
            <w:r w:rsidRPr="00821F34">
              <w:rPr>
                <w:rStyle w:val="Emphasis"/>
              </w:rPr>
              <w:lastRenderedPageBreak/>
              <w:t>bandwidth of the MFCN system, the lower spurious emission limits in ERC Recommendation 74-01 may apply. It was also noted that it could be useful for ICAO to provide further information on radio altimeter characteristics and usage scenarios.</w:t>
            </w:r>
          </w:p>
          <w:p w14:paraId="61D9A06E" w14:textId="77777777" w:rsidR="00E2036B" w:rsidRDefault="00E2036B" w:rsidP="00265F50">
            <w:pPr>
              <w:pStyle w:val="ECCTabletext"/>
              <w:rPr>
                <w:rStyle w:val="Emphasis"/>
              </w:rPr>
            </w:pPr>
          </w:p>
          <w:p w14:paraId="133B47C0" w14:textId="65C8C27A" w:rsidR="002F70E6" w:rsidRPr="00E2036B" w:rsidRDefault="00997E34" w:rsidP="00265F50">
            <w:pPr>
              <w:pStyle w:val="ECCTabletext"/>
              <w:rPr>
                <w:i/>
              </w:rPr>
            </w:pPr>
            <w:r w:rsidRPr="00821F34">
              <w:rPr>
                <w:rStyle w:val="Emphasis"/>
              </w:rPr>
              <w:t xml:space="preserve">ICAO was invited to contribute to the next ECC PT1 on this issue; ECC PT1 should then consider if there is an issue and report back to ECC. It was suggested that it could be beneficial to update the </w:t>
            </w:r>
            <w:proofErr w:type="gramStart"/>
            <w:r w:rsidRPr="00821F34">
              <w:rPr>
                <w:rStyle w:val="Emphasis"/>
              </w:rPr>
              <w:t>ECC(</w:t>
            </w:r>
            <w:proofErr w:type="gramEnd"/>
            <w:r w:rsidRPr="00821F34">
              <w:rPr>
                <w:rStyle w:val="Emphasis"/>
              </w:rPr>
              <w:t>20)INFO 06 with complete information.</w:t>
            </w:r>
          </w:p>
        </w:tc>
      </w:tr>
    </w:tbl>
    <w:p w14:paraId="7A1D33B1" w14:textId="77777777" w:rsidR="001B0583" w:rsidRDefault="001B0583" w:rsidP="001B0583">
      <w:pPr>
        <w:pStyle w:val="ECCTablenote"/>
        <w:rPr>
          <w:rStyle w:val="ECCParagraph"/>
        </w:rPr>
      </w:pPr>
    </w:p>
    <w:p w14:paraId="7E37B608" w14:textId="77777777" w:rsidR="00C723F4" w:rsidRPr="00752204" w:rsidRDefault="00C723F4" w:rsidP="00231A0F">
      <w:pPr>
        <w:pStyle w:val="Heading1"/>
        <w:rPr>
          <w:rStyle w:val="ECCParagraph"/>
          <w:lang w:val="en-US"/>
        </w:rPr>
      </w:pPr>
      <w:r w:rsidRPr="00752204">
        <w:rPr>
          <w:rStyle w:val="ECCParagraph"/>
          <w:lang w:val="en-US"/>
        </w:rPr>
        <w:t>Introduction</w:t>
      </w:r>
    </w:p>
    <w:p w14:paraId="3A4F5CF3" w14:textId="77777777" w:rsidR="00C723F4" w:rsidRPr="00752204" w:rsidRDefault="00C723F4" w:rsidP="002166EA">
      <w:pPr>
        <w:spacing w:after="240"/>
        <w:jc w:val="left"/>
        <w:rPr>
          <w:rFonts w:cs="Arial"/>
          <w:szCs w:val="20"/>
          <w:lang w:val="en-US"/>
        </w:rPr>
      </w:pPr>
      <w:r w:rsidRPr="00752204">
        <w:rPr>
          <w:rFonts w:cs="Arial"/>
          <w:szCs w:val="20"/>
          <w:lang w:val="en-US"/>
        </w:rPr>
        <w:t xml:space="preserve">During the last ECC meeting, ICAO informed ECC about the issue of potential interference to aeronautical radio altimeters operating in the frequency band 4200 - 4400 MHz, caused by IMT systems currently operating or planned to operate in the frequency band 3400 - 3800 MHz in Europe. In response to this liaison statement, ICAO was invited to contribute to the next ECC PT1 on this issue; ECC PT1 should then consider if there is an issue and report back to ECC. It was suggested that it could be beneficial to update the </w:t>
      </w:r>
      <w:proofErr w:type="gramStart"/>
      <w:r w:rsidRPr="00752204">
        <w:rPr>
          <w:rFonts w:cs="Arial"/>
          <w:szCs w:val="20"/>
          <w:lang w:val="en-US"/>
        </w:rPr>
        <w:t>ECC(</w:t>
      </w:r>
      <w:proofErr w:type="gramEnd"/>
      <w:r w:rsidRPr="00752204">
        <w:rPr>
          <w:rFonts w:cs="Arial"/>
          <w:szCs w:val="20"/>
          <w:lang w:val="en-US"/>
        </w:rPr>
        <w:t>20)INFO 06 with complete information, and this document can be considered as that update.</w:t>
      </w:r>
    </w:p>
    <w:p w14:paraId="11AD9C7D" w14:textId="77777777" w:rsidR="00C723F4" w:rsidRDefault="00C723F4" w:rsidP="00010288">
      <w:pPr>
        <w:rPr>
          <w:lang w:val="en-US"/>
        </w:rPr>
      </w:pPr>
      <w:r w:rsidRPr="00752204">
        <w:rPr>
          <w:lang w:val="en-US"/>
        </w:rPr>
        <w:t>Aviation is currently conducting radio altimeter studies in a number of different fora.  Those studies are not yet complete, so the information – and in particular the scenarios – provided below should be considered as preliminary. ICAO will provide updated information as it becomes available.</w:t>
      </w:r>
    </w:p>
    <w:p w14:paraId="4C592274" w14:textId="77777777" w:rsidR="00C723F4" w:rsidRPr="00752204" w:rsidRDefault="00C723F4" w:rsidP="00010288">
      <w:pPr>
        <w:rPr>
          <w:lang w:val="en-US"/>
        </w:rPr>
      </w:pPr>
      <w:r>
        <w:rPr>
          <w:lang w:val="en-US"/>
        </w:rPr>
        <w:t xml:space="preserve">Finally, to facilitate update of the preliminary studies reported on in our liaison to the ECC (ECC(20) INFO 06), </w:t>
      </w:r>
      <w:r w:rsidRPr="00752204">
        <w:rPr>
          <w:lang w:val="en-US"/>
        </w:rPr>
        <w:t xml:space="preserve">ICAO </w:t>
      </w:r>
      <w:r>
        <w:rPr>
          <w:lang w:val="en-US"/>
        </w:rPr>
        <w:t>would request that</w:t>
      </w:r>
      <w:r w:rsidRPr="00752204">
        <w:rPr>
          <w:lang w:val="en-US"/>
        </w:rPr>
        <w:t xml:space="preserve"> the </w:t>
      </w:r>
      <w:r>
        <w:rPr>
          <w:lang w:val="en-US"/>
        </w:rPr>
        <w:t xml:space="preserve">actual </w:t>
      </w:r>
      <w:r w:rsidRPr="00752204">
        <w:rPr>
          <w:lang w:val="en-US"/>
        </w:rPr>
        <w:t xml:space="preserve">parameters applicable for </w:t>
      </w:r>
      <w:r>
        <w:rPr>
          <w:lang w:val="en-US"/>
        </w:rPr>
        <w:t>IMT</w:t>
      </w:r>
      <w:r w:rsidRPr="00752204">
        <w:rPr>
          <w:lang w:val="en-US"/>
        </w:rPr>
        <w:t xml:space="preserve"> operating within the frequency band 3400-3800 MHz including unwanted emissions (in particular within the frequency band 4200-4400 MHz)</w:t>
      </w:r>
      <w:r>
        <w:rPr>
          <w:lang w:val="en-US"/>
        </w:rPr>
        <w:t xml:space="preserve"> be provided</w:t>
      </w:r>
      <w:r w:rsidRPr="00752204">
        <w:rPr>
          <w:lang w:val="en-US"/>
        </w:rPr>
        <w:t>.</w:t>
      </w:r>
    </w:p>
    <w:p w14:paraId="128B9B14" w14:textId="77777777" w:rsidR="00C723F4" w:rsidRPr="00752204" w:rsidRDefault="00C723F4" w:rsidP="002166EA">
      <w:pPr>
        <w:pStyle w:val="Heading1"/>
        <w:rPr>
          <w:rStyle w:val="ECCParagraph"/>
          <w:lang w:val="en-US"/>
        </w:rPr>
      </w:pPr>
      <w:r w:rsidRPr="00752204">
        <w:rPr>
          <w:rStyle w:val="ECCParagraph"/>
          <w:lang w:val="en-US"/>
        </w:rPr>
        <w:tab/>
        <w:t>Information on radio altimeter characteristics (based on ITU-R M.2059)</w:t>
      </w:r>
    </w:p>
    <w:p w14:paraId="10C90711" w14:textId="77777777" w:rsidR="00C723F4" w:rsidRPr="00752204" w:rsidRDefault="00C723F4" w:rsidP="002166EA">
      <w:pPr>
        <w:rPr>
          <w:lang w:val="en-US"/>
        </w:rPr>
      </w:pPr>
      <w:r w:rsidRPr="00752204">
        <w:rPr>
          <w:lang w:val="en-US"/>
        </w:rPr>
        <w:t xml:space="preserve">All technical characteristics for radio altimeters operating within the frequency band 4200-4400 MHz can be found in </w:t>
      </w:r>
      <w:hyperlink r:id="rId13" w:history="1">
        <w:r w:rsidRPr="00752204">
          <w:rPr>
            <w:rStyle w:val="Hyperlink"/>
            <w:lang w:val="en-US"/>
          </w:rPr>
          <w:t>Recommendation ITU-R M.2059</w:t>
        </w:r>
      </w:hyperlink>
      <w:r w:rsidRPr="00752204">
        <w:rPr>
          <w:lang w:val="en-US"/>
        </w:rPr>
        <w:t>. In particular Table 1 &amp; and Table 2 give the technical parameters of each radio altimeter type.</w:t>
      </w:r>
    </w:p>
    <w:p w14:paraId="0B20BE84" w14:textId="77777777" w:rsidR="00C723F4" w:rsidRPr="00752204" w:rsidRDefault="00C723F4" w:rsidP="002166EA">
      <w:pPr>
        <w:rPr>
          <w:lang w:val="en-US"/>
        </w:rPr>
      </w:pPr>
      <w:r w:rsidRPr="00752204">
        <w:rPr>
          <w:lang w:val="en-US"/>
        </w:rPr>
        <w:t>Radio altimeters are operating within the frequency band 4200-4400 MHz under the aeronautical radionavigation service (ARNS).</w:t>
      </w:r>
    </w:p>
    <w:p w14:paraId="02398F4B" w14:textId="77777777" w:rsidR="00C723F4" w:rsidRPr="00752204" w:rsidRDefault="00C723F4" w:rsidP="002166EA">
      <w:pPr>
        <w:rPr>
          <w:lang w:val="en-US"/>
        </w:rPr>
      </w:pPr>
      <w:r w:rsidRPr="00752204">
        <w:rPr>
          <w:lang w:val="en-US"/>
        </w:rPr>
        <w:t>The basic function of a radio altimeter is to provide accurate, independent height measurements above the Earth surface with a high degree of accuracy and integrity during the approach, landing, and climb phases of aircraft operation representing a wide variety of surface reflectivity. Such information is used for many purposes  and  the  high  degree  of  accuracy  and  integrity  of  those  measurements  must  be  achieved  regardless of the Earth surface, such as during final approach and flare guidance, i.e. to raise the aircraft nose, in the last stages of automated approach to land. It is also used to determine the particular altitude in which the aircraft can  safely  land  and  as  an  input  to  the  terrain  awareness  warning  system  (TAWS),  which  gives  a  “pull  up”  warning  at  a  predetermined  altitude  and  closure  rate;  and  as  an  input  to  the  collision  avoidance  equipment  and  weather  radar  (predictive  wind  shear  system),  auto-throttle  (navigation),  and flight controls (autopilot). As a result, radio altimeters remain active for all phases of flight. Radio altimeter systems are designed to operate for the entire life of the aircraft in which they are installed.  The  installed  life  can  exceed  30  years,  resulting  in  a  wide  range  of  equipment  age,  performance and tolerance.</w:t>
      </w:r>
    </w:p>
    <w:p w14:paraId="753AF2B4" w14:textId="77777777" w:rsidR="00C723F4" w:rsidRPr="00752204" w:rsidRDefault="00C723F4" w:rsidP="002166EA">
      <w:pPr>
        <w:rPr>
          <w:lang w:val="en-US"/>
        </w:rPr>
      </w:pPr>
      <w:r w:rsidRPr="00752204">
        <w:rPr>
          <w:lang w:val="en-US"/>
        </w:rPr>
        <w:t>It is important to note that there are two types of radar waveform modulation methods for Radio altimeters:</w:t>
      </w:r>
    </w:p>
    <w:p w14:paraId="717DE803" w14:textId="77777777" w:rsidR="00C723F4" w:rsidRPr="00752204" w:rsidRDefault="00C723F4" w:rsidP="007F5023">
      <w:pPr>
        <w:pStyle w:val="ListParagraph"/>
        <w:numPr>
          <w:ilvl w:val="0"/>
          <w:numId w:val="12"/>
        </w:numPr>
        <w:rPr>
          <w:lang w:val="en-US"/>
        </w:rPr>
      </w:pPr>
      <w:r w:rsidRPr="00752204">
        <w:rPr>
          <w:lang w:val="en-US"/>
        </w:rPr>
        <w:t>Continuous wave of LFMCW (Linear Frequency Modulation Continuous Wave) or FMCW Radio altimeters (Frequency Modulated Carrier Wave); and</w:t>
      </w:r>
    </w:p>
    <w:p w14:paraId="063ABF58" w14:textId="77777777" w:rsidR="00C723F4" w:rsidRPr="00752204" w:rsidRDefault="00C723F4" w:rsidP="007F5023">
      <w:pPr>
        <w:pStyle w:val="ListParagraph"/>
        <w:numPr>
          <w:ilvl w:val="0"/>
          <w:numId w:val="12"/>
        </w:numPr>
        <w:rPr>
          <w:lang w:val="en-US"/>
        </w:rPr>
      </w:pPr>
      <w:r w:rsidRPr="00752204">
        <w:rPr>
          <w:lang w:val="en-US"/>
        </w:rPr>
        <w:t>Pulsed modulation.</w:t>
      </w:r>
    </w:p>
    <w:p w14:paraId="16CB3703" w14:textId="77777777" w:rsidR="00C723F4" w:rsidRPr="00752204" w:rsidRDefault="00C723F4" w:rsidP="00EF1DAB">
      <w:pPr>
        <w:pStyle w:val="Heading2"/>
        <w:rPr>
          <w:rStyle w:val="ECCParagraph"/>
          <w:lang w:val="en-US"/>
        </w:rPr>
      </w:pPr>
      <w:r w:rsidRPr="00752204">
        <w:rPr>
          <w:rStyle w:val="ECCParagraph"/>
          <w:lang w:val="en-US"/>
        </w:rPr>
        <w:lastRenderedPageBreak/>
        <w:t>FMCW Radio altimeters</w:t>
      </w:r>
    </w:p>
    <w:p w14:paraId="0D0A2FBB" w14:textId="77777777" w:rsidR="00C723F4" w:rsidRPr="00752204" w:rsidRDefault="00C723F4" w:rsidP="00EF1DAB">
      <w:pPr>
        <w:rPr>
          <w:lang w:val="en-US"/>
        </w:rPr>
      </w:pPr>
      <w:r w:rsidRPr="00752204">
        <w:rPr>
          <w:lang w:val="en-US"/>
        </w:rPr>
        <w:t>FMCW radio altimeters operate by a Tx/Rx working in conjunction with separate transmit/receive antennas. Operation requires a signal from the transmit antenna to be directed to the ground. When the signal hits the ground it is reflected back to the receive antenna.  The system then performs a time calculation to  determine  the  distance  between  the  aircraft  and  ground,  as  the  altitude  of  the  aircraft  is  proportional  to  the  time  required  for  the  transmitted  signal  to  make  the  round  trip.</w:t>
      </w:r>
    </w:p>
    <w:p w14:paraId="5AD5D0E7" w14:textId="77777777" w:rsidR="00C723F4" w:rsidRPr="00752204" w:rsidRDefault="00C723F4" w:rsidP="00EF1DAB">
      <w:pPr>
        <w:rPr>
          <w:lang w:val="en-US"/>
        </w:rPr>
      </w:pPr>
      <w:r w:rsidRPr="00752204">
        <w:rPr>
          <w:noProof/>
          <w:lang w:val="fr-FR" w:eastAsia="fr-FR"/>
        </w:rPr>
        <w:drawing>
          <wp:inline distT="0" distB="0" distL="0" distR="0" wp14:anchorId="6BDBBB27" wp14:editId="67A7B17D">
            <wp:extent cx="5972810" cy="2576830"/>
            <wp:effectExtent l="0" t="0" r="889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972810" cy="2576830"/>
                    </a:xfrm>
                    <a:prstGeom prst="rect">
                      <a:avLst/>
                    </a:prstGeom>
                  </pic:spPr>
                </pic:pic>
              </a:graphicData>
            </a:graphic>
          </wp:inline>
        </w:drawing>
      </w:r>
    </w:p>
    <w:p w14:paraId="57BC220E" w14:textId="77777777" w:rsidR="00C723F4" w:rsidRPr="00752204" w:rsidRDefault="00C723F4" w:rsidP="00EF1DAB">
      <w:pPr>
        <w:rPr>
          <w:lang w:val="en-US"/>
        </w:rPr>
      </w:pPr>
      <w:r w:rsidRPr="00752204">
        <w:rPr>
          <w:lang w:val="en-US"/>
        </w:rPr>
        <w:t>It is important to note that FMCW radio altimeters do not have a fixed frequency. One can find the chirp bandwidth of each FMCW radio altimeter type in Table 1 of Recommendation ITU-R M.2059.</w:t>
      </w:r>
    </w:p>
    <w:p w14:paraId="677361C1" w14:textId="77777777" w:rsidR="00C723F4" w:rsidRPr="00752204" w:rsidRDefault="00C723F4" w:rsidP="00EF1DAB">
      <w:pPr>
        <w:pStyle w:val="Heading2"/>
        <w:rPr>
          <w:rStyle w:val="ECCParagraph"/>
          <w:lang w:val="en-US"/>
        </w:rPr>
      </w:pPr>
      <w:r w:rsidRPr="00752204">
        <w:rPr>
          <w:rStyle w:val="ECCParagraph"/>
          <w:lang w:val="en-US"/>
        </w:rPr>
        <w:t>Pulsed Radio Altimeters</w:t>
      </w:r>
    </w:p>
    <w:p w14:paraId="507A0DD1" w14:textId="77777777" w:rsidR="00C723F4" w:rsidRPr="00752204" w:rsidRDefault="00C723F4" w:rsidP="00EF1DAB">
      <w:pPr>
        <w:rPr>
          <w:lang w:val="en-US"/>
        </w:rPr>
      </w:pPr>
      <w:r w:rsidRPr="00752204">
        <w:rPr>
          <w:lang w:val="en-US"/>
        </w:rPr>
        <w:t>The pulsed-type radio altimeter uses a series of pulses of radio frequency energy transmitted towards the earth to measure the absolute height above the terrain immediately underneath the aircraft. The time difference between the transmitted pulse and the received pulse is measured, and that time is proportional to the height of the aircraft.</w:t>
      </w:r>
    </w:p>
    <w:p w14:paraId="7570E98F" w14:textId="77777777" w:rsidR="00C723F4" w:rsidRPr="00752204" w:rsidRDefault="00C723F4" w:rsidP="00EF1DAB">
      <w:pPr>
        <w:rPr>
          <w:lang w:val="en-US"/>
        </w:rPr>
      </w:pPr>
      <w:r w:rsidRPr="00752204">
        <w:rPr>
          <w:lang w:val="en-US"/>
        </w:rPr>
        <w:t>One can note that pulsed radio altimeters are emitting at a fixed frequency (generally 4300 MHz). However, the emission bandwidth could vary (see for example D4 within the Table 1 from ITU-R M.2059).</w:t>
      </w:r>
    </w:p>
    <w:p w14:paraId="07BCFC9A" w14:textId="77777777" w:rsidR="00C723F4" w:rsidRPr="00752204" w:rsidRDefault="00C723F4" w:rsidP="00674AB2">
      <w:pPr>
        <w:pStyle w:val="Heading2"/>
        <w:rPr>
          <w:rStyle w:val="ECCParagraph"/>
          <w:lang w:val="en-US"/>
        </w:rPr>
      </w:pPr>
      <w:r w:rsidRPr="00752204">
        <w:rPr>
          <w:rStyle w:val="ECCParagraph"/>
          <w:lang w:val="en-US"/>
        </w:rPr>
        <w:t>Antenna PATTERN for RADIO ALTIMETERS</w:t>
      </w:r>
    </w:p>
    <w:p w14:paraId="783357EA" w14:textId="77777777" w:rsidR="00C723F4" w:rsidRPr="00752204" w:rsidRDefault="00C723F4">
      <w:pPr>
        <w:rPr>
          <w:lang w:val="en-US"/>
        </w:rPr>
      </w:pPr>
      <w:r w:rsidRPr="00752204">
        <w:rPr>
          <w:lang w:val="en-US"/>
        </w:rPr>
        <w:t xml:space="preserve">There is no antenna pattern defined within Recommendation ITU-R M.2059. However, ICAO recommends using the antenna pattern formula available in </w:t>
      </w:r>
      <w:hyperlink r:id="rId15" w:history="1">
        <w:r w:rsidRPr="00752204">
          <w:rPr>
            <w:rStyle w:val="Hyperlink"/>
            <w:lang w:val="en-US"/>
          </w:rPr>
          <w:t>Report ITU-R M.2319</w:t>
        </w:r>
      </w:hyperlink>
      <w:r w:rsidRPr="00752204">
        <w:rPr>
          <w:lang w:val="en-US"/>
        </w:rPr>
        <w:t xml:space="preserve"> (§A-3.1.1) when performing compatibility studies</w:t>
      </w:r>
      <w:r>
        <w:rPr>
          <w:lang w:val="en-US"/>
        </w:rPr>
        <w:t>. It should be noted that this pattern only applies for the frequency band 4200-4400 MHz.</w:t>
      </w:r>
    </w:p>
    <w:p w14:paraId="64C0A025" w14:textId="77777777" w:rsidR="00C723F4" w:rsidRPr="00752204" w:rsidRDefault="00643E39" w:rsidP="00515004">
      <w:pPr>
        <w:jc w:val="center"/>
        <w:rPr>
          <w:caps/>
          <w:sz w:val="32"/>
          <w:lang w:val="en-US"/>
        </w:rPr>
      </w:pPr>
      <m:oMath>
        <m:sSub>
          <m:sSubPr>
            <m:ctrlPr>
              <w:rPr>
                <w:rFonts w:ascii="Cambria Math" w:hAnsi="Cambria Math"/>
                <w:i/>
                <w:sz w:val="32"/>
                <w:lang w:val="en-US"/>
              </w:rPr>
            </m:ctrlPr>
          </m:sSubPr>
          <m:e>
            <m:r>
              <w:rPr>
                <w:rFonts w:ascii="Cambria Math" w:hAnsi="Cambria Math"/>
                <w:sz w:val="32"/>
                <w:lang w:val="en-US"/>
              </w:rPr>
              <m:t>G</m:t>
            </m:r>
          </m:e>
          <m:sub>
            <m:r>
              <w:rPr>
                <w:rFonts w:ascii="Cambria Math" w:hAnsi="Cambria Math"/>
                <w:sz w:val="32"/>
                <w:lang w:val="en-US"/>
              </w:rPr>
              <m:t>RA</m:t>
            </m:r>
            <m:d>
              <m:dPr>
                <m:ctrlPr>
                  <w:rPr>
                    <w:rFonts w:ascii="Cambria Math" w:hAnsi="Cambria Math"/>
                    <w:i/>
                    <w:sz w:val="32"/>
                    <w:lang w:val="en-US"/>
                  </w:rPr>
                </m:ctrlPr>
              </m:dPr>
              <m:e>
                <m:r>
                  <w:rPr>
                    <w:rFonts w:ascii="Cambria Math" w:hAnsi="Cambria Math"/>
                    <w:sz w:val="32"/>
                    <w:lang w:val="en-US"/>
                  </w:rPr>
                  <m:t>dB</m:t>
                </m:r>
              </m:e>
            </m:d>
          </m:sub>
        </m:sSub>
        <m:r>
          <w:rPr>
            <w:rFonts w:ascii="Cambria Math" w:hAnsi="Cambria Math"/>
            <w:sz w:val="32"/>
            <w:lang w:val="en-US"/>
          </w:rPr>
          <m:t>(</m:t>
        </m:r>
      </m:oMath>
      <w:r w:rsidR="00C723F4" w:rsidRPr="00752204">
        <w:rPr>
          <w:caps/>
          <w:sz w:val="32"/>
          <w:lang w:val="en-US"/>
        </w:rPr>
        <w:t>φ</w:t>
      </w:r>
      <m:oMath>
        <m:r>
          <w:rPr>
            <w:rFonts w:ascii="Cambria Math" w:hAnsi="Cambria Math"/>
            <w:sz w:val="32"/>
            <w:lang w:val="en-US"/>
          </w:rPr>
          <m:t>)=-</m:t>
        </m:r>
        <m:f>
          <m:fPr>
            <m:ctrlPr>
              <w:rPr>
                <w:rFonts w:ascii="Cambria Math" w:hAnsi="Cambria Math"/>
                <w:i/>
                <w:sz w:val="32"/>
                <w:lang w:val="en-US"/>
              </w:rPr>
            </m:ctrlPr>
          </m:fPr>
          <m:num>
            <m:r>
              <w:rPr>
                <w:rFonts w:ascii="Cambria Math" w:hAnsi="Cambria Math"/>
                <w:sz w:val="32"/>
                <w:lang w:val="en-US"/>
              </w:rPr>
              <m:t>12</m:t>
            </m:r>
          </m:num>
          <m:den>
            <m:sSup>
              <m:sSupPr>
                <m:ctrlPr>
                  <w:rPr>
                    <w:rFonts w:ascii="Cambria Math" w:hAnsi="Cambria Math"/>
                    <w:i/>
                    <w:sz w:val="32"/>
                    <w:lang w:val="en-US"/>
                  </w:rPr>
                </m:ctrlPr>
              </m:sSupPr>
              <m:e>
                <m:sSub>
                  <m:sSubPr>
                    <m:ctrlPr>
                      <w:rPr>
                        <w:rFonts w:ascii="Cambria Math" w:hAnsi="Cambria Math"/>
                        <w:i/>
                        <w:sz w:val="32"/>
                        <w:lang w:val="en-US"/>
                      </w:rPr>
                    </m:ctrlPr>
                  </m:sSubPr>
                  <m:e>
                    <m:r>
                      <m:rPr>
                        <m:sty m:val="p"/>
                      </m:rPr>
                      <w:rPr>
                        <w:rFonts w:ascii="Cambria Math" w:hAnsi="Cambria Math"/>
                        <w:caps/>
                        <w:sz w:val="32"/>
                        <w:lang w:val="en-US"/>
                      </w:rPr>
                      <m:t>φ</m:t>
                    </m:r>
                  </m:e>
                  <m:sub>
                    <m:r>
                      <w:rPr>
                        <w:rFonts w:ascii="Cambria Math" w:hAnsi="Cambria Math"/>
                        <w:sz w:val="32"/>
                        <w:lang w:val="en-US"/>
                      </w:rPr>
                      <m:t>3dB</m:t>
                    </m:r>
                  </m:sub>
                </m:sSub>
              </m:e>
              <m:sup>
                <m:r>
                  <w:rPr>
                    <w:rFonts w:ascii="Cambria Math" w:hAnsi="Cambria Math"/>
                    <w:sz w:val="32"/>
                    <w:lang w:val="en-US"/>
                  </w:rPr>
                  <m:t>2</m:t>
                </m:r>
              </m:sup>
            </m:sSup>
          </m:den>
        </m:f>
        <m:sSup>
          <m:sSupPr>
            <m:ctrlPr>
              <w:rPr>
                <w:rFonts w:ascii="Cambria Math" w:hAnsi="Cambria Math"/>
                <w:i/>
                <w:caps/>
                <w:sz w:val="32"/>
                <w:lang w:val="en-US"/>
              </w:rPr>
            </m:ctrlPr>
          </m:sSupPr>
          <m:e>
            <m:r>
              <m:rPr>
                <m:sty m:val="p"/>
              </m:rPr>
              <w:rPr>
                <w:rFonts w:ascii="Cambria Math" w:hAnsi="Cambria Math"/>
                <w:caps/>
                <w:sz w:val="32"/>
                <w:lang w:val="en-US"/>
              </w:rPr>
              <m:t>φ</m:t>
            </m:r>
          </m:e>
          <m:sup>
            <m:r>
              <w:rPr>
                <w:rFonts w:ascii="Cambria Math" w:hAnsi="Cambria Math"/>
                <w:caps/>
                <w:sz w:val="32"/>
                <w:lang w:val="en-US"/>
              </w:rPr>
              <m:t>2</m:t>
            </m:r>
          </m:sup>
        </m:sSup>
        <m:r>
          <w:rPr>
            <w:rFonts w:ascii="Cambria Math" w:hAnsi="Cambria Math"/>
            <w:caps/>
            <w:sz w:val="32"/>
            <w:lang w:val="en-US"/>
          </w:rPr>
          <m:t>+</m:t>
        </m:r>
        <m:sSub>
          <m:sSubPr>
            <m:ctrlPr>
              <w:rPr>
                <w:rFonts w:ascii="Cambria Math" w:hAnsi="Cambria Math"/>
                <w:i/>
                <w:caps/>
                <w:sz w:val="32"/>
                <w:lang w:val="en-US"/>
              </w:rPr>
            </m:ctrlPr>
          </m:sSubPr>
          <m:e>
            <m:r>
              <w:rPr>
                <w:rFonts w:ascii="Cambria Math" w:hAnsi="Cambria Math"/>
                <w:caps/>
                <w:sz w:val="32"/>
                <w:lang w:val="en-US"/>
              </w:rPr>
              <m:t>G</m:t>
            </m:r>
          </m:e>
          <m:sub>
            <m:r>
              <w:rPr>
                <w:rFonts w:ascii="Cambria Math" w:hAnsi="Cambria Math"/>
                <w:caps/>
                <w:sz w:val="32"/>
                <w:lang w:val="en-US"/>
              </w:rPr>
              <m:t>RA,dBi</m:t>
            </m:r>
          </m:sub>
        </m:sSub>
      </m:oMath>
    </w:p>
    <w:p w14:paraId="4CCC9A43" w14:textId="77777777" w:rsidR="00C723F4" w:rsidRDefault="00C723F4" w:rsidP="000967E6">
      <w:pPr>
        <w:spacing w:before="120"/>
        <w:rPr>
          <w:lang w:val="en-US"/>
        </w:rPr>
      </w:pPr>
      <w:r>
        <w:rPr>
          <w:lang w:val="en-US"/>
        </w:rPr>
        <w:t>Where:</w:t>
      </w:r>
    </w:p>
    <w:p w14:paraId="6046C89D" w14:textId="519E745B" w:rsidR="00C723F4" w:rsidRPr="00752204" w:rsidRDefault="00C723F4" w:rsidP="000967E6">
      <w:pPr>
        <w:spacing w:before="120"/>
        <w:ind w:firstLine="567"/>
        <w:rPr>
          <w:lang w:val="en-US"/>
        </w:rPr>
      </w:pPr>
      <w:r w:rsidRPr="00752204">
        <w:rPr>
          <w:lang w:val="en-US"/>
        </w:rPr>
        <w:t xml:space="preserve"> </w:t>
      </w:r>
      <m:oMath>
        <m:sSub>
          <m:sSubPr>
            <m:ctrlPr>
              <w:rPr>
                <w:rFonts w:ascii="Cambria Math" w:hAnsi="Cambria Math"/>
                <w:lang w:val="en-US"/>
              </w:rPr>
            </m:ctrlPr>
          </m:sSubPr>
          <m:e>
            <m:r>
              <m:rPr>
                <m:sty m:val="p"/>
              </m:rPr>
              <w:rPr>
                <w:rFonts w:ascii="Cambria Math" w:hAnsi="Cambria Math"/>
                <w:caps/>
                <w:lang w:val="en-US"/>
              </w:rPr>
              <m:t>φ</m:t>
            </m:r>
          </m:e>
          <m:sub>
            <m:r>
              <m:rPr>
                <m:sty m:val="p"/>
              </m:rPr>
              <w:rPr>
                <w:rFonts w:ascii="Cambria Math" w:hAnsi="Cambria Math"/>
                <w:lang w:val="en-US"/>
              </w:rPr>
              <m:t>3dB</m:t>
            </m:r>
          </m:sub>
        </m:sSub>
      </m:oMath>
      <w:r w:rsidRPr="00752204">
        <w:rPr>
          <w:lang w:val="en-US"/>
        </w:rPr>
        <w:t xml:space="preserve">: </w:t>
      </w:r>
      <w:r>
        <w:rPr>
          <w:lang w:val="en-US"/>
        </w:rPr>
        <w:tab/>
        <w:t>=</w:t>
      </w:r>
      <w:r w:rsidR="00B0502F">
        <w:rPr>
          <w:lang w:val="en-US"/>
        </w:rPr>
        <w:t xml:space="preserve"> </w:t>
      </w:r>
      <w:r w:rsidRPr="00752204">
        <w:rPr>
          <w:lang w:val="en-US"/>
        </w:rPr>
        <w:t>–3 dB beam width</w:t>
      </w:r>
      <w:r w:rsidR="00B0502F">
        <w:rPr>
          <w:lang w:val="en-US"/>
        </w:rPr>
        <w:t>;</w:t>
      </w:r>
      <w:r w:rsidRPr="00752204">
        <w:rPr>
          <w:lang w:val="en-US"/>
        </w:rPr>
        <w:t xml:space="preserve"> </w:t>
      </w:r>
    </w:p>
    <w:p w14:paraId="168B2BCB" w14:textId="26E6447E" w:rsidR="00C723F4" w:rsidRPr="00752204" w:rsidRDefault="00C723F4" w:rsidP="000967E6">
      <w:pPr>
        <w:spacing w:before="0"/>
        <w:ind w:firstLine="567"/>
        <w:rPr>
          <w:lang w:val="en-US"/>
        </w:rPr>
      </w:pPr>
      <w:r w:rsidRPr="00752204">
        <w:rPr>
          <w:lang w:val="en-US"/>
        </w:rPr>
        <w:t xml:space="preserve"> </w:t>
      </w:r>
      <m:oMath>
        <m:sSub>
          <m:sSubPr>
            <m:ctrlPr>
              <w:rPr>
                <w:rFonts w:ascii="Cambria Math" w:hAnsi="Cambria Math"/>
                <w:lang w:val="en-US"/>
              </w:rPr>
            </m:ctrlPr>
          </m:sSubPr>
          <m:e>
            <m:r>
              <m:rPr>
                <m:sty m:val="p"/>
              </m:rPr>
              <w:rPr>
                <w:rFonts w:ascii="Cambria Math" w:hAnsi="Cambria Math"/>
                <w:lang w:val="en-US"/>
              </w:rPr>
              <m:t>G</m:t>
            </m:r>
          </m:e>
          <m:sub>
            <m:r>
              <m:rPr>
                <m:sty m:val="p"/>
              </m:rPr>
              <w:rPr>
                <w:rFonts w:ascii="Cambria Math" w:hAnsi="Cambria Math"/>
                <w:lang w:val="en-US"/>
              </w:rPr>
              <m:t>RA,dBi</m:t>
            </m:r>
          </m:sub>
        </m:sSub>
      </m:oMath>
      <w:r w:rsidRPr="00752204">
        <w:rPr>
          <w:lang w:val="en-US"/>
        </w:rPr>
        <w:t xml:space="preserve">: </w:t>
      </w:r>
      <w:r>
        <w:rPr>
          <w:lang w:val="en-US"/>
        </w:rPr>
        <w:tab/>
        <w:t>=</w:t>
      </w:r>
      <w:r w:rsidR="00B0502F">
        <w:rPr>
          <w:lang w:val="en-US"/>
        </w:rPr>
        <w:t xml:space="preserve"> </w:t>
      </w:r>
      <w:r w:rsidRPr="00752204">
        <w:rPr>
          <w:lang w:val="en-US"/>
        </w:rPr>
        <w:t>The maximum antenna gain</w:t>
      </w:r>
      <w:r w:rsidR="00B0502F">
        <w:rPr>
          <w:lang w:val="en-US"/>
        </w:rPr>
        <w:t>;</w:t>
      </w:r>
      <w:r w:rsidRPr="00752204">
        <w:rPr>
          <w:lang w:val="en-US"/>
        </w:rPr>
        <w:t xml:space="preserve"> </w:t>
      </w:r>
    </w:p>
    <w:p w14:paraId="741BCEC7" w14:textId="5B430299" w:rsidR="00C723F4" w:rsidRPr="00752204" w:rsidRDefault="00C723F4" w:rsidP="000967E6">
      <w:pPr>
        <w:spacing w:before="0"/>
        <w:ind w:firstLine="567"/>
        <w:rPr>
          <w:lang w:val="en-US"/>
        </w:rPr>
      </w:pPr>
      <w:r w:rsidRPr="00752204">
        <w:rPr>
          <w:lang w:val="en-US"/>
        </w:rPr>
        <w:t xml:space="preserve"> </w:t>
      </w:r>
      <m:oMath>
        <m:sSub>
          <m:sSubPr>
            <m:ctrlPr>
              <w:rPr>
                <w:rFonts w:ascii="Cambria Math" w:hAnsi="Cambria Math"/>
                <w:lang w:val="en-US"/>
              </w:rPr>
            </m:ctrlPr>
          </m:sSubPr>
          <m:e>
            <m:r>
              <m:rPr>
                <m:sty m:val="p"/>
              </m:rPr>
              <w:rPr>
                <w:rFonts w:ascii="Cambria Math" w:hAnsi="Cambria Math"/>
                <w:lang w:val="en-US"/>
              </w:rPr>
              <m:t>G</m:t>
            </m:r>
          </m:e>
          <m:sub>
            <m:r>
              <m:rPr>
                <m:sty m:val="p"/>
              </m:rPr>
              <w:rPr>
                <w:rFonts w:ascii="Cambria Math" w:hAnsi="Cambria Math"/>
                <w:lang w:val="en-US"/>
              </w:rPr>
              <m:t>RA</m:t>
            </m:r>
            <m:d>
              <m:dPr>
                <m:ctrlPr>
                  <w:rPr>
                    <w:rFonts w:ascii="Cambria Math" w:hAnsi="Cambria Math"/>
                    <w:lang w:val="en-US"/>
                  </w:rPr>
                </m:ctrlPr>
              </m:dPr>
              <m:e>
                <m:r>
                  <m:rPr>
                    <m:sty m:val="p"/>
                  </m:rPr>
                  <w:rPr>
                    <w:rFonts w:ascii="Cambria Math" w:hAnsi="Cambria Math"/>
                    <w:lang w:val="en-US"/>
                  </w:rPr>
                  <m:t>dB</m:t>
                </m:r>
              </m:e>
            </m:d>
          </m:sub>
        </m:sSub>
        <m:r>
          <m:rPr>
            <m:sty m:val="p"/>
          </m:rPr>
          <w:rPr>
            <w:rFonts w:ascii="Cambria Math" w:hAnsi="Cambria Math"/>
            <w:lang w:val="en-US"/>
          </w:rPr>
          <m:t>(</m:t>
        </m:r>
      </m:oMath>
      <w:r w:rsidRPr="00752204">
        <w:rPr>
          <w:caps/>
          <w:lang w:val="en-US"/>
        </w:rPr>
        <w:t>φ</w:t>
      </w:r>
      <m:oMath>
        <m:r>
          <m:rPr>
            <m:sty m:val="p"/>
          </m:rPr>
          <w:rPr>
            <w:rFonts w:ascii="Cambria Math" w:hAnsi="Cambria Math"/>
            <w:lang w:val="en-US"/>
          </w:rPr>
          <m:t>)</m:t>
        </m:r>
      </m:oMath>
      <w:r w:rsidRPr="00752204">
        <w:rPr>
          <w:lang w:val="en-US"/>
        </w:rPr>
        <w:t>:</w:t>
      </w:r>
      <w:r>
        <w:rPr>
          <w:lang w:val="en-US"/>
        </w:rPr>
        <w:tab/>
        <w:t>=</w:t>
      </w:r>
      <w:r w:rsidR="00B0502F">
        <w:rPr>
          <w:lang w:val="en-US"/>
        </w:rPr>
        <w:t xml:space="preserve"> </w:t>
      </w:r>
      <w:r w:rsidRPr="00752204">
        <w:rPr>
          <w:lang w:val="en-US"/>
        </w:rPr>
        <w:t>The antenna Gain value at φ degrees;</w:t>
      </w:r>
    </w:p>
    <w:p w14:paraId="69D8A5CC" w14:textId="46E2B594" w:rsidR="00C723F4" w:rsidRDefault="00C723F4" w:rsidP="00F07F79">
      <w:pPr>
        <w:spacing w:before="0"/>
        <w:ind w:firstLine="567"/>
        <w:rPr>
          <w:lang w:val="en-US"/>
        </w:rPr>
      </w:pPr>
      <w:r w:rsidRPr="00752204">
        <w:rPr>
          <w:lang w:val="en-US"/>
        </w:rPr>
        <w:t xml:space="preserve"> </w:t>
      </w:r>
      <w:r w:rsidRPr="00752204">
        <w:rPr>
          <w:caps/>
          <w:lang w:val="en-US"/>
        </w:rPr>
        <w:t>φ</w:t>
      </w:r>
      <w:r w:rsidRPr="00752204">
        <w:rPr>
          <w:lang w:val="en-US"/>
        </w:rPr>
        <w:t xml:space="preserve">, </w:t>
      </w:r>
      <w:r>
        <w:rPr>
          <w:lang w:val="en-US"/>
        </w:rPr>
        <w:tab/>
      </w:r>
      <w:r>
        <w:rPr>
          <w:lang w:val="en-US"/>
        </w:rPr>
        <w:tab/>
        <w:t>=</w:t>
      </w:r>
      <w:r w:rsidR="00B0502F">
        <w:rPr>
          <w:lang w:val="en-US"/>
        </w:rPr>
        <w:t xml:space="preserve"> T</w:t>
      </w:r>
      <w:r w:rsidRPr="00752204">
        <w:rPr>
          <w:lang w:val="en-US"/>
        </w:rPr>
        <w:t>he angle formed with the interferer and the vertical axis</w:t>
      </w:r>
      <w:r w:rsidR="00B0502F">
        <w:rPr>
          <w:lang w:val="en-US"/>
        </w:rPr>
        <w:t>;</w:t>
      </w:r>
    </w:p>
    <w:p w14:paraId="375D668A" w14:textId="7238EE08" w:rsidR="00C723F4" w:rsidRDefault="00C723F4" w:rsidP="00F07F79">
      <w:pPr>
        <w:rPr>
          <w:lang w:val="en-US"/>
        </w:rPr>
      </w:pPr>
      <w:r>
        <w:rPr>
          <w:lang w:val="en-US"/>
        </w:rPr>
        <w:t>Recommendation ITU-R M.2059 tables 1 &amp; 2 define these values of G</w:t>
      </w:r>
      <w:r w:rsidRPr="000967E6">
        <w:rPr>
          <w:vertAlign w:val="subscript"/>
          <w:lang w:val="en-US"/>
        </w:rPr>
        <w:t>RA</w:t>
      </w:r>
      <w:r>
        <w:rPr>
          <w:lang w:val="en-US"/>
        </w:rPr>
        <w:t xml:space="preserve"> &amp;</w:t>
      </w:r>
      <w:r>
        <w:rPr>
          <w:rFonts w:cs="Arial"/>
          <w:lang w:val="en-US"/>
        </w:rPr>
        <w:t>ϕ</w:t>
      </w:r>
      <w:r w:rsidRPr="000967E6">
        <w:rPr>
          <w:vertAlign w:val="subscript"/>
          <w:lang w:val="en-US"/>
        </w:rPr>
        <w:t>3dB</w:t>
      </w:r>
      <w:r>
        <w:rPr>
          <w:lang w:val="en-US"/>
        </w:rPr>
        <w:t xml:space="preserve"> as follows</w:t>
      </w:r>
      <w:r w:rsidR="00B0502F">
        <w:rPr>
          <w:lang w:val="en-US"/>
        </w:rPr>
        <w:t>:</w:t>
      </w:r>
    </w:p>
    <w:tbl>
      <w:tblPr>
        <w:tblStyle w:val="TableGrid"/>
        <w:tblW w:w="9634" w:type="dxa"/>
        <w:tblLook w:val="04A0" w:firstRow="1" w:lastRow="0" w:firstColumn="1" w:lastColumn="0" w:noHBand="0" w:noVBand="1"/>
      </w:tblPr>
      <w:tblGrid>
        <w:gridCol w:w="2405"/>
        <w:gridCol w:w="709"/>
        <w:gridCol w:w="709"/>
        <w:gridCol w:w="708"/>
        <w:gridCol w:w="709"/>
        <w:gridCol w:w="709"/>
        <w:gridCol w:w="709"/>
        <w:gridCol w:w="850"/>
        <w:gridCol w:w="709"/>
        <w:gridCol w:w="709"/>
        <w:gridCol w:w="708"/>
      </w:tblGrid>
      <w:tr w:rsidR="00C723F4" w14:paraId="2627A3CA" w14:textId="77777777" w:rsidTr="000967E6">
        <w:tc>
          <w:tcPr>
            <w:tcW w:w="2405" w:type="dxa"/>
          </w:tcPr>
          <w:p w14:paraId="15339766" w14:textId="77777777" w:rsidR="00C723F4" w:rsidRDefault="00C723F4" w:rsidP="000967E6">
            <w:pPr>
              <w:spacing w:before="60" w:after="60"/>
              <w:jc w:val="center"/>
              <w:rPr>
                <w:lang w:val="en-US"/>
              </w:rPr>
            </w:pPr>
            <w:r>
              <w:rPr>
                <w:lang w:val="en-US"/>
              </w:rPr>
              <w:lastRenderedPageBreak/>
              <w:t>Radio Altimeter</w:t>
            </w:r>
          </w:p>
        </w:tc>
        <w:tc>
          <w:tcPr>
            <w:tcW w:w="709" w:type="dxa"/>
          </w:tcPr>
          <w:p w14:paraId="7743E0AB" w14:textId="77777777" w:rsidR="00C723F4" w:rsidRDefault="00C723F4" w:rsidP="000967E6">
            <w:pPr>
              <w:spacing w:before="60" w:after="60"/>
              <w:jc w:val="center"/>
              <w:rPr>
                <w:lang w:val="en-US"/>
              </w:rPr>
            </w:pPr>
            <w:r>
              <w:rPr>
                <w:lang w:val="en-US"/>
              </w:rPr>
              <w:t>A1</w:t>
            </w:r>
          </w:p>
        </w:tc>
        <w:tc>
          <w:tcPr>
            <w:tcW w:w="709" w:type="dxa"/>
          </w:tcPr>
          <w:p w14:paraId="020EFE4E" w14:textId="77777777" w:rsidR="00C723F4" w:rsidRDefault="00C723F4" w:rsidP="000967E6">
            <w:pPr>
              <w:spacing w:before="60" w:after="60"/>
              <w:jc w:val="center"/>
              <w:rPr>
                <w:lang w:val="en-US"/>
              </w:rPr>
            </w:pPr>
            <w:r>
              <w:rPr>
                <w:lang w:val="en-US"/>
              </w:rPr>
              <w:t>A2</w:t>
            </w:r>
          </w:p>
        </w:tc>
        <w:tc>
          <w:tcPr>
            <w:tcW w:w="708" w:type="dxa"/>
          </w:tcPr>
          <w:p w14:paraId="143EA552" w14:textId="77777777" w:rsidR="00C723F4" w:rsidRDefault="00C723F4" w:rsidP="000967E6">
            <w:pPr>
              <w:spacing w:before="60" w:after="60"/>
              <w:jc w:val="center"/>
              <w:rPr>
                <w:lang w:val="en-US"/>
              </w:rPr>
            </w:pPr>
            <w:r>
              <w:rPr>
                <w:lang w:val="en-US"/>
              </w:rPr>
              <w:t>A3</w:t>
            </w:r>
          </w:p>
        </w:tc>
        <w:tc>
          <w:tcPr>
            <w:tcW w:w="709" w:type="dxa"/>
          </w:tcPr>
          <w:p w14:paraId="4258E9FF" w14:textId="77777777" w:rsidR="00C723F4" w:rsidRDefault="00C723F4" w:rsidP="000967E6">
            <w:pPr>
              <w:spacing w:before="60" w:after="60"/>
              <w:jc w:val="center"/>
              <w:rPr>
                <w:lang w:val="en-US"/>
              </w:rPr>
            </w:pPr>
            <w:r>
              <w:rPr>
                <w:lang w:val="en-US"/>
              </w:rPr>
              <w:t>A4</w:t>
            </w:r>
          </w:p>
        </w:tc>
        <w:tc>
          <w:tcPr>
            <w:tcW w:w="709" w:type="dxa"/>
          </w:tcPr>
          <w:p w14:paraId="6815B6BF" w14:textId="77777777" w:rsidR="00C723F4" w:rsidRDefault="00C723F4" w:rsidP="000967E6">
            <w:pPr>
              <w:spacing w:before="60" w:after="60"/>
              <w:jc w:val="center"/>
              <w:rPr>
                <w:lang w:val="en-US"/>
              </w:rPr>
            </w:pPr>
            <w:r>
              <w:rPr>
                <w:lang w:val="en-US"/>
              </w:rPr>
              <w:t>A5</w:t>
            </w:r>
          </w:p>
        </w:tc>
        <w:tc>
          <w:tcPr>
            <w:tcW w:w="709" w:type="dxa"/>
          </w:tcPr>
          <w:p w14:paraId="2410B8CC" w14:textId="77777777" w:rsidR="00C723F4" w:rsidRDefault="00C723F4" w:rsidP="000967E6">
            <w:pPr>
              <w:spacing w:before="60" w:after="60"/>
              <w:jc w:val="center"/>
              <w:rPr>
                <w:lang w:val="en-US"/>
              </w:rPr>
            </w:pPr>
            <w:r>
              <w:rPr>
                <w:lang w:val="en-US"/>
              </w:rPr>
              <w:t>A6</w:t>
            </w:r>
          </w:p>
        </w:tc>
        <w:tc>
          <w:tcPr>
            <w:tcW w:w="850" w:type="dxa"/>
          </w:tcPr>
          <w:p w14:paraId="308E23CE" w14:textId="77777777" w:rsidR="00C723F4" w:rsidRDefault="00C723F4" w:rsidP="000967E6">
            <w:pPr>
              <w:spacing w:before="60" w:after="60"/>
              <w:jc w:val="center"/>
              <w:rPr>
                <w:lang w:val="en-US"/>
              </w:rPr>
            </w:pPr>
            <w:r>
              <w:rPr>
                <w:lang w:val="en-US"/>
              </w:rPr>
              <w:t>D1</w:t>
            </w:r>
          </w:p>
        </w:tc>
        <w:tc>
          <w:tcPr>
            <w:tcW w:w="709" w:type="dxa"/>
          </w:tcPr>
          <w:p w14:paraId="58006A6E" w14:textId="77777777" w:rsidR="00C723F4" w:rsidRDefault="00C723F4" w:rsidP="000967E6">
            <w:pPr>
              <w:spacing w:before="60" w:after="60"/>
              <w:jc w:val="center"/>
              <w:rPr>
                <w:lang w:val="en-US"/>
              </w:rPr>
            </w:pPr>
            <w:r>
              <w:rPr>
                <w:lang w:val="en-US"/>
              </w:rPr>
              <w:t>D2</w:t>
            </w:r>
          </w:p>
        </w:tc>
        <w:tc>
          <w:tcPr>
            <w:tcW w:w="709" w:type="dxa"/>
          </w:tcPr>
          <w:p w14:paraId="22FFDA93" w14:textId="77777777" w:rsidR="00C723F4" w:rsidRDefault="00C723F4" w:rsidP="000967E6">
            <w:pPr>
              <w:spacing w:before="60" w:after="60"/>
              <w:jc w:val="center"/>
              <w:rPr>
                <w:lang w:val="en-US"/>
              </w:rPr>
            </w:pPr>
            <w:r>
              <w:rPr>
                <w:lang w:val="en-US"/>
              </w:rPr>
              <w:t>D3</w:t>
            </w:r>
          </w:p>
        </w:tc>
        <w:tc>
          <w:tcPr>
            <w:tcW w:w="703" w:type="dxa"/>
          </w:tcPr>
          <w:p w14:paraId="4C71005C" w14:textId="77777777" w:rsidR="00C723F4" w:rsidRDefault="00C723F4" w:rsidP="000967E6">
            <w:pPr>
              <w:spacing w:before="60" w:after="60"/>
              <w:jc w:val="center"/>
              <w:rPr>
                <w:lang w:val="en-US"/>
              </w:rPr>
            </w:pPr>
            <w:r>
              <w:rPr>
                <w:lang w:val="en-US"/>
              </w:rPr>
              <w:t>D4</w:t>
            </w:r>
          </w:p>
        </w:tc>
      </w:tr>
      <w:tr w:rsidR="00C723F4" w14:paraId="132F59AB" w14:textId="77777777" w:rsidTr="000967E6">
        <w:tc>
          <w:tcPr>
            <w:tcW w:w="2405" w:type="dxa"/>
          </w:tcPr>
          <w:p w14:paraId="59C3321B" w14:textId="77777777" w:rsidR="00C723F4" w:rsidRDefault="00C723F4" w:rsidP="000967E6">
            <w:pPr>
              <w:spacing w:before="60" w:after="60"/>
              <w:jc w:val="center"/>
              <w:rPr>
                <w:lang w:val="en-US"/>
              </w:rPr>
            </w:pPr>
            <w:r>
              <w:rPr>
                <w:lang w:val="en-US"/>
              </w:rPr>
              <w:t>G</w:t>
            </w:r>
            <w:r w:rsidRPr="00B90CF8">
              <w:rPr>
                <w:vertAlign w:val="subscript"/>
                <w:lang w:val="en-US"/>
              </w:rPr>
              <w:t>RA</w:t>
            </w:r>
            <w:r>
              <w:rPr>
                <w:vertAlign w:val="subscript"/>
                <w:lang w:val="en-US"/>
              </w:rPr>
              <w:t xml:space="preserve"> </w:t>
            </w:r>
            <w:r w:rsidRPr="000967E6">
              <w:rPr>
                <w:lang w:val="en-US"/>
              </w:rPr>
              <w:t>(</w:t>
            </w:r>
            <w:proofErr w:type="spellStart"/>
            <w:r>
              <w:rPr>
                <w:lang w:val="en-US"/>
              </w:rPr>
              <w:t>dBi</w:t>
            </w:r>
            <w:proofErr w:type="spellEnd"/>
            <w:r>
              <w:rPr>
                <w:lang w:val="en-US"/>
              </w:rPr>
              <w:t>)</w:t>
            </w:r>
          </w:p>
        </w:tc>
        <w:tc>
          <w:tcPr>
            <w:tcW w:w="709" w:type="dxa"/>
          </w:tcPr>
          <w:p w14:paraId="306618B7" w14:textId="77777777" w:rsidR="00C723F4" w:rsidRDefault="00C723F4" w:rsidP="000967E6">
            <w:pPr>
              <w:spacing w:before="60" w:after="60"/>
              <w:jc w:val="center"/>
              <w:rPr>
                <w:lang w:val="en-US"/>
              </w:rPr>
            </w:pPr>
            <w:r>
              <w:rPr>
                <w:lang w:val="en-US"/>
              </w:rPr>
              <w:t>10</w:t>
            </w:r>
          </w:p>
        </w:tc>
        <w:tc>
          <w:tcPr>
            <w:tcW w:w="709" w:type="dxa"/>
          </w:tcPr>
          <w:p w14:paraId="57CEF554" w14:textId="77777777" w:rsidR="00C723F4" w:rsidRDefault="00C723F4" w:rsidP="000967E6">
            <w:pPr>
              <w:spacing w:before="60" w:after="60"/>
              <w:jc w:val="center"/>
              <w:rPr>
                <w:lang w:val="en-US"/>
              </w:rPr>
            </w:pPr>
            <w:r>
              <w:rPr>
                <w:lang w:val="en-US"/>
              </w:rPr>
              <w:t>10</w:t>
            </w:r>
          </w:p>
        </w:tc>
        <w:tc>
          <w:tcPr>
            <w:tcW w:w="708" w:type="dxa"/>
          </w:tcPr>
          <w:p w14:paraId="39A670FB" w14:textId="77777777" w:rsidR="00C723F4" w:rsidRDefault="00C723F4" w:rsidP="000967E6">
            <w:pPr>
              <w:spacing w:before="60" w:after="60"/>
              <w:jc w:val="center"/>
              <w:rPr>
                <w:lang w:val="en-US"/>
              </w:rPr>
            </w:pPr>
            <w:r>
              <w:rPr>
                <w:lang w:val="en-US"/>
              </w:rPr>
              <w:t>10</w:t>
            </w:r>
          </w:p>
        </w:tc>
        <w:tc>
          <w:tcPr>
            <w:tcW w:w="709" w:type="dxa"/>
          </w:tcPr>
          <w:p w14:paraId="41492261" w14:textId="77777777" w:rsidR="00C723F4" w:rsidRDefault="00C723F4" w:rsidP="000967E6">
            <w:pPr>
              <w:spacing w:before="60" w:after="60"/>
              <w:jc w:val="center"/>
              <w:rPr>
                <w:lang w:val="en-US"/>
              </w:rPr>
            </w:pPr>
            <w:r>
              <w:rPr>
                <w:lang w:val="en-US"/>
              </w:rPr>
              <w:t>13</w:t>
            </w:r>
          </w:p>
        </w:tc>
        <w:tc>
          <w:tcPr>
            <w:tcW w:w="709" w:type="dxa"/>
          </w:tcPr>
          <w:p w14:paraId="2DB8AADF" w14:textId="77777777" w:rsidR="00C723F4" w:rsidRDefault="00C723F4" w:rsidP="000967E6">
            <w:pPr>
              <w:spacing w:before="60" w:after="60"/>
              <w:jc w:val="center"/>
              <w:rPr>
                <w:lang w:val="en-US"/>
              </w:rPr>
            </w:pPr>
            <w:r>
              <w:rPr>
                <w:lang w:val="en-US"/>
              </w:rPr>
              <w:t>11</w:t>
            </w:r>
          </w:p>
        </w:tc>
        <w:tc>
          <w:tcPr>
            <w:tcW w:w="709" w:type="dxa"/>
          </w:tcPr>
          <w:p w14:paraId="207FF95E" w14:textId="77777777" w:rsidR="00C723F4" w:rsidRDefault="00C723F4" w:rsidP="000967E6">
            <w:pPr>
              <w:spacing w:before="60" w:after="60"/>
              <w:jc w:val="center"/>
              <w:rPr>
                <w:lang w:val="en-US"/>
              </w:rPr>
            </w:pPr>
            <w:r>
              <w:rPr>
                <w:lang w:val="en-US"/>
              </w:rPr>
              <w:t>11</w:t>
            </w:r>
          </w:p>
        </w:tc>
        <w:tc>
          <w:tcPr>
            <w:tcW w:w="850" w:type="dxa"/>
          </w:tcPr>
          <w:p w14:paraId="688E4225" w14:textId="77777777" w:rsidR="00C723F4" w:rsidRDefault="00C723F4" w:rsidP="000967E6">
            <w:pPr>
              <w:spacing w:before="60" w:after="60"/>
              <w:jc w:val="center"/>
              <w:rPr>
                <w:lang w:val="en-US"/>
              </w:rPr>
            </w:pPr>
            <w:r>
              <w:rPr>
                <w:lang w:val="en-US"/>
              </w:rPr>
              <w:t>11</w:t>
            </w:r>
          </w:p>
        </w:tc>
        <w:tc>
          <w:tcPr>
            <w:tcW w:w="709" w:type="dxa"/>
          </w:tcPr>
          <w:p w14:paraId="348C6BB8" w14:textId="77777777" w:rsidR="00C723F4" w:rsidRDefault="00C723F4" w:rsidP="000967E6">
            <w:pPr>
              <w:spacing w:before="60" w:after="60"/>
              <w:jc w:val="center"/>
              <w:rPr>
                <w:lang w:val="en-US"/>
              </w:rPr>
            </w:pPr>
            <w:r>
              <w:rPr>
                <w:lang w:val="en-US"/>
              </w:rPr>
              <w:t>10</w:t>
            </w:r>
          </w:p>
        </w:tc>
        <w:tc>
          <w:tcPr>
            <w:tcW w:w="709" w:type="dxa"/>
          </w:tcPr>
          <w:p w14:paraId="0A0D495D" w14:textId="77777777" w:rsidR="00C723F4" w:rsidRDefault="00C723F4" w:rsidP="000967E6">
            <w:pPr>
              <w:spacing w:before="60" w:after="60"/>
              <w:jc w:val="center"/>
              <w:rPr>
                <w:lang w:val="en-US"/>
              </w:rPr>
            </w:pPr>
            <w:r>
              <w:rPr>
                <w:lang w:val="en-US"/>
              </w:rPr>
              <w:t>11</w:t>
            </w:r>
          </w:p>
        </w:tc>
        <w:tc>
          <w:tcPr>
            <w:tcW w:w="708" w:type="dxa"/>
          </w:tcPr>
          <w:p w14:paraId="3AC42E41" w14:textId="77777777" w:rsidR="00C723F4" w:rsidRDefault="00C723F4" w:rsidP="000967E6">
            <w:pPr>
              <w:spacing w:before="60" w:after="60"/>
              <w:jc w:val="center"/>
              <w:rPr>
                <w:lang w:val="en-US"/>
              </w:rPr>
            </w:pPr>
            <w:r>
              <w:rPr>
                <w:lang w:val="en-US"/>
              </w:rPr>
              <w:t>13</w:t>
            </w:r>
          </w:p>
        </w:tc>
      </w:tr>
      <w:tr w:rsidR="00C723F4" w14:paraId="7C6EA68D" w14:textId="77777777" w:rsidTr="000967E6">
        <w:tc>
          <w:tcPr>
            <w:tcW w:w="2405" w:type="dxa"/>
          </w:tcPr>
          <w:p w14:paraId="1A8FB7BC" w14:textId="77777777" w:rsidR="00C723F4" w:rsidRDefault="00C723F4" w:rsidP="000967E6">
            <w:pPr>
              <w:spacing w:before="60" w:after="60"/>
              <w:jc w:val="center"/>
              <w:rPr>
                <w:lang w:val="en-US"/>
              </w:rPr>
            </w:pPr>
            <w:r>
              <w:rPr>
                <w:rFonts w:cs="Arial"/>
                <w:lang w:val="en-US"/>
              </w:rPr>
              <w:t>ϕ</w:t>
            </w:r>
            <w:r w:rsidRPr="00B90CF8">
              <w:rPr>
                <w:vertAlign w:val="subscript"/>
                <w:lang w:val="en-US"/>
              </w:rPr>
              <w:t>3dB</w:t>
            </w:r>
            <w:r>
              <w:rPr>
                <w:vertAlign w:val="subscript"/>
                <w:lang w:val="en-US"/>
              </w:rPr>
              <w:t xml:space="preserve">  </w:t>
            </w:r>
            <w:r w:rsidRPr="00B90CF8">
              <w:rPr>
                <w:lang w:val="en-US"/>
              </w:rPr>
              <w:t>(</w:t>
            </w:r>
            <w:r>
              <w:rPr>
                <w:lang w:val="en-US"/>
              </w:rPr>
              <w:t>degrees)</w:t>
            </w:r>
          </w:p>
        </w:tc>
        <w:tc>
          <w:tcPr>
            <w:tcW w:w="709" w:type="dxa"/>
          </w:tcPr>
          <w:p w14:paraId="16886D22" w14:textId="77777777" w:rsidR="00C723F4" w:rsidRDefault="00C723F4" w:rsidP="000967E6">
            <w:pPr>
              <w:spacing w:before="60" w:after="60"/>
              <w:jc w:val="center"/>
              <w:rPr>
                <w:lang w:val="en-US"/>
              </w:rPr>
            </w:pPr>
            <w:r>
              <w:rPr>
                <w:lang w:val="en-US"/>
              </w:rPr>
              <w:t>60</w:t>
            </w:r>
          </w:p>
        </w:tc>
        <w:tc>
          <w:tcPr>
            <w:tcW w:w="709" w:type="dxa"/>
          </w:tcPr>
          <w:p w14:paraId="0ACF6FEC" w14:textId="77777777" w:rsidR="00C723F4" w:rsidRDefault="00C723F4" w:rsidP="000967E6">
            <w:pPr>
              <w:spacing w:before="60" w:after="60"/>
              <w:jc w:val="center"/>
              <w:rPr>
                <w:lang w:val="en-US"/>
              </w:rPr>
            </w:pPr>
            <w:r>
              <w:rPr>
                <w:lang w:val="en-US"/>
              </w:rPr>
              <w:t>55</w:t>
            </w:r>
          </w:p>
        </w:tc>
        <w:tc>
          <w:tcPr>
            <w:tcW w:w="708" w:type="dxa"/>
          </w:tcPr>
          <w:p w14:paraId="5305578C" w14:textId="77777777" w:rsidR="00C723F4" w:rsidRDefault="00C723F4" w:rsidP="000967E6">
            <w:pPr>
              <w:spacing w:before="60" w:after="60"/>
              <w:jc w:val="center"/>
              <w:rPr>
                <w:lang w:val="en-US"/>
              </w:rPr>
            </w:pPr>
            <w:r>
              <w:rPr>
                <w:lang w:val="en-US"/>
              </w:rPr>
              <w:t>60</w:t>
            </w:r>
          </w:p>
        </w:tc>
        <w:tc>
          <w:tcPr>
            <w:tcW w:w="709" w:type="dxa"/>
          </w:tcPr>
          <w:p w14:paraId="0EFC7326" w14:textId="77777777" w:rsidR="00C723F4" w:rsidRDefault="00C723F4" w:rsidP="000967E6">
            <w:pPr>
              <w:spacing w:before="60" w:after="60"/>
              <w:jc w:val="center"/>
              <w:rPr>
                <w:lang w:val="en-US"/>
              </w:rPr>
            </w:pPr>
            <w:r>
              <w:rPr>
                <w:lang w:val="en-US"/>
              </w:rPr>
              <w:t>35</w:t>
            </w:r>
          </w:p>
        </w:tc>
        <w:tc>
          <w:tcPr>
            <w:tcW w:w="709" w:type="dxa"/>
          </w:tcPr>
          <w:p w14:paraId="05DA31C1" w14:textId="77777777" w:rsidR="00C723F4" w:rsidRDefault="00C723F4" w:rsidP="000967E6">
            <w:pPr>
              <w:spacing w:before="60" w:after="60"/>
              <w:jc w:val="center"/>
              <w:rPr>
                <w:lang w:val="en-US"/>
              </w:rPr>
            </w:pPr>
            <w:r>
              <w:rPr>
                <w:lang w:val="en-US"/>
              </w:rPr>
              <w:t>45</w:t>
            </w:r>
          </w:p>
        </w:tc>
        <w:tc>
          <w:tcPr>
            <w:tcW w:w="709" w:type="dxa"/>
          </w:tcPr>
          <w:p w14:paraId="1EB36E64" w14:textId="77777777" w:rsidR="00C723F4" w:rsidRDefault="00C723F4" w:rsidP="000967E6">
            <w:pPr>
              <w:spacing w:before="60" w:after="60"/>
              <w:jc w:val="center"/>
              <w:rPr>
                <w:lang w:val="en-US"/>
              </w:rPr>
            </w:pPr>
            <w:r>
              <w:rPr>
                <w:lang w:val="en-US"/>
              </w:rPr>
              <w:t>45</w:t>
            </w:r>
          </w:p>
        </w:tc>
        <w:tc>
          <w:tcPr>
            <w:tcW w:w="850" w:type="dxa"/>
          </w:tcPr>
          <w:p w14:paraId="649EAB6C" w14:textId="77777777" w:rsidR="00C723F4" w:rsidRDefault="00C723F4" w:rsidP="000967E6">
            <w:pPr>
              <w:spacing w:before="60" w:after="60"/>
              <w:jc w:val="center"/>
              <w:rPr>
                <w:lang w:val="en-US"/>
              </w:rPr>
            </w:pPr>
            <w:r>
              <w:rPr>
                <w:lang w:val="en-US"/>
              </w:rPr>
              <w:t>90</w:t>
            </w:r>
          </w:p>
        </w:tc>
        <w:tc>
          <w:tcPr>
            <w:tcW w:w="709" w:type="dxa"/>
          </w:tcPr>
          <w:p w14:paraId="362337CF" w14:textId="77777777" w:rsidR="00C723F4" w:rsidRDefault="00C723F4" w:rsidP="000967E6">
            <w:pPr>
              <w:spacing w:before="60" w:after="60"/>
              <w:jc w:val="center"/>
              <w:rPr>
                <w:lang w:val="en-US"/>
              </w:rPr>
            </w:pPr>
            <w:r>
              <w:rPr>
                <w:lang w:val="en-US"/>
              </w:rPr>
              <w:t>60</w:t>
            </w:r>
          </w:p>
        </w:tc>
        <w:tc>
          <w:tcPr>
            <w:tcW w:w="709" w:type="dxa"/>
          </w:tcPr>
          <w:p w14:paraId="0020D76C" w14:textId="77777777" w:rsidR="00C723F4" w:rsidRDefault="00C723F4" w:rsidP="000967E6">
            <w:pPr>
              <w:spacing w:before="60" w:after="60"/>
              <w:jc w:val="center"/>
              <w:rPr>
                <w:lang w:val="en-US"/>
              </w:rPr>
            </w:pPr>
            <w:r>
              <w:rPr>
                <w:lang w:val="en-US"/>
              </w:rPr>
              <w:t>60</w:t>
            </w:r>
          </w:p>
        </w:tc>
        <w:tc>
          <w:tcPr>
            <w:tcW w:w="708" w:type="dxa"/>
          </w:tcPr>
          <w:p w14:paraId="06F4E7D6" w14:textId="77777777" w:rsidR="00C723F4" w:rsidRDefault="00C723F4" w:rsidP="000967E6">
            <w:pPr>
              <w:spacing w:before="60" w:after="60"/>
              <w:jc w:val="center"/>
              <w:rPr>
                <w:lang w:val="en-US"/>
              </w:rPr>
            </w:pPr>
            <w:r>
              <w:rPr>
                <w:lang w:val="en-US"/>
              </w:rPr>
              <w:t>45</w:t>
            </w:r>
          </w:p>
        </w:tc>
      </w:tr>
    </w:tbl>
    <w:p w14:paraId="3BF86513" w14:textId="77777777" w:rsidR="00C723F4" w:rsidRPr="00752204" w:rsidRDefault="00C723F4" w:rsidP="000967E6">
      <w:pPr>
        <w:rPr>
          <w:lang w:val="en-US"/>
        </w:rPr>
      </w:pPr>
    </w:p>
    <w:p w14:paraId="434A702E" w14:textId="77777777" w:rsidR="00C723F4" w:rsidRPr="00752204" w:rsidRDefault="00C723F4" w:rsidP="00515004">
      <w:pPr>
        <w:jc w:val="center"/>
        <w:rPr>
          <w:lang w:val="en-US"/>
        </w:rPr>
      </w:pPr>
      <w:r w:rsidRPr="00752204">
        <w:rPr>
          <w:noProof/>
          <w:lang w:val="fr-FR" w:eastAsia="fr-FR"/>
        </w:rPr>
        <w:drawing>
          <wp:inline distT="0" distB="0" distL="0" distR="0" wp14:anchorId="2750FF06" wp14:editId="69545142">
            <wp:extent cx="2777174" cy="2244436"/>
            <wp:effectExtent l="0" t="0" r="4445" b="3810"/>
            <wp:docPr id="9" name="Image 9" descr="D:\Donnees\aguignot\Documents\Organismes Internationaux\ICAO\FSMP\2020_03_24 FSMP WG10 Montréal\RA ECC PT1\Ra antenna patern ph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onnees\aguignot\Documents\Organismes Internationaux\ICAO\FSMP\2020_03_24 FSMP WG10 Montréal\RA ECC PT1\Ra antenna patern phi.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777490" cy="2244691"/>
                    </a:xfrm>
                    <a:prstGeom prst="rect">
                      <a:avLst/>
                    </a:prstGeom>
                    <a:noFill/>
                    <a:ln>
                      <a:noFill/>
                    </a:ln>
                  </pic:spPr>
                </pic:pic>
              </a:graphicData>
            </a:graphic>
          </wp:inline>
        </w:drawing>
      </w:r>
    </w:p>
    <w:p w14:paraId="19BE6C3B" w14:textId="77777777" w:rsidR="00C723F4" w:rsidRPr="00752204" w:rsidRDefault="00C723F4" w:rsidP="00515004">
      <w:pPr>
        <w:rPr>
          <w:szCs w:val="20"/>
          <w:lang w:val="en-US"/>
        </w:rPr>
      </w:pPr>
      <w:r w:rsidRPr="00752204">
        <w:rPr>
          <w:szCs w:val="20"/>
          <w:lang w:val="en-US"/>
        </w:rPr>
        <w:t>ICAO recommends using this formula only for -90°&lt;Φ&lt;90°.</w:t>
      </w:r>
      <w:r>
        <w:rPr>
          <w:rStyle w:val="FootnoteReference"/>
          <w:szCs w:val="20"/>
          <w:lang w:val="en-US"/>
        </w:rPr>
        <w:footnoteReference w:id="2"/>
      </w:r>
    </w:p>
    <w:p w14:paraId="394ACCE8" w14:textId="77777777" w:rsidR="00C723F4" w:rsidRPr="00752204" w:rsidRDefault="00C723F4" w:rsidP="00231A0F">
      <w:pPr>
        <w:pStyle w:val="Heading1"/>
        <w:rPr>
          <w:rStyle w:val="ECCParagraph"/>
          <w:lang w:val="en-US"/>
        </w:rPr>
      </w:pPr>
      <w:r w:rsidRPr="00752204">
        <w:rPr>
          <w:rStyle w:val="ECCParagraph"/>
          <w:lang w:val="en-US"/>
        </w:rPr>
        <w:t>Interference threshold to be considered for Radio Altimeters</w:t>
      </w:r>
    </w:p>
    <w:p w14:paraId="05A39FF9" w14:textId="77777777" w:rsidR="00C723F4" w:rsidRPr="00752204" w:rsidRDefault="00C723F4" w:rsidP="00BE1698">
      <w:pPr>
        <w:pStyle w:val="Heading2"/>
        <w:rPr>
          <w:rStyle w:val="ECCParagraph"/>
          <w:lang w:val="en-US"/>
        </w:rPr>
      </w:pPr>
      <w:r w:rsidRPr="00752204">
        <w:rPr>
          <w:rStyle w:val="ECCParagraph"/>
          <w:lang w:val="en-US"/>
        </w:rPr>
        <w:t>Protection CRITERIA</w:t>
      </w:r>
    </w:p>
    <w:p w14:paraId="713CD611" w14:textId="77777777" w:rsidR="00C723F4" w:rsidRPr="00752204" w:rsidRDefault="00C723F4" w:rsidP="00BE1698">
      <w:pPr>
        <w:rPr>
          <w:lang w:val="en-US"/>
        </w:rPr>
      </w:pPr>
      <w:r w:rsidRPr="00752204">
        <w:rPr>
          <w:lang w:val="en-US"/>
        </w:rPr>
        <w:t>Recommendation ITU-R M.2059 explains three primary electromagnetic interference coupling mechanisms between radio altimeters and interfering signals from other transmitters: receiver overload, desensitization, and false altitude generation.</w:t>
      </w:r>
    </w:p>
    <w:p w14:paraId="45ED365F" w14:textId="77777777" w:rsidR="00C723F4" w:rsidRPr="00752204" w:rsidRDefault="00C723F4" w:rsidP="00BE1698">
      <w:pPr>
        <w:rPr>
          <w:lang w:val="en-US"/>
        </w:rPr>
      </w:pPr>
      <w:r w:rsidRPr="00752204">
        <w:rPr>
          <w:lang w:val="en-US"/>
        </w:rPr>
        <w:t>Any compatibility analysis between radio altimeters and other systems must utilize those protection criteria for the maximum acceptable degradation for a radio altimeter.</w:t>
      </w:r>
    </w:p>
    <w:p w14:paraId="384BBF71" w14:textId="77777777" w:rsidR="00C723F4" w:rsidRPr="00752204" w:rsidRDefault="00C723F4" w:rsidP="00BE1698">
      <w:pPr>
        <w:rPr>
          <w:lang w:val="en-US"/>
        </w:rPr>
      </w:pPr>
      <w:r w:rsidRPr="00752204">
        <w:rPr>
          <w:lang w:val="en-US"/>
        </w:rPr>
        <w:t>Those three criteria are defined as followed:</w:t>
      </w:r>
    </w:p>
    <w:p w14:paraId="4CFC1F3A" w14:textId="77777777" w:rsidR="00C723F4" w:rsidRPr="00752204" w:rsidRDefault="00C723F4" w:rsidP="00BE1698">
      <w:pPr>
        <w:numPr>
          <w:ilvl w:val="0"/>
          <w:numId w:val="13"/>
        </w:numPr>
        <w:spacing w:before="0" w:after="0"/>
        <w:rPr>
          <w:lang w:val="en-US"/>
        </w:rPr>
      </w:pPr>
      <w:r w:rsidRPr="00752204">
        <w:rPr>
          <w:lang w:val="en-US"/>
        </w:rPr>
        <w:t>Receiver front-end overload where the value depends on each radio altimeters type</w:t>
      </w:r>
    </w:p>
    <w:p w14:paraId="7F46D15A" w14:textId="77777777" w:rsidR="00C723F4" w:rsidRPr="00752204" w:rsidRDefault="00C723F4" w:rsidP="00BE1698">
      <w:pPr>
        <w:numPr>
          <w:ilvl w:val="0"/>
          <w:numId w:val="13"/>
        </w:numPr>
        <w:spacing w:before="0" w:after="0"/>
        <w:rPr>
          <w:lang w:val="en-US"/>
        </w:rPr>
      </w:pPr>
      <w:r w:rsidRPr="00752204">
        <w:rPr>
          <w:lang w:val="en-US"/>
        </w:rPr>
        <w:t>Receiver desensitization which is the common I/N protection criteria of -6dB,</w:t>
      </w:r>
    </w:p>
    <w:p w14:paraId="5ADA6F5E" w14:textId="77777777" w:rsidR="00C723F4" w:rsidRPr="00752204" w:rsidRDefault="00C723F4" w:rsidP="00BE1698">
      <w:pPr>
        <w:numPr>
          <w:ilvl w:val="0"/>
          <w:numId w:val="13"/>
        </w:numPr>
        <w:spacing w:before="0" w:after="0"/>
        <w:rPr>
          <w:lang w:val="en-US"/>
        </w:rPr>
      </w:pPr>
      <w:r w:rsidRPr="00752204">
        <w:rPr>
          <w:lang w:val="en-US"/>
        </w:rPr>
        <w:t xml:space="preserve">And the False altitude reports which is defined by -143 dBm/100 Hz (–143 dBm considering 100 Hz detector bandwidth following the instantaneous altimeter </w:t>
      </w:r>
      <w:r>
        <w:rPr>
          <w:lang w:val="en-US"/>
        </w:rPr>
        <w:t>local oscillator (</w:t>
      </w:r>
      <w:r w:rsidRPr="00752204">
        <w:rPr>
          <w:lang w:val="en-US"/>
        </w:rPr>
        <w:t>LO</w:t>
      </w:r>
      <w:r>
        <w:rPr>
          <w:lang w:val="en-US"/>
        </w:rPr>
        <w:t>)</w:t>
      </w:r>
      <w:r w:rsidRPr="00752204">
        <w:rPr>
          <w:lang w:val="en-US"/>
        </w:rPr>
        <w:t xml:space="preserve"> frequency).</w:t>
      </w:r>
    </w:p>
    <w:p w14:paraId="08EF44CA" w14:textId="77777777" w:rsidR="00C723F4" w:rsidRPr="00752204" w:rsidRDefault="00C723F4" w:rsidP="00BE1698">
      <w:pPr>
        <w:rPr>
          <w:lang w:val="en-US"/>
        </w:rPr>
      </w:pPr>
      <w:r>
        <w:rPr>
          <w:lang w:val="en-US"/>
        </w:rPr>
        <w:t>For studies focused on emissions into the</w:t>
      </w:r>
      <w:r w:rsidRPr="00752204">
        <w:rPr>
          <w:lang w:val="en-US"/>
        </w:rPr>
        <w:t xml:space="preserve"> frequency band 4200-4400 MHz, only the false altitude reports and the receiver desensitization are applicable.</w:t>
      </w:r>
    </w:p>
    <w:p w14:paraId="5E2EB27A" w14:textId="77777777" w:rsidR="00C723F4" w:rsidRPr="00752204" w:rsidRDefault="00C723F4" w:rsidP="0080526D">
      <w:pPr>
        <w:pStyle w:val="Heading2"/>
        <w:spacing w:after="120"/>
        <w:rPr>
          <w:rStyle w:val="ECCParagraph"/>
          <w:lang w:val="en-US"/>
        </w:rPr>
      </w:pPr>
      <w:r w:rsidRPr="00752204">
        <w:rPr>
          <w:rStyle w:val="ECCParagraph"/>
          <w:lang w:val="en-US"/>
        </w:rPr>
        <w:t>Receiver desensitization</w:t>
      </w:r>
    </w:p>
    <w:p w14:paraId="4081DBE5" w14:textId="77777777" w:rsidR="00C723F4" w:rsidRPr="00752204" w:rsidRDefault="00C723F4" w:rsidP="0080526D">
      <w:pPr>
        <w:spacing w:before="120" w:after="0"/>
        <w:rPr>
          <w:lang w:val="en-US"/>
        </w:rPr>
      </w:pPr>
      <w:r w:rsidRPr="00752204">
        <w:rPr>
          <w:lang w:val="en-US"/>
        </w:rPr>
        <w:t xml:space="preserve">According to ITU-R Recommendation M.2059 Receiver Desensitization </w:t>
      </w:r>
      <w:proofErr w:type="gramStart"/>
      <w:r w:rsidRPr="00752204">
        <w:rPr>
          <w:i/>
          <w:iCs/>
          <w:lang w:val="en-US"/>
        </w:rPr>
        <w:t>I</w:t>
      </w:r>
      <w:r w:rsidRPr="00752204">
        <w:rPr>
          <w:i/>
          <w:iCs/>
          <w:vertAlign w:val="subscript"/>
          <w:lang w:val="en-US"/>
        </w:rPr>
        <w:t>T,RF</w:t>
      </w:r>
      <w:proofErr w:type="gramEnd"/>
      <w:r>
        <w:rPr>
          <w:lang w:val="en-US"/>
        </w:rPr>
        <w:t xml:space="preserve">, the limit for aggregate interference </w:t>
      </w:r>
      <w:r w:rsidRPr="00752204">
        <w:rPr>
          <w:lang w:val="en-US"/>
        </w:rPr>
        <w:t>at the receiver input</w:t>
      </w:r>
      <w:r w:rsidRPr="00752204">
        <w:rPr>
          <w:i/>
          <w:iCs/>
          <w:lang w:val="en-US"/>
        </w:rPr>
        <w:t xml:space="preserve"> </w:t>
      </w:r>
      <w:r w:rsidRPr="00752204">
        <w:rPr>
          <w:lang w:val="en-US"/>
        </w:rPr>
        <w:t xml:space="preserve">is given </w:t>
      </w:r>
      <w:r>
        <w:rPr>
          <w:lang w:val="en-US"/>
        </w:rPr>
        <w:t xml:space="preserve">for  radio altimeters </w:t>
      </w:r>
      <w:r w:rsidRPr="00752204">
        <w:rPr>
          <w:lang w:val="en-US"/>
        </w:rPr>
        <w:t>by:</w:t>
      </w:r>
    </w:p>
    <w:p w14:paraId="50DDB768" w14:textId="7B6399D1" w:rsidR="00C723F4" w:rsidRDefault="00643E39" w:rsidP="00342996">
      <w:pPr>
        <w:spacing w:before="0" w:after="0"/>
        <w:jc w:val="center"/>
        <w:rPr>
          <w:lang w:val="en-US"/>
        </w:rPr>
      </w:pPr>
      <m:oMath>
        <m:sSub>
          <m:sSubPr>
            <m:ctrlPr>
              <w:rPr>
                <w:rFonts w:ascii="Cambria Math" w:hAnsi="Cambria Math"/>
                <w:i/>
                <w:lang w:val="en-US"/>
              </w:rPr>
            </m:ctrlPr>
          </m:sSubPr>
          <m:e>
            <m:r>
              <w:rPr>
                <w:rFonts w:ascii="Cambria Math" w:hAnsi="Cambria Math"/>
                <w:lang w:val="en-US"/>
              </w:rPr>
              <m:t>I</m:t>
            </m:r>
          </m:e>
          <m:sub>
            <m:r>
              <w:rPr>
                <w:rFonts w:ascii="Cambria Math" w:hAnsi="Cambria Math"/>
                <w:lang w:val="en-US"/>
              </w:rPr>
              <m:t>T,RF</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I</m:t>
            </m:r>
          </m:e>
          <m:sub>
            <m:r>
              <w:rPr>
                <w:rFonts w:ascii="Cambria Math" w:hAnsi="Cambria Math"/>
                <w:lang w:val="en-US"/>
              </w:rPr>
              <m:t>T,IF</m:t>
            </m:r>
          </m:sub>
        </m:sSub>
        <m:r>
          <w:rPr>
            <w:rFonts w:ascii="Cambria Math" w:hAnsi="Cambria Math"/>
            <w:lang w:val="en-US"/>
          </w:rPr>
          <m:t>-10</m:t>
        </m:r>
        <m:r>
          <m:rPr>
            <m:sty m:val="p"/>
          </m:rPr>
          <w:rPr>
            <w:rFonts w:ascii="Cambria Math" w:hAnsi="Cambria Math"/>
            <w:lang w:val="en-US"/>
          </w:rPr>
          <m:t>log⁡</m:t>
        </m:r>
        <m:d>
          <m:dPr>
            <m:ctrlPr>
              <w:rPr>
                <w:rFonts w:ascii="Cambria Math" w:hAnsi="Cambria Math"/>
                <w:i/>
                <w:lang w:val="en-US"/>
              </w:rPr>
            </m:ctrlPr>
          </m:dPr>
          <m:e>
            <m:sSub>
              <m:sSubPr>
                <m:ctrlPr>
                  <w:rPr>
                    <w:rFonts w:ascii="Cambria Math" w:hAnsi="Cambria Math"/>
                    <w:i/>
                    <w:lang w:val="en-US"/>
                  </w:rPr>
                </m:ctrlPr>
              </m:sSubPr>
              <m:e>
                <m:r>
                  <w:rPr>
                    <w:rFonts w:ascii="Cambria Math" w:hAnsi="Cambria Math"/>
                    <w:lang w:val="en-US"/>
                  </w:rPr>
                  <m:t>R</m:t>
                </m:r>
              </m:e>
              <m:sub>
                <m:r>
                  <w:rPr>
                    <w:rFonts w:ascii="Cambria Math" w:hAnsi="Cambria Math"/>
                    <w:lang w:val="en-US"/>
                  </w:rPr>
                  <m:t>S</m:t>
                </m:r>
              </m:sub>
            </m:sSub>
          </m:e>
        </m:d>
      </m:oMath>
      <w:r w:rsidR="00C723F4">
        <w:rPr>
          <w:lang w:val="en-US"/>
        </w:rPr>
        <w:t xml:space="preserve"> dBm</w:t>
      </w:r>
      <w:r w:rsidR="00FA0C9B">
        <w:rPr>
          <w:lang w:val="en-US"/>
        </w:rPr>
        <w:t>/</w:t>
      </w:r>
      <w:r w:rsidR="009F7F31">
        <w:rPr>
          <w:lang w:val="en-US"/>
        </w:rPr>
        <w:t>RF or dBm/B</w:t>
      </w:r>
      <w:r w:rsidR="009F7F31" w:rsidRPr="0081321E">
        <w:rPr>
          <w:vertAlign w:val="subscript"/>
          <w:lang w:val="en-US"/>
        </w:rPr>
        <w:t>S</w:t>
      </w:r>
    </w:p>
    <w:p w14:paraId="64D1FB1A" w14:textId="77777777" w:rsidR="00C723F4" w:rsidRDefault="00C723F4" w:rsidP="00342996">
      <w:pPr>
        <w:spacing w:before="120" w:after="120"/>
        <w:jc w:val="center"/>
        <w:rPr>
          <w:lang w:val="en-US"/>
        </w:rPr>
      </w:pPr>
      <w:r>
        <w:rPr>
          <w:lang w:val="en-US"/>
        </w:rPr>
        <w:lastRenderedPageBreak/>
        <w:t>Or</w:t>
      </w:r>
    </w:p>
    <w:p w14:paraId="669B0AFB" w14:textId="025CC589" w:rsidR="00C723F4" w:rsidRPr="0081321E" w:rsidRDefault="00643E39" w:rsidP="00342996">
      <w:pPr>
        <w:spacing w:before="120" w:after="120"/>
        <w:jc w:val="center"/>
        <w:rPr>
          <w:lang w:val="da-DK"/>
        </w:rPr>
      </w:pPr>
      <m:oMath>
        <m:sSub>
          <m:sSubPr>
            <m:ctrlPr>
              <w:rPr>
                <w:rFonts w:ascii="Cambria Math" w:hAnsi="Cambria Math"/>
                <w:i/>
                <w:lang w:val="en-US"/>
              </w:rPr>
            </m:ctrlPr>
          </m:sSubPr>
          <m:e>
            <m:r>
              <w:rPr>
                <w:rFonts w:ascii="Cambria Math" w:hAnsi="Cambria Math"/>
                <w:lang w:val="en-US"/>
              </w:rPr>
              <m:t>I</m:t>
            </m:r>
          </m:e>
          <m:sub>
            <m:r>
              <w:rPr>
                <w:rFonts w:ascii="Cambria Math" w:hAnsi="Cambria Math"/>
                <w:lang w:val="en-US"/>
              </w:rPr>
              <m:t>I</m:t>
            </m:r>
            <m:r>
              <w:rPr>
                <w:rFonts w:ascii="Cambria Math" w:hAnsi="Cambria Math"/>
                <w:lang w:val="da-DK"/>
              </w:rPr>
              <m:t>,</m:t>
            </m:r>
            <m:r>
              <w:rPr>
                <w:rFonts w:ascii="Cambria Math" w:hAnsi="Cambria Math"/>
                <w:lang w:val="en-US"/>
              </w:rPr>
              <m:t>RF</m:t>
            </m:r>
          </m:sub>
        </m:sSub>
        <m:r>
          <w:rPr>
            <w:rFonts w:ascii="Cambria Math" w:hAnsi="Cambria Math"/>
            <w:lang w:val="da-DK"/>
          </w:rPr>
          <m:t>=</m:t>
        </m:r>
        <m:sSub>
          <m:sSubPr>
            <m:ctrlPr>
              <w:rPr>
                <w:rFonts w:ascii="Cambria Math" w:hAnsi="Cambria Math"/>
                <w:i/>
                <w:lang w:val="en-US"/>
              </w:rPr>
            </m:ctrlPr>
          </m:sSubPr>
          <m:e>
            <m:r>
              <w:rPr>
                <w:rFonts w:ascii="Cambria Math" w:hAnsi="Cambria Math"/>
                <w:lang w:val="en-US"/>
              </w:rPr>
              <m:t>I</m:t>
            </m:r>
          </m:e>
          <m:sub>
            <m:r>
              <w:rPr>
                <w:rFonts w:ascii="Cambria Math" w:hAnsi="Cambria Math"/>
                <w:lang w:val="en-US"/>
              </w:rPr>
              <m:t>T</m:t>
            </m:r>
            <m:r>
              <w:rPr>
                <w:rFonts w:ascii="Cambria Math" w:hAnsi="Cambria Math"/>
                <w:lang w:val="da-DK"/>
              </w:rPr>
              <m:t>,</m:t>
            </m:r>
            <m:r>
              <w:rPr>
                <w:rFonts w:ascii="Cambria Math" w:hAnsi="Cambria Math"/>
                <w:lang w:val="en-US"/>
              </w:rPr>
              <m:t>IF</m:t>
            </m:r>
          </m:sub>
        </m:sSub>
        <m:r>
          <w:rPr>
            <w:rFonts w:ascii="Cambria Math" w:hAnsi="Cambria Math"/>
            <w:lang w:val="da-DK"/>
          </w:rPr>
          <m:t>-10</m:t>
        </m:r>
        <m:func>
          <m:funcPr>
            <m:ctrlPr>
              <w:rPr>
                <w:rFonts w:ascii="Cambria Math" w:hAnsi="Cambria Math"/>
                <w:lang w:val="en-US"/>
              </w:rPr>
            </m:ctrlPr>
          </m:funcPr>
          <m:fName>
            <m:r>
              <m:rPr>
                <m:sty m:val="p"/>
              </m:rPr>
              <w:rPr>
                <w:rFonts w:ascii="Cambria Math" w:hAnsi="Cambria Math"/>
                <w:lang w:val="da-DK"/>
              </w:rPr>
              <m:t>log</m:t>
            </m:r>
          </m:fName>
          <m:e>
            <m:d>
              <m:dPr>
                <m:ctrlPr>
                  <w:rPr>
                    <w:rFonts w:ascii="Cambria Math" w:hAnsi="Cambria Math"/>
                    <w:i/>
                    <w:lang w:val="en-US"/>
                  </w:rPr>
                </m:ctrlPr>
              </m:dPr>
              <m:e>
                <m:sSub>
                  <m:sSubPr>
                    <m:ctrlPr>
                      <w:rPr>
                        <w:rFonts w:ascii="Cambria Math" w:hAnsi="Cambria Math"/>
                        <w:i/>
                        <w:lang w:val="en-US"/>
                      </w:rPr>
                    </m:ctrlPr>
                  </m:sSubPr>
                  <m:e>
                    <m:r>
                      <w:rPr>
                        <w:rFonts w:ascii="Cambria Math" w:hAnsi="Cambria Math"/>
                        <w:lang w:val="en-US"/>
                      </w:rPr>
                      <m:t>R</m:t>
                    </m:r>
                  </m:e>
                  <m:sub>
                    <m:r>
                      <w:rPr>
                        <w:rFonts w:ascii="Cambria Math" w:hAnsi="Cambria Math"/>
                        <w:lang w:val="en-US"/>
                      </w:rPr>
                      <m:t>S</m:t>
                    </m:r>
                  </m:sub>
                </m:sSub>
              </m:e>
            </m:d>
          </m:e>
        </m:func>
        <m:r>
          <w:rPr>
            <w:rFonts w:ascii="Cambria Math" w:hAnsi="Cambria Math"/>
            <w:lang w:val="da-DK"/>
          </w:rPr>
          <m:t>-10</m:t>
        </m:r>
        <m:r>
          <w:rPr>
            <w:rFonts w:ascii="Cambria Math" w:hAnsi="Cambria Math"/>
            <w:lang w:val="en-US"/>
          </w:rPr>
          <m:t>log</m:t>
        </m:r>
        <m:d>
          <m:dPr>
            <m:ctrlPr>
              <w:rPr>
                <w:rFonts w:ascii="Cambria Math" w:hAnsi="Cambria Math"/>
                <w:i/>
                <w:lang w:val="en-US"/>
              </w:rPr>
            </m:ctrlPr>
          </m:dPr>
          <m:e>
            <m:sSub>
              <m:sSubPr>
                <m:ctrlPr>
                  <w:rPr>
                    <w:rFonts w:ascii="Cambria Math" w:hAnsi="Cambria Math"/>
                    <w:i/>
                    <w:lang w:val="en-US"/>
                  </w:rPr>
                </m:ctrlPr>
              </m:sSubPr>
              <m:e>
                <m:r>
                  <w:rPr>
                    <w:rFonts w:ascii="Cambria Math" w:hAnsi="Cambria Math"/>
                    <w:lang w:val="en-US"/>
                  </w:rPr>
                  <m:t>B</m:t>
                </m:r>
              </m:e>
              <m:sub>
                <m:r>
                  <w:rPr>
                    <w:rFonts w:ascii="Cambria Math" w:hAnsi="Cambria Math"/>
                    <w:lang w:val="en-US"/>
                  </w:rPr>
                  <m:t>S</m:t>
                </m:r>
              </m:sub>
            </m:sSub>
          </m:e>
        </m:d>
      </m:oMath>
      <w:r w:rsidR="00C723F4" w:rsidRPr="0081321E">
        <w:rPr>
          <w:lang w:val="da-DK"/>
        </w:rPr>
        <w:t xml:space="preserve"> dBm/MHz</w:t>
      </w:r>
    </w:p>
    <w:p w14:paraId="650126A8" w14:textId="77777777" w:rsidR="00C723F4" w:rsidRDefault="00C723F4" w:rsidP="00F845CA">
      <w:pPr>
        <w:spacing w:before="120" w:after="120"/>
        <w:jc w:val="left"/>
        <w:rPr>
          <w:lang w:val="en-US"/>
        </w:rPr>
      </w:pPr>
      <w:r>
        <w:rPr>
          <w:lang w:val="en-US"/>
        </w:rPr>
        <w:t>And for pulsed radio altimeters:</w:t>
      </w:r>
    </w:p>
    <w:p w14:paraId="7834F550" w14:textId="3C12D949" w:rsidR="00C723F4" w:rsidRDefault="00643E39" w:rsidP="00F845CA">
      <w:pPr>
        <w:spacing w:before="0" w:after="0"/>
        <w:jc w:val="center"/>
        <w:rPr>
          <w:lang w:val="en-US"/>
        </w:rPr>
      </w:pPr>
      <m:oMath>
        <m:sSub>
          <m:sSubPr>
            <m:ctrlPr>
              <w:rPr>
                <w:rFonts w:ascii="Cambria Math" w:hAnsi="Cambria Math"/>
                <w:i/>
                <w:lang w:val="en-US"/>
              </w:rPr>
            </m:ctrlPr>
          </m:sSubPr>
          <m:e>
            <m:r>
              <w:rPr>
                <w:rFonts w:ascii="Cambria Math" w:hAnsi="Cambria Math"/>
                <w:lang w:val="en-US"/>
              </w:rPr>
              <m:t>I</m:t>
            </m:r>
          </m:e>
          <m:sub>
            <m:r>
              <w:rPr>
                <w:rFonts w:ascii="Cambria Math" w:hAnsi="Cambria Math"/>
                <w:lang w:val="en-US"/>
              </w:rPr>
              <m:t>I,RF</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I</m:t>
            </m:r>
          </m:e>
          <m:sub>
            <m:r>
              <w:rPr>
                <w:rFonts w:ascii="Cambria Math" w:hAnsi="Cambria Math"/>
                <w:lang w:val="en-US"/>
              </w:rPr>
              <m:t>T,IF</m:t>
            </m:r>
          </m:sub>
        </m:sSub>
      </m:oMath>
      <w:r w:rsidR="00B0502F">
        <w:rPr>
          <w:lang w:val="en-US"/>
        </w:rPr>
        <w:t xml:space="preserve"> </w:t>
      </w:r>
      <w:r w:rsidR="00C723F4">
        <w:rPr>
          <w:lang w:val="en-US"/>
        </w:rPr>
        <w:t>dBm</w:t>
      </w:r>
    </w:p>
    <w:p w14:paraId="22B3E8B0" w14:textId="77777777" w:rsidR="00C723F4" w:rsidRDefault="00C723F4" w:rsidP="00F845CA">
      <w:pPr>
        <w:spacing w:before="120" w:after="120"/>
        <w:jc w:val="center"/>
        <w:rPr>
          <w:lang w:val="en-US"/>
        </w:rPr>
      </w:pPr>
      <w:r>
        <w:rPr>
          <w:lang w:val="en-US"/>
        </w:rPr>
        <w:t>Or</w:t>
      </w:r>
    </w:p>
    <w:p w14:paraId="6AF26DB2" w14:textId="733E7D50" w:rsidR="00C723F4" w:rsidRPr="0081321E" w:rsidRDefault="00643E39" w:rsidP="00F845CA">
      <w:pPr>
        <w:spacing w:before="120" w:after="120"/>
        <w:jc w:val="center"/>
        <w:rPr>
          <w:lang w:val="da-DK"/>
        </w:rPr>
      </w:pPr>
      <m:oMath>
        <m:sSub>
          <m:sSubPr>
            <m:ctrlPr>
              <w:rPr>
                <w:rFonts w:ascii="Cambria Math" w:hAnsi="Cambria Math"/>
                <w:i/>
                <w:lang w:val="en-US"/>
              </w:rPr>
            </m:ctrlPr>
          </m:sSubPr>
          <m:e>
            <m:r>
              <w:rPr>
                <w:rFonts w:ascii="Cambria Math" w:hAnsi="Cambria Math"/>
                <w:lang w:val="en-US"/>
              </w:rPr>
              <m:t>I</m:t>
            </m:r>
          </m:e>
          <m:sub>
            <m:r>
              <w:rPr>
                <w:rFonts w:ascii="Cambria Math" w:hAnsi="Cambria Math"/>
                <w:lang w:val="en-US"/>
              </w:rPr>
              <m:t>I</m:t>
            </m:r>
            <m:r>
              <w:rPr>
                <w:rFonts w:ascii="Cambria Math" w:hAnsi="Cambria Math"/>
                <w:lang w:val="da-DK"/>
              </w:rPr>
              <m:t>,</m:t>
            </m:r>
            <m:r>
              <w:rPr>
                <w:rFonts w:ascii="Cambria Math" w:hAnsi="Cambria Math"/>
                <w:lang w:val="en-US"/>
              </w:rPr>
              <m:t>RF</m:t>
            </m:r>
          </m:sub>
        </m:sSub>
        <m:r>
          <w:rPr>
            <w:rFonts w:ascii="Cambria Math" w:hAnsi="Cambria Math"/>
            <w:lang w:val="da-DK"/>
          </w:rPr>
          <m:t>=</m:t>
        </m:r>
        <m:sSub>
          <m:sSubPr>
            <m:ctrlPr>
              <w:rPr>
                <w:rFonts w:ascii="Cambria Math" w:hAnsi="Cambria Math"/>
                <w:i/>
                <w:lang w:val="en-US"/>
              </w:rPr>
            </m:ctrlPr>
          </m:sSubPr>
          <m:e>
            <m:r>
              <w:rPr>
                <w:rFonts w:ascii="Cambria Math" w:hAnsi="Cambria Math"/>
                <w:lang w:val="en-US"/>
              </w:rPr>
              <m:t>I</m:t>
            </m:r>
          </m:e>
          <m:sub>
            <m:r>
              <w:rPr>
                <w:rFonts w:ascii="Cambria Math" w:hAnsi="Cambria Math"/>
                <w:lang w:val="en-US"/>
              </w:rPr>
              <m:t>T</m:t>
            </m:r>
            <m:r>
              <w:rPr>
                <w:rFonts w:ascii="Cambria Math" w:hAnsi="Cambria Math"/>
                <w:lang w:val="da-DK"/>
              </w:rPr>
              <m:t>,</m:t>
            </m:r>
            <m:r>
              <w:rPr>
                <w:rFonts w:ascii="Cambria Math" w:hAnsi="Cambria Math"/>
                <w:lang w:val="en-US"/>
              </w:rPr>
              <m:t>IF</m:t>
            </m:r>
          </m:sub>
        </m:sSub>
        <m:r>
          <w:rPr>
            <w:rFonts w:ascii="Cambria Math" w:hAnsi="Cambria Math"/>
            <w:lang w:val="da-DK"/>
          </w:rPr>
          <m:t>-10</m:t>
        </m:r>
        <m:r>
          <w:rPr>
            <w:rFonts w:ascii="Cambria Math" w:hAnsi="Cambria Math"/>
            <w:lang w:val="en-US"/>
          </w:rPr>
          <m:t>log</m:t>
        </m:r>
        <m:d>
          <m:dPr>
            <m:ctrlPr>
              <w:rPr>
                <w:rFonts w:ascii="Cambria Math" w:hAnsi="Cambria Math"/>
                <w:i/>
                <w:lang w:val="en-US"/>
              </w:rPr>
            </m:ctrlPr>
          </m:dPr>
          <m:e>
            <m:sSub>
              <m:sSubPr>
                <m:ctrlPr>
                  <w:rPr>
                    <w:rFonts w:ascii="Cambria Math" w:hAnsi="Cambria Math"/>
                    <w:i/>
                    <w:lang w:val="en-US"/>
                  </w:rPr>
                </m:ctrlPr>
              </m:sSubPr>
              <m:e>
                <m:r>
                  <w:rPr>
                    <w:rFonts w:ascii="Cambria Math" w:hAnsi="Cambria Math"/>
                    <w:lang w:val="en-US"/>
                  </w:rPr>
                  <m:t>B</m:t>
                </m:r>
              </m:e>
              <m:sub>
                <m:r>
                  <w:rPr>
                    <w:rFonts w:ascii="Cambria Math" w:hAnsi="Cambria Math"/>
                    <w:lang w:val="en-US"/>
                  </w:rPr>
                  <m:t>S</m:t>
                </m:r>
              </m:sub>
            </m:sSub>
          </m:e>
        </m:d>
      </m:oMath>
      <w:r w:rsidR="00C723F4" w:rsidRPr="0081321E">
        <w:rPr>
          <w:lang w:val="da-DK"/>
        </w:rPr>
        <w:t xml:space="preserve"> dBm/MHz</w:t>
      </w:r>
    </w:p>
    <w:p w14:paraId="7167239F" w14:textId="77777777" w:rsidR="00C723F4" w:rsidRPr="0081321E" w:rsidRDefault="00C723F4" w:rsidP="000967E6">
      <w:pPr>
        <w:spacing w:before="120" w:after="120"/>
        <w:jc w:val="left"/>
        <w:rPr>
          <w:lang w:val="da-DK"/>
        </w:rPr>
      </w:pPr>
    </w:p>
    <w:p w14:paraId="1CCE8293" w14:textId="77777777" w:rsidR="00C723F4" w:rsidRPr="00752204" w:rsidRDefault="00C723F4" w:rsidP="0080526D">
      <w:pPr>
        <w:tabs>
          <w:tab w:val="left" w:pos="1440"/>
        </w:tabs>
        <w:spacing w:before="120" w:after="0"/>
        <w:rPr>
          <w:szCs w:val="18"/>
          <w:lang w:val="en-US"/>
        </w:rPr>
      </w:pPr>
      <w:r w:rsidRPr="0081321E">
        <w:rPr>
          <w:szCs w:val="18"/>
          <w:lang w:val="da-DK"/>
        </w:rPr>
        <w:tab/>
      </w:r>
      <w:r w:rsidRPr="00752204">
        <w:rPr>
          <w:szCs w:val="18"/>
          <w:lang w:val="en-US"/>
        </w:rPr>
        <w:t>Where:</w:t>
      </w:r>
    </w:p>
    <w:p w14:paraId="397405F6" w14:textId="77777777" w:rsidR="00C723F4" w:rsidRPr="00752204" w:rsidRDefault="00C723F4" w:rsidP="005F3365">
      <w:pPr>
        <w:tabs>
          <w:tab w:val="left" w:pos="1440"/>
        </w:tabs>
        <w:spacing w:before="120" w:after="0"/>
        <w:ind w:left="2880"/>
        <w:jc w:val="left"/>
        <w:rPr>
          <w:szCs w:val="18"/>
          <w:lang w:val="en-US"/>
        </w:rPr>
      </w:pPr>
      <w:proofErr w:type="gramStart"/>
      <w:r w:rsidRPr="00752204">
        <w:rPr>
          <w:i/>
          <w:iCs/>
          <w:szCs w:val="18"/>
          <w:lang w:val="en-US"/>
        </w:rPr>
        <w:t>I</w:t>
      </w:r>
      <w:r w:rsidRPr="00752204">
        <w:rPr>
          <w:i/>
          <w:iCs/>
          <w:szCs w:val="18"/>
          <w:vertAlign w:val="subscript"/>
          <w:lang w:val="en-US"/>
        </w:rPr>
        <w:t>T,IF</w:t>
      </w:r>
      <w:proofErr w:type="gramEnd"/>
      <w:r w:rsidRPr="00752204">
        <w:rPr>
          <w:szCs w:val="18"/>
          <w:lang w:val="en-US"/>
        </w:rPr>
        <w:tab/>
        <w:t>= Interference power threshold</w:t>
      </w:r>
    </w:p>
    <w:p w14:paraId="33158FED" w14:textId="77777777" w:rsidR="00C723F4" w:rsidRPr="00752204" w:rsidRDefault="00C723F4" w:rsidP="005F3365">
      <w:pPr>
        <w:tabs>
          <w:tab w:val="left" w:pos="1440"/>
        </w:tabs>
        <w:spacing w:before="120" w:after="0"/>
        <w:ind w:left="3420"/>
        <w:rPr>
          <w:szCs w:val="18"/>
          <w:lang w:val="en-US"/>
        </w:rPr>
      </w:pPr>
      <m:oMath>
        <m:r>
          <w:rPr>
            <w:rFonts w:ascii="Cambria Math" w:hAnsi="Cambria Math"/>
            <w:szCs w:val="18"/>
            <w:lang w:val="en-US"/>
          </w:rPr>
          <m:t>≥N-I/N</m:t>
        </m:r>
        <m:r>
          <m:rPr>
            <m:nor/>
          </m:rPr>
          <w:rPr>
            <w:szCs w:val="18"/>
            <w:lang w:val="en-US"/>
          </w:rPr>
          <m:t xml:space="preserve"> dB</m:t>
        </m:r>
      </m:oMath>
      <w:r w:rsidRPr="00752204">
        <w:rPr>
          <w:szCs w:val="18"/>
          <w:lang w:val="en-US"/>
        </w:rPr>
        <w:t xml:space="preserve"> </w:t>
      </w:r>
    </w:p>
    <w:p w14:paraId="5D3F3D9B" w14:textId="77777777" w:rsidR="00C723F4" w:rsidRPr="00752204" w:rsidRDefault="00C723F4" w:rsidP="0080526D">
      <w:pPr>
        <w:tabs>
          <w:tab w:val="left" w:pos="1440"/>
        </w:tabs>
        <w:spacing w:before="120" w:after="0"/>
        <w:ind w:left="2835"/>
        <w:jc w:val="left"/>
        <w:rPr>
          <w:i/>
          <w:lang w:val="en-US"/>
        </w:rPr>
      </w:pPr>
      <w:r w:rsidRPr="00752204">
        <w:rPr>
          <w:i/>
          <w:iCs/>
          <w:szCs w:val="18"/>
          <w:lang w:val="en-US"/>
        </w:rPr>
        <w:t>N</w:t>
      </w:r>
      <w:r w:rsidRPr="00752204">
        <w:rPr>
          <w:i/>
          <w:iCs/>
          <w:szCs w:val="18"/>
          <w:lang w:val="en-US"/>
        </w:rPr>
        <w:tab/>
      </w:r>
      <m:oMath>
        <m:r>
          <w:rPr>
            <w:rFonts w:ascii="Cambria Math" w:hAnsi="Cambria Math"/>
            <w:lang w:val="en-US"/>
          </w:rPr>
          <m:t>=-114dBm/MHz+10</m:t>
        </m:r>
        <m:func>
          <m:funcPr>
            <m:ctrlPr>
              <w:rPr>
                <w:rFonts w:ascii="Cambria Math" w:hAnsi="Cambria Math"/>
                <w:i/>
                <w:lang w:val="en-US"/>
              </w:rPr>
            </m:ctrlPr>
          </m:funcPr>
          <m:fName>
            <m:r>
              <w:rPr>
                <w:rFonts w:ascii="Cambria Math" w:hAnsi="Cambria Math"/>
                <w:lang w:val="en-US"/>
              </w:rPr>
              <m:t>log</m:t>
            </m:r>
          </m:fName>
          <m:e>
            <m:r>
              <w:rPr>
                <w:rFonts w:ascii="Cambria Math" w:hAnsi="Cambria Math"/>
                <w:lang w:val="en-US"/>
              </w:rPr>
              <m:t>(</m:t>
            </m:r>
          </m:e>
        </m:func>
        <m:sSub>
          <m:sSubPr>
            <m:ctrlPr>
              <w:rPr>
                <w:rFonts w:ascii="Cambria Math" w:hAnsi="Cambria Math"/>
                <w:i/>
                <w:lang w:val="en-US"/>
              </w:rPr>
            </m:ctrlPr>
          </m:sSubPr>
          <m:e>
            <m:r>
              <w:rPr>
                <w:rFonts w:ascii="Cambria Math" w:hAnsi="Cambria Math"/>
                <w:lang w:val="en-US"/>
              </w:rPr>
              <m:t>B</m:t>
            </m:r>
          </m:e>
          <m:sub>
            <m:r>
              <w:rPr>
                <w:rFonts w:ascii="Cambria Math" w:hAnsi="Cambria Math"/>
                <w:lang w:val="en-US"/>
              </w:rPr>
              <m:t>R,IF</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F</m:t>
            </m:r>
          </m:sub>
        </m:sSub>
      </m:oMath>
    </w:p>
    <w:p w14:paraId="5E2B3A39" w14:textId="77777777" w:rsidR="00C723F4" w:rsidRPr="00752204" w:rsidRDefault="00C723F4" w:rsidP="0080526D">
      <w:pPr>
        <w:tabs>
          <w:tab w:val="right" w:pos="1701"/>
        </w:tabs>
        <w:overflowPunct w:val="0"/>
        <w:autoSpaceDE w:val="0"/>
        <w:autoSpaceDN w:val="0"/>
        <w:adjustRightInd w:val="0"/>
        <w:spacing w:before="120" w:after="0"/>
        <w:ind w:left="3544"/>
        <w:jc w:val="left"/>
        <w:rPr>
          <w:lang w:val="en-US"/>
        </w:rPr>
      </w:pPr>
      <w:proofErr w:type="gramStart"/>
      <w:r w:rsidRPr="00752204">
        <w:rPr>
          <w:i/>
          <w:lang w:val="en-US"/>
        </w:rPr>
        <w:t>B</w:t>
      </w:r>
      <w:r w:rsidRPr="00752204">
        <w:rPr>
          <w:i/>
          <w:vertAlign w:val="subscript"/>
          <w:lang w:val="en-US"/>
        </w:rPr>
        <w:t>R,IF</w:t>
      </w:r>
      <w:proofErr w:type="gramEnd"/>
      <w:r w:rsidRPr="00752204">
        <w:rPr>
          <w:lang w:val="en-US"/>
        </w:rPr>
        <w:tab/>
        <w:t>= IF bandwidth of the radio altimeter (MHz)</w:t>
      </w:r>
    </w:p>
    <w:p w14:paraId="3B659185" w14:textId="77777777" w:rsidR="00C723F4" w:rsidRPr="00752204" w:rsidRDefault="00C723F4" w:rsidP="0080526D">
      <w:pPr>
        <w:tabs>
          <w:tab w:val="left" w:pos="1440"/>
        </w:tabs>
        <w:spacing w:before="120" w:after="0"/>
        <w:ind w:left="3544"/>
        <w:rPr>
          <w:lang w:val="en-US"/>
        </w:rPr>
      </w:pPr>
      <w:r w:rsidRPr="00752204">
        <w:rPr>
          <w:i/>
          <w:lang w:val="en-US"/>
        </w:rPr>
        <w:t>N</w:t>
      </w:r>
      <w:r w:rsidRPr="00752204">
        <w:rPr>
          <w:i/>
          <w:vertAlign w:val="subscript"/>
          <w:lang w:val="en-US"/>
        </w:rPr>
        <w:t>F</w:t>
      </w:r>
      <w:r w:rsidRPr="00752204">
        <w:rPr>
          <w:lang w:val="en-US"/>
        </w:rPr>
        <w:t xml:space="preserve"> =Noise figure at receiver input (dB)</w:t>
      </w:r>
    </w:p>
    <w:p w14:paraId="428C7BF9" w14:textId="77777777" w:rsidR="00C723F4" w:rsidRPr="00752204" w:rsidRDefault="00C723F4" w:rsidP="0080526D">
      <w:pPr>
        <w:tabs>
          <w:tab w:val="left" w:pos="1440"/>
        </w:tabs>
        <w:spacing w:before="120" w:after="0"/>
        <w:ind w:left="2835"/>
        <w:rPr>
          <w:szCs w:val="18"/>
          <w:lang w:val="en-US"/>
        </w:rPr>
      </w:pPr>
      <w:r w:rsidRPr="00752204">
        <w:rPr>
          <w:i/>
          <w:iCs/>
          <w:szCs w:val="18"/>
          <w:lang w:val="en-US"/>
        </w:rPr>
        <w:t>I/N</w:t>
      </w:r>
      <w:r w:rsidRPr="00752204">
        <w:rPr>
          <w:szCs w:val="18"/>
          <w:lang w:val="en-US"/>
        </w:rPr>
        <w:tab/>
        <w:t>= Interference to noise ratio (assumed to be -6 dB)</w:t>
      </w:r>
    </w:p>
    <w:p w14:paraId="227CE570" w14:textId="77777777" w:rsidR="00C723F4" w:rsidRPr="00752204" w:rsidRDefault="00C723F4" w:rsidP="005F3365">
      <w:pPr>
        <w:tabs>
          <w:tab w:val="left" w:pos="1440"/>
        </w:tabs>
        <w:spacing w:before="120" w:after="0"/>
        <w:ind w:left="2880"/>
        <w:rPr>
          <w:szCs w:val="18"/>
          <w:lang w:val="en-US"/>
        </w:rPr>
      </w:pPr>
      <w:r w:rsidRPr="00752204">
        <w:rPr>
          <w:i/>
          <w:iCs/>
          <w:szCs w:val="18"/>
          <w:lang w:val="en-US"/>
        </w:rPr>
        <w:t>R</w:t>
      </w:r>
      <w:r w:rsidRPr="00752204">
        <w:rPr>
          <w:i/>
          <w:iCs/>
          <w:szCs w:val="18"/>
          <w:vertAlign w:val="subscript"/>
          <w:lang w:val="en-US"/>
        </w:rPr>
        <w:t>S</w:t>
      </w:r>
      <w:r w:rsidRPr="00752204">
        <w:rPr>
          <w:szCs w:val="18"/>
          <w:lang w:val="en-US"/>
        </w:rPr>
        <w:tab/>
      </w:r>
      <m:oMath>
        <m:r>
          <w:rPr>
            <w:rFonts w:ascii="Cambria Math" w:hAnsi="Cambria Math"/>
            <w:szCs w:val="18"/>
            <w:lang w:val="en-US"/>
          </w:rPr>
          <m:t>=</m:t>
        </m:r>
        <m:f>
          <m:fPr>
            <m:ctrlPr>
              <w:rPr>
                <w:rFonts w:ascii="Cambria Math" w:hAnsi="Cambria Math"/>
                <w:i/>
                <w:szCs w:val="18"/>
                <w:lang w:val="en-US"/>
              </w:rPr>
            </m:ctrlPr>
          </m:fPr>
          <m:num>
            <m:r>
              <w:rPr>
                <w:rFonts w:ascii="Cambria Math" w:hAnsi="Cambria Math"/>
                <w:szCs w:val="18"/>
                <w:lang w:val="en-US"/>
              </w:rPr>
              <m:t>2</m:t>
            </m:r>
            <m:sSub>
              <m:sSubPr>
                <m:ctrlPr>
                  <w:rPr>
                    <w:rFonts w:ascii="Cambria Math" w:hAnsi="Cambria Math"/>
                    <w:i/>
                    <w:szCs w:val="18"/>
                    <w:lang w:val="en-US"/>
                  </w:rPr>
                </m:ctrlPr>
              </m:sSubPr>
              <m:e>
                <m:r>
                  <w:rPr>
                    <w:rFonts w:ascii="Cambria Math" w:hAnsi="Cambria Math"/>
                    <w:szCs w:val="18"/>
                    <w:lang w:val="en-US"/>
                  </w:rPr>
                  <m:t>B</m:t>
                </m:r>
              </m:e>
              <m:sub>
                <m:r>
                  <w:rPr>
                    <w:rFonts w:ascii="Cambria Math" w:hAnsi="Cambria Math"/>
                    <w:szCs w:val="18"/>
                    <w:lang w:val="en-US"/>
                  </w:rPr>
                  <m:t>R,IF</m:t>
                </m:r>
              </m:sub>
            </m:sSub>
          </m:num>
          <m:den>
            <m:sSub>
              <m:sSubPr>
                <m:ctrlPr>
                  <w:rPr>
                    <w:rFonts w:ascii="Cambria Math" w:hAnsi="Cambria Math"/>
                    <w:i/>
                    <w:szCs w:val="18"/>
                    <w:lang w:val="en-US"/>
                  </w:rPr>
                </m:ctrlPr>
              </m:sSubPr>
              <m:e>
                <m:r>
                  <w:rPr>
                    <w:rFonts w:ascii="Cambria Math" w:hAnsi="Cambria Math"/>
                    <w:szCs w:val="18"/>
                    <w:lang w:val="en-US"/>
                  </w:rPr>
                  <m:t>B</m:t>
                </m:r>
              </m:e>
              <m:sub>
                <m:r>
                  <w:rPr>
                    <w:rFonts w:ascii="Cambria Math" w:hAnsi="Cambria Math"/>
                    <w:szCs w:val="18"/>
                    <w:lang w:val="en-US"/>
                  </w:rPr>
                  <m:t>S</m:t>
                </m:r>
              </m:sub>
            </m:sSub>
          </m:den>
        </m:f>
      </m:oMath>
    </w:p>
    <w:p w14:paraId="2C7AB555" w14:textId="5F720CCF" w:rsidR="00C723F4" w:rsidRDefault="00C723F4" w:rsidP="0080526D">
      <w:pPr>
        <w:tabs>
          <w:tab w:val="left" w:pos="1440"/>
        </w:tabs>
        <w:spacing w:before="120" w:after="0"/>
        <w:ind w:left="2835"/>
        <w:rPr>
          <w:szCs w:val="18"/>
          <w:lang w:val="en-US"/>
        </w:rPr>
      </w:pPr>
      <w:r w:rsidRPr="00752204">
        <w:rPr>
          <w:i/>
          <w:iCs/>
          <w:szCs w:val="18"/>
          <w:lang w:val="en-US"/>
        </w:rPr>
        <w:t>B</w:t>
      </w:r>
      <w:r w:rsidRPr="00752204">
        <w:rPr>
          <w:i/>
          <w:iCs/>
          <w:szCs w:val="18"/>
          <w:vertAlign w:val="subscript"/>
          <w:lang w:val="en-US"/>
        </w:rPr>
        <w:t>S</w:t>
      </w:r>
      <w:r w:rsidRPr="00752204">
        <w:rPr>
          <w:szCs w:val="18"/>
          <w:lang w:val="en-US"/>
        </w:rPr>
        <w:tab/>
        <w:t>= Chirp Bandwidth (MHz)</w:t>
      </w:r>
      <w:r w:rsidR="00FA0C9B">
        <w:rPr>
          <w:szCs w:val="18"/>
          <w:lang w:val="en-US"/>
        </w:rPr>
        <w:t xml:space="preserve"> or RF Bandwidth radar</w:t>
      </w:r>
    </w:p>
    <w:p w14:paraId="4C4F9AEF" w14:textId="77777777" w:rsidR="00C723F4" w:rsidRPr="00752204" w:rsidRDefault="00C723F4" w:rsidP="0080526D">
      <w:pPr>
        <w:spacing w:before="120" w:after="0"/>
        <w:rPr>
          <w:lang w:val="en-US"/>
        </w:rPr>
      </w:pPr>
      <w:r w:rsidRPr="00752204">
        <w:rPr>
          <w:lang w:val="en-US"/>
        </w:rPr>
        <w:t>One can note that Rs is only applicable for FMCW radio</w:t>
      </w:r>
      <w:r>
        <w:rPr>
          <w:lang w:val="en-US"/>
        </w:rPr>
        <w:t xml:space="preserve"> </w:t>
      </w:r>
      <w:r w:rsidRPr="00752204">
        <w:rPr>
          <w:lang w:val="en-US"/>
        </w:rPr>
        <w:t>altimeters.</w:t>
      </w:r>
    </w:p>
    <w:p w14:paraId="24F793AC" w14:textId="77777777" w:rsidR="00C723F4" w:rsidRPr="00752204" w:rsidRDefault="00C723F4" w:rsidP="0080526D">
      <w:pPr>
        <w:spacing w:before="120" w:after="0"/>
        <w:rPr>
          <w:lang w:val="en-US"/>
        </w:rPr>
      </w:pPr>
      <w:r w:rsidRPr="00752204">
        <w:rPr>
          <w:lang w:val="en-US"/>
        </w:rPr>
        <w:t>It has to be noted, that the interference power threshold (</w:t>
      </w:r>
      <w:proofErr w:type="gramStart"/>
      <w:r w:rsidRPr="00752204">
        <w:rPr>
          <w:i/>
          <w:iCs/>
          <w:szCs w:val="18"/>
          <w:lang w:val="en-US"/>
        </w:rPr>
        <w:t>I</w:t>
      </w:r>
      <w:r w:rsidRPr="00752204">
        <w:rPr>
          <w:i/>
          <w:iCs/>
          <w:szCs w:val="18"/>
          <w:vertAlign w:val="subscript"/>
          <w:lang w:val="en-US"/>
        </w:rPr>
        <w:t>T,RF</w:t>
      </w:r>
      <w:proofErr w:type="gramEnd"/>
      <w:r w:rsidRPr="00752204">
        <w:rPr>
          <w:lang w:val="en-US"/>
        </w:rPr>
        <w:t xml:space="preserve">) is considered within the </w:t>
      </w:r>
      <w:r>
        <w:rPr>
          <w:lang w:val="en-US"/>
        </w:rPr>
        <w:t>RF bandwidth of the received</w:t>
      </w:r>
      <w:r w:rsidRPr="00752204">
        <w:rPr>
          <w:lang w:val="en-US"/>
        </w:rPr>
        <w:t>. Therefore, to get the interference power threshold in dBm/MHz, the following formula should be applied:</w:t>
      </w:r>
    </w:p>
    <w:p w14:paraId="48E906F3" w14:textId="259874AD" w:rsidR="00C723F4" w:rsidRPr="00752204" w:rsidRDefault="00643E39" w:rsidP="0081321E">
      <w:pPr>
        <w:spacing w:before="120" w:after="0"/>
        <w:jc w:val="center"/>
        <w:rPr>
          <w:lang w:val="en-US"/>
        </w:rPr>
      </w:pPr>
      <m:oMath>
        <m:sSub>
          <m:sSubPr>
            <m:ctrlPr>
              <w:rPr>
                <w:rFonts w:ascii="Cambria Math" w:hAnsi="Cambria Math"/>
                <w:i/>
                <w:lang w:val="en-US"/>
              </w:rPr>
            </m:ctrlPr>
          </m:sSubPr>
          <m:e>
            <m:r>
              <w:rPr>
                <w:rFonts w:ascii="Cambria Math" w:hAnsi="Cambria Math"/>
                <w:lang w:val="en-US"/>
              </w:rPr>
              <m:t>I</m:t>
            </m:r>
          </m:e>
          <m:sub>
            <m:r>
              <w:rPr>
                <w:rFonts w:ascii="Cambria Math" w:hAnsi="Cambria Math"/>
                <w:lang w:val="en-US"/>
              </w:rPr>
              <m:t>T,RF</m:t>
            </m:r>
          </m:sub>
        </m:sSub>
        <m:r>
          <w:rPr>
            <w:rFonts w:ascii="Cambria Math" w:hAnsi="Cambria Math"/>
            <w:lang w:val="en-US"/>
          </w:rPr>
          <m:t>(dBm/MHz)=</m:t>
        </m:r>
        <m:sSub>
          <m:sSubPr>
            <m:ctrlPr>
              <w:rPr>
                <w:rFonts w:ascii="Cambria Math" w:hAnsi="Cambria Math"/>
                <w:i/>
                <w:lang w:val="en-US"/>
              </w:rPr>
            </m:ctrlPr>
          </m:sSubPr>
          <m:e>
            <m:r>
              <w:rPr>
                <w:rFonts w:ascii="Cambria Math" w:hAnsi="Cambria Math"/>
                <w:lang w:val="en-US"/>
              </w:rPr>
              <m:t>I</m:t>
            </m:r>
          </m:e>
          <m:sub>
            <m:r>
              <w:rPr>
                <w:rFonts w:ascii="Cambria Math" w:hAnsi="Cambria Math"/>
                <w:lang w:val="en-US"/>
              </w:rPr>
              <m:t>T,RF</m:t>
            </m:r>
          </m:sub>
        </m:sSub>
        <m:r>
          <w:rPr>
            <w:rFonts w:ascii="Cambria Math" w:hAnsi="Cambria Math"/>
            <w:lang w:val="en-US"/>
          </w:rPr>
          <m:t>(dBm/</m:t>
        </m:r>
        <m:sSub>
          <m:sSubPr>
            <m:ctrlPr>
              <w:rPr>
                <w:rFonts w:ascii="Cambria Math" w:hAnsi="Cambria Math"/>
                <w:i/>
                <w:lang w:val="en-US"/>
              </w:rPr>
            </m:ctrlPr>
          </m:sSubPr>
          <m:e>
            <m:r>
              <w:rPr>
                <w:rFonts w:ascii="Cambria Math" w:hAnsi="Cambria Math"/>
                <w:lang w:val="en-US"/>
              </w:rPr>
              <m:t>B</m:t>
            </m:r>
          </m:e>
          <m:sub>
            <m:r>
              <w:rPr>
                <w:rFonts w:ascii="Cambria Math" w:hAnsi="Cambria Math"/>
                <w:lang w:val="en-US"/>
              </w:rPr>
              <m:t>S</m:t>
            </m:r>
          </m:sub>
        </m:sSub>
        <m:r>
          <w:rPr>
            <w:rFonts w:ascii="Cambria Math" w:hAnsi="Cambria Math"/>
            <w:lang w:val="en-US"/>
          </w:rPr>
          <m:t>)-10</m:t>
        </m:r>
        <m:func>
          <m:funcPr>
            <m:ctrlPr>
              <w:rPr>
                <w:rFonts w:ascii="Cambria Math" w:hAnsi="Cambria Math"/>
                <w:i/>
                <w:lang w:val="en-US"/>
              </w:rPr>
            </m:ctrlPr>
          </m:funcPr>
          <m:fName>
            <m:sSub>
              <m:sSubPr>
                <m:ctrlPr>
                  <w:rPr>
                    <w:rFonts w:ascii="Cambria Math" w:hAnsi="Cambria Math"/>
                    <w:i/>
                    <w:lang w:val="en-US"/>
                  </w:rPr>
                </m:ctrlPr>
              </m:sSubPr>
              <m:e>
                <m:r>
                  <m:rPr>
                    <m:sty m:val="p"/>
                  </m:rPr>
                  <w:rPr>
                    <w:rFonts w:ascii="Cambria Math" w:hAnsi="Cambria Math"/>
                    <w:lang w:val="en-US"/>
                  </w:rPr>
                  <m:t>log</m:t>
                </m:r>
              </m:e>
              <m:sub>
                <m:r>
                  <w:rPr>
                    <w:rFonts w:ascii="Cambria Math" w:hAnsi="Cambria Math"/>
                    <w:lang w:val="en-US"/>
                  </w:rPr>
                  <m:t>10</m:t>
                </m:r>
              </m:sub>
            </m:sSub>
          </m:fName>
          <m:e>
            <m:sSub>
              <m:sSubPr>
                <m:ctrlPr>
                  <w:rPr>
                    <w:rFonts w:ascii="Cambria Math" w:hAnsi="Cambria Math"/>
                    <w:i/>
                    <w:lang w:val="en-US"/>
                  </w:rPr>
                </m:ctrlPr>
              </m:sSubPr>
              <m:e>
                <m:r>
                  <w:rPr>
                    <w:rFonts w:ascii="Cambria Math" w:hAnsi="Cambria Math"/>
                    <w:lang w:val="en-US"/>
                  </w:rPr>
                  <m:t>B</m:t>
                </m:r>
              </m:e>
              <m:sub>
                <m:r>
                  <w:rPr>
                    <w:rFonts w:ascii="Cambria Math" w:hAnsi="Cambria Math"/>
                    <w:lang w:val="en-US"/>
                  </w:rPr>
                  <m:t>SF</m:t>
                </m:r>
              </m:sub>
            </m:sSub>
          </m:e>
        </m:func>
        <m:r>
          <w:rPr>
            <w:rFonts w:ascii="Cambria Math" w:hAnsi="Cambria Math"/>
            <w:lang w:val="en-US"/>
          </w:rPr>
          <m:t xml:space="preserve"> </m:t>
        </m:r>
      </m:oMath>
      <w:r w:rsidR="00FA0C9B">
        <w:rPr>
          <w:lang w:val="en-US"/>
        </w:rPr>
        <w:t>.</w:t>
      </w:r>
    </w:p>
    <w:p w14:paraId="0DC08298" w14:textId="77777777" w:rsidR="00C723F4" w:rsidRPr="00752204" w:rsidRDefault="00C723F4" w:rsidP="0080526D">
      <w:pPr>
        <w:pStyle w:val="Heading2"/>
        <w:rPr>
          <w:rStyle w:val="ECCParagraph"/>
          <w:lang w:val="en-US"/>
        </w:rPr>
      </w:pPr>
      <w:r w:rsidRPr="00752204">
        <w:rPr>
          <w:rStyle w:val="ECCParagraph"/>
          <w:lang w:val="en-US"/>
        </w:rPr>
        <w:t>FalsE altitude report</w:t>
      </w:r>
    </w:p>
    <w:p w14:paraId="2D5EA735" w14:textId="77777777" w:rsidR="00C723F4" w:rsidRPr="00752204" w:rsidRDefault="00C723F4" w:rsidP="0080526D">
      <w:pPr>
        <w:spacing w:before="120" w:after="240"/>
        <w:rPr>
          <w:lang w:val="en-US"/>
        </w:rPr>
      </w:pPr>
      <w:r w:rsidRPr="00752204">
        <w:rPr>
          <w:lang w:val="en-US"/>
        </w:rPr>
        <w:t>ITU-R M.2059 defines the false altitude criteria as -143 dBm/100 Hz (or -103 dBm/MHz) for all FMCW radio altimeters as:</w:t>
      </w:r>
    </w:p>
    <w:p w14:paraId="2341799E" w14:textId="77777777" w:rsidR="00C723F4" w:rsidRPr="00752204" w:rsidRDefault="00C723F4" w:rsidP="0080526D">
      <w:pPr>
        <w:spacing w:before="120" w:after="240"/>
        <w:jc w:val="center"/>
        <w:rPr>
          <w:lang w:val="en-US" w:eastAsia="fr-FR"/>
        </w:rPr>
      </w:pPr>
      <w:r w:rsidRPr="00752204">
        <w:rPr>
          <w:noProof/>
          <w:lang w:val="fr-FR" w:eastAsia="fr-FR"/>
        </w:rPr>
        <w:drawing>
          <wp:inline distT="0" distB="0" distL="0" distR="0" wp14:anchorId="62BE4723" wp14:editId="38BBF4B7">
            <wp:extent cx="1748790" cy="407035"/>
            <wp:effectExtent l="0" t="0" r="3810" b="0"/>
            <wp:docPr id="2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748790" cy="407035"/>
                    </a:xfrm>
                    <a:prstGeom prst="rect">
                      <a:avLst/>
                    </a:prstGeom>
                    <a:noFill/>
                    <a:ln>
                      <a:noFill/>
                    </a:ln>
                  </pic:spPr>
                </pic:pic>
              </a:graphicData>
            </a:graphic>
          </wp:inline>
        </w:drawing>
      </w:r>
    </w:p>
    <w:p w14:paraId="21E36250" w14:textId="77777777" w:rsidR="00C723F4" w:rsidRPr="00752204" w:rsidRDefault="00C723F4" w:rsidP="0080526D">
      <w:pPr>
        <w:spacing w:before="120"/>
        <w:jc w:val="left"/>
        <w:rPr>
          <w:i/>
          <w:lang w:val="en-US"/>
        </w:rPr>
      </w:pPr>
      <w:r w:rsidRPr="00752204">
        <w:rPr>
          <w:i/>
          <w:lang w:val="en-US"/>
        </w:rPr>
        <w:t>Where a 100 Hz detection bandwidth is considered representative:</w:t>
      </w:r>
    </w:p>
    <w:p w14:paraId="2B3F6E95" w14:textId="77777777" w:rsidR="00C723F4" w:rsidRPr="00752204" w:rsidRDefault="00C723F4" w:rsidP="0080526D">
      <w:pPr>
        <w:numPr>
          <w:ilvl w:val="0"/>
          <w:numId w:val="14"/>
        </w:numPr>
        <w:spacing w:before="120" w:after="0"/>
        <w:jc w:val="left"/>
        <w:rPr>
          <w:i/>
          <w:lang w:val="en-US"/>
        </w:rPr>
      </w:pPr>
      <w:r w:rsidRPr="00752204">
        <w:rPr>
          <w:i/>
          <w:lang w:val="en-US"/>
        </w:rPr>
        <w:t>ID: Interference power at the detector,</w:t>
      </w:r>
    </w:p>
    <w:p w14:paraId="3B820399" w14:textId="77777777" w:rsidR="00C723F4" w:rsidRPr="00752204" w:rsidRDefault="00C723F4" w:rsidP="0080526D">
      <w:pPr>
        <w:numPr>
          <w:ilvl w:val="0"/>
          <w:numId w:val="14"/>
        </w:numPr>
        <w:spacing w:before="120" w:after="0"/>
        <w:jc w:val="left"/>
        <w:rPr>
          <w:i/>
          <w:lang w:val="en-US"/>
        </w:rPr>
      </w:pPr>
      <w:r w:rsidRPr="00752204">
        <w:rPr>
          <w:i/>
          <w:lang w:val="en-US"/>
        </w:rPr>
        <w:t>BS: Chirp bandwidth.</w:t>
      </w:r>
    </w:p>
    <w:p w14:paraId="05D0EAA3" w14:textId="77777777" w:rsidR="00C723F4" w:rsidRPr="00752204" w:rsidRDefault="00C723F4" w:rsidP="0080526D">
      <w:pPr>
        <w:spacing w:before="120"/>
        <w:jc w:val="left"/>
        <w:rPr>
          <w:i/>
          <w:lang w:val="en-US"/>
        </w:rPr>
      </w:pPr>
      <w:r w:rsidRPr="00752204">
        <w:rPr>
          <w:i/>
          <w:lang w:val="en-US"/>
        </w:rPr>
        <w:t>If the magnitude of the spectral components caused by the interference signal rises above the detection threshold of the altimeter (</w:t>
      </w:r>
      <w:proofErr w:type="gramStart"/>
      <w:r w:rsidRPr="00752204">
        <w:rPr>
          <w:i/>
          <w:lang w:val="en-US"/>
        </w:rPr>
        <w:t>IT,FA</w:t>
      </w:r>
      <w:proofErr w:type="gramEnd"/>
      <w:r w:rsidRPr="00752204">
        <w:rPr>
          <w:i/>
          <w:lang w:val="en-US"/>
        </w:rPr>
        <w:t xml:space="preserve">), then they may falsely be regarded as valid altitudes by the altimeter and there will be no means to exclude them from the altitude calculation. In practice, ID (the interference power at the detector) would cause false target spectral components within the FMCW receiver signal processing chain if it exceeds the protection threshold </w:t>
      </w:r>
      <w:proofErr w:type="gramStart"/>
      <w:r w:rsidRPr="00752204">
        <w:rPr>
          <w:i/>
          <w:lang w:val="en-US"/>
        </w:rPr>
        <w:t>IT,FA</w:t>
      </w:r>
      <w:proofErr w:type="gramEnd"/>
      <w:r w:rsidRPr="00752204">
        <w:rPr>
          <w:i/>
          <w:lang w:val="en-US"/>
        </w:rPr>
        <w:t>.</w:t>
      </w:r>
    </w:p>
    <w:p w14:paraId="3AC631D4" w14:textId="77777777" w:rsidR="00C723F4" w:rsidRPr="00752204" w:rsidRDefault="00C723F4" w:rsidP="0080526D">
      <w:pPr>
        <w:spacing w:before="120" w:after="120"/>
        <w:jc w:val="left"/>
        <w:rPr>
          <w:i/>
          <w:lang w:val="en-US"/>
        </w:rPr>
      </w:pPr>
      <w:proofErr w:type="gramStart"/>
      <w:r w:rsidRPr="00752204">
        <w:rPr>
          <w:i/>
          <w:lang w:val="en-US"/>
        </w:rPr>
        <w:t>IT,FA</w:t>
      </w:r>
      <w:proofErr w:type="gramEnd"/>
      <w:r w:rsidRPr="00752204">
        <w:rPr>
          <w:i/>
          <w:lang w:val="en-US"/>
        </w:rPr>
        <w:t xml:space="preserve"> = –143 dBm considering 100 Hz detector bandwidth following the instantaneous altimeter LO frequency.</w:t>
      </w:r>
    </w:p>
    <w:p w14:paraId="607257D9" w14:textId="77777777" w:rsidR="00C723F4" w:rsidRPr="00752204" w:rsidRDefault="00C723F4" w:rsidP="0080526D">
      <w:pPr>
        <w:pStyle w:val="Heading2"/>
        <w:rPr>
          <w:rStyle w:val="ECCParagraph"/>
          <w:lang w:val="en-US"/>
        </w:rPr>
      </w:pPr>
      <w:r w:rsidRPr="00752204">
        <w:rPr>
          <w:rStyle w:val="ECCParagraph"/>
          <w:lang w:val="en-US"/>
        </w:rPr>
        <w:lastRenderedPageBreak/>
        <w:t>Application of ITU-R M.2059 for the interference threshold</w:t>
      </w:r>
    </w:p>
    <w:tbl>
      <w:tblPr>
        <w:tblW w:w="0" w:type="auto"/>
        <w:tblInd w:w="55" w:type="dxa"/>
        <w:tblCellMar>
          <w:left w:w="70" w:type="dxa"/>
          <w:right w:w="70" w:type="dxa"/>
        </w:tblCellMar>
        <w:tblLook w:val="04A0" w:firstRow="1" w:lastRow="0" w:firstColumn="1" w:lastColumn="0" w:noHBand="0" w:noVBand="1"/>
      </w:tblPr>
      <w:tblGrid>
        <w:gridCol w:w="1560"/>
        <w:gridCol w:w="1194"/>
        <w:gridCol w:w="697"/>
        <w:gridCol w:w="697"/>
        <w:gridCol w:w="697"/>
        <w:gridCol w:w="697"/>
        <w:gridCol w:w="697"/>
        <w:gridCol w:w="697"/>
        <w:gridCol w:w="697"/>
        <w:gridCol w:w="697"/>
        <w:gridCol w:w="697"/>
        <w:gridCol w:w="697"/>
      </w:tblGrid>
      <w:tr w:rsidR="00C723F4" w:rsidRPr="00752204" w14:paraId="7770B051" w14:textId="77777777" w:rsidTr="00783DAF">
        <w:trPr>
          <w:trHeight w:val="1044"/>
        </w:trPr>
        <w:tc>
          <w:tcPr>
            <w:tcW w:w="0" w:type="auto"/>
            <w:gridSpan w:val="2"/>
            <w:tcBorders>
              <w:top w:val="single" w:sz="8" w:space="0" w:color="auto"/>
              <w:left w:val="single" w:sz="8" w:space="0" w:color="auto"/>
              <w:bottom w:val="single" w:sz="8" w:space="0" w:color="auto"/>
              <w:right w:val="nil"/>
            </w:tcBorders>
            <w:shd w:val="clear" w:color="000000" w:fill="auto"/>
            <w:vAlign w:val="center"/>
            <w:hideMark/>
          </w:tcPr>
          <w:p w14:paraId="1DA104C3" w14:textId="77777777" w:rsidR="00C723F4" w:rsidRPr="00752204" w:rsidRDefault="00C723F4" w:rsidP="00783DAF">
            <w:pPr>
              <w:spacing w:before="0" w:after="0"/>
              <w:jc w:val="center"/>
              <w:rPr>
                <w:rFonts w:ascii="Calibri" w:eastAsia="Times New Roman" w:hAnsi="Calibri" w:cs="Calibri"/>
                <w:color w:val="000000"/>
                <w:sz w:val="40"/>
                <w:szCs w:val="40"/>
                <w:lang w:val="en-US" w:eastAsia="fr-FR"/>
              </w:rPr>
            </w:pPr>
            <w:r w:rsidRPr="00752204">
              <w:rPr>
                <w:rFonts w:ascii="Calibri" w:eastAsia="Times New Roman" w:hAnsi="Calibri" w:cs="Calibri"/>
                <w:color w:val="000000"/>
                <w:sz w:val="40"/>
                <w:szCs w:val="40"/>
                <w:lang w:val="en-US" w:eastAsia="fr-FR"/>
              </w:rPr>
              <w:t xml:space="preserve">Type of </w:t>
            </w:r>
            <w:r>
              <w:rPr>
                <w:rFonts w:ascii="Calibri" w:eastAsia="Times New Roman" w:hAnsi="Calibri" w:cs="Calibri"/>
                <w:color w:val="000000"/>
                <w:sz w:val="40"/>
                <w:szCs w:val="40"/>
                <w:lang w:val="en-US" w:eastAsia="fr-FR"/>
              </w:rPr>
              <w:t>r</w:t>
            </w:r>
            <w:r w:rsidRPr="00752204">
              <w:rPr>
                <w:rFonts w:ascii="Calibri" w:eastAsia="Times New Roman" w:hAnsi="Calibri" w:cs="Calibri"/>
                <w:color w:val="000000"/>
                <w:sz w:val="40"/>
                <w:szCs w:val="40"/>
                <w:lang w:val="en-US" w:eastAsia="fr-FR"/>
              </w:rPr>
              <w:t>adio</w:t>
            </w:r>
            <w:r>
              <w:rPr>
                <w:rFonts w:ascii="Calibri" w:eastAsia="Times New Roman" w:hAnsi="Calibri" w:cs="Calibri"/>
                <w:color w:val="000000"/>
                <w:sz w:val="40"/>
                <w:szCs w:val="40"/>
                <w:lang w:val="en-US" w:eastAsia="fr-FR"/>
              </w:rPr>
              <w:t xml:space="preserve"> </w:t>
            </w:r>
            <w:r w:rsidRPr="00752204">
              <w:rPr>
                <w:rFonts w:ascii="Calibri" w:eastAsia="Times New Roman" w:hAnsi="Calibri" w:cs="Calibri"/>
                <w:color w:val="000000"/>
                <w:sz w:val="40"/>
                <w:szCs w:val="40"/>
                <w:lang w:val="en-US" w:eastAsia="fr-FR"/>
              </w:rPr>
              <w:t>altimeter</w:t>
            </w:r>
          </w:p>
        </w:tc>
        <w:tc>
          <w:tcPr>
            <w:tcW w:w="0" w:type="auto"/>
            <w:tcBorders>
              <w:top w:val="single" w:sz="8" w:space="0" w:color="auto"/>
              <w:left w:val="single" w:sz="8" w:space="0" w:color="auto"/>
              <w:bottom w:val="single" w:sz="8" w:space="0" w:color="auto"/>
              <w:right w:val="nil"/>
            </w:tcBorders>
            <w:shd w:val="clear" w:color="000000" w:fill="auto"/>
            <w:vAlign w:val="center"/>
            <w:hideMark/>
          </w:tcPr>
          <w:p w14:paraId="45407A04" w14:textId="77777777" w:rsidR="00C723F4" w:rsidRPr="00752204" w:rsidRDefault="00C723F4" w:rsidP="00783DAF">
            <w:pPr>
              <w:spacing w:before="0" w:after="0"/>
              <w:jc w:val="center"/>
              <w:rPr>
                <w:rFonts w:ascii="Calibri" w:eastAsia="Times New Roman" w:hAnsi="Calibri" w:cs="Calibri"/>
                <w:color w:val="000000"/>
                <w:sz w:val="40"/>
                <w:szCs w:val="40"/>
                <w:lang w:val="en-US" w:eastAsia="fr-FR"/>
              </w:rPr>
            </w:pPr>
            <w:r w:rsidRPr="00752204">
              <w:rPr>
                <w:rFonts w:ascii="Calibri" w:eastAsia="Times New Roman" w:hAnsi="Calibri" w:cs="Calibri"/>
                <w:color w:val="000000"/>
                <w:sz w:val="40"/>
                <w:szCs w:val="40"/>
                <w:lang w:val="en-US" w:eastAsia="fr-FR"/>
              </w:rPr>
              <w:t>A1</w:t>
            </w:r>
          </w:p>
        </w:tc>
        <w:tc>
          <w:tcPr>
            <w:tcW w:w="0" w:type="auto"/>
            <w:tcBorders>
              <w:top w:val="single" w:sz="8" w:space="0" w:color="auto"/>
              <w:left w:val="single" w:sz="8" w:space="0" w:color="auto"/>
              <w:bottom w:val="single" w:sz="8" w:space="0" w:color="auto"/>
              <w:right w:val="nil"/>
            </w:tcBorders>
            <w:shd w:val="clear" w:color="000000" w:fill="auto"/>
            <w:vAlign w:val="center"/>
            <w:hideMark/>
          </w:tcPr>
          <w:p w14:paraId="5595C8BD" w14:textId="77777777" w:rsidR="00C723F4" w:rsidRPr="00752204" w:rsidRDefault="00C723F4" w:rsidP="00783DAF">
            <w:pPr>
              <w:spacing w:before="0" w:after="0"/>
              <w:jc w:val="center"/>
              <w:rPr>
                <w:rFonts w:ascii="Calibri" w:eastAsia="Times New Roman" w:hAnsi="Calibri" w:cs="Calibri"/>
                <w:color w:val="000000"/>
                <w:sz w:val="40"/>
                <w:szCs w:val="40"/>
                <w:lang w:val="en-US" w:eastAsia="fr-FR"/>
              </w:rPr>
            </w:pPr>
            <w:r w:rsidRPr="00752204">
              <w:rPr>
                <w:rFonts w:ascii="Calibri" w:eastAsia="Times New Roman" w:hAnsi="Calibri" w:cs="Calibri"/>
                <w:color w:val="000000"/>
                <w:sz w:val="40"/>
                <w:szCs w:val="40"/>
                <w:lang w:val="en-US" w:eastAsia="fr-FR"/>
              </w:rPr>
              <w:t>A2</w:t>
            </w:r>
          </w:p>
        </w:tc>
        <w:tc>
          <w:tcPr>
            <w:tcW w:w="0" w:type="auto"/>
            <w:tcBorders>
              <w:top w:val="single" w:sz="8" w:space="0" w:color="auto"/>
              <w:left w:val="single" w:sz="8" w:space="0" w:color="auto"/>
              <w:bottom w:val="single" w:sz="8" w:space="0" w:color="auto"/>
              <w:right w:val="nil"/>
            </w:tcBorders>
            <w:shd w:val="clear" w:color="000000" w:fill="auto"/>
            <w:vAlign w:val="center"/>
            <w:hideMark/>
          </w:tcPr>
          <w:p w14:paraId="6E42D9F7" w14:textId="77777777" w:rsidR="00C723F4" w:rsidRPr="00752204" w:rsidRDefault="00C723F4" w:rsidP="00783DAF">
            <w:pPr>
              <w:spacing w:before="0" w:after="0"/>
              <w:jc w:val="center"/>
              <w:rPr>
                <w:rFonts w:ascii="Calibri" w:eastAsia="Times New Roman" w:hAnsi="Calibri" w:cs="Calibri"/>
                <w:color w:val="000000"/>
                <w:sz w:val="40"/>
                <w:szCs w:val="40"/>
                <w:lang w:val="en-US" w:eastAsia="fr-FR"/>
              </w:rPr>
            </w:pPr>
            <w:r w:rsidRPr="00752204">
              <w:rPr>
                <w:rFonts w:ascii="Calibri" w:eastAsia="Times New Roman" w:hAnsi="Calibri" w:cs="Calibri"/>
                <w:color w:val="000000"/>
                <w:sz w:val="40"/>
                <w:szCs w:val="40"/>
                <w:lang w:val="en-US" w:eastAsia="fr-FR"/>
              </w:rPr>
              <w:t>A3</w:t>
            </w:r>
          </w:p>
        </w:tc>
        <w:tc>
          <w:tcPr>
            <w:tcW w:w="0" w:type="auto"/>
            <w:tcBorders>
              <w:top w:val="single" w:sz="8" w:space="0" w:color="auto"/>
              <w:left w:val="single" w:sz="8" w:space="0" w:color="auto"/>
              <w:bottom w:val="single" w:sz="8" w:space="0" w:color="auto"/>
              <w:right w:val="nil"/>
            </w:tcBorders>
            <w:shd w:val="clear" w:color="000000" w:fill="auto"/>
            <w:vAlign w:val="center"/>
            <w:hideMark/>
          </w:tcPr>
          <w:p w14:paraId="15B0DABC" w14:textId="77777777" w:rsidR="00C723F4" w:rsidRPr="00752204" w:rsidRDefault="00C723F4" w:rsidP="00783DAF">
            <w:pPr>
              <w:spacing w:before="0" w:after="0"/>
              <w:jc w:val="center"/>
              <w:rPr>
                <w:rFonts w:ascii="Calibri" w:eastAsia="Times New Roman" w:hAnsi="Calibri" w:cs="Calibri"/>
                <w:color w:val="000000"/>
                <w:sz w:val="40"/>
                <w:szCs w:val="40"/>
                <w:lang w:val="en-US" w:eastAsia="fr-FR"/>
              </w:rPr>
            </w:pPr>
            <w:r w:rsidRPr="00752204">
              <w:rPr>
                <w:rFonts w:ascii="Calibri" w:eastAsia="Times New Roman" w:hAnsi="Calibri" w:cs="Calibri"/>
                <w:color w:val="000000"/>
                <w:sz w:val="40"/>
                <w:szCs w:val="40"/>
                <w:lang w:val="en-US" w:eastAsia="fr-FR"/>
              </w:rPr>
              <w:t>A4</w:t>
            </w:r>
          </w:p>
        </w:tc>
        <w:tc>
          <w:tcPr>
            <w:tcW w:w="0" w:type="auto"/>
            <w:tcBorders>
              <w:top w:val="single" w:sz="8" w:space="0" w:color="auto"/>
              <w:left w:val="single" w:sz="8" w:space="0" w:color="auto"/>
              <w:bottom w:val="single" w:sz="8" w:space="0" w:color="auto"/>
              <w:right w:val="nil"/>
            </w:tcBorders>
            <w:shd w:val="clear" w:color="000000" w:fill="auto"/>
            <w:vAlign w:val="center"/>
            <w:hideMark/>
          </w:tcPr>
          <w:p w14:paraId="3CC41778" w14:textId="77777777" w:rsidR="00C723F4" w:rsidRPr="00752204" w:rsidRDefault="00C723F4" w:rsidP="00783DAF">
            <w:pPr>
              <w:spacing w:before="0" w:after="0"/>
              <w:jc w:val="center"/>
              <w:rPr>
                <w:rFonts w:ascii="Calibri" w:eastAsia="Times New Roman" w:hAnsi="Calibri" w:cs="Calibri"/>
                <w:color w:val="000000"/>
                <w:sz w:val="40"/>
                <w:szCs w:val="40"/>
                <w:lang w:val="en-US" w:eastAsia="fr-FR"/>
              </w:rPr>
            </w:pPr>
            <w:r w:rsidRPr="00752204">
              <w:rPr>
                <w:rFonts w:ascii="Calibri" w:eastAsia="Times New Roman" w:hAnsi="Calibri" w:cs="Calibri"/>
                <w:color w:val="000000"/>
                <w:sz w:val="40"/>
                <w:szCs w:val="40"/>
                <w:lang w:val="en-US" w:eastAsia="fr-FR"/>
              </w:rPr>
              <w:t>A5</w:t>
            </w:r>
          </w:p>
        </w:tc>
        <w:tc>
          <w:tcPr>
            <w:tcW w:w="0" w:type="auto"/>
            <w:tcBorders>
              <w:top w:val="single" w:sz="8" w:space="0" w:color="auto"/>
              <w:left w:val="single" w:sz="8" w:space="0" w:color="auto"/>
              <w:bottom w:val="single" w:sz="8" w:space="0" w:color="auto"/>
              <w:right w:val="nil"/>
            </w:tcBorders>
            <w:shd w:val="clear" w:color="000000" w:fill="auto"/>
            <w:vAlign w:val="center"/>
            <w:hideMark/>
          </w:tcPr>
          <w:p w14:paraId="49C520C6" w14:textId="77777777" w:rsidR="00C723F4" w:rsidRPr="00752204" w:rsidRDefault="00C723F4" w:rsidP="00783DAF">
            <w:pPr>
              <w:spacing w:before="0" w:after="0"/>
              <w:jc w:val="center"/>
              <w:rPr>
                <w:rFonts w:ascii="Calibri" w:eastAsia="Times New Roman" w:hAnsi="Calibri" w:cs="Calibri"/>
                <w:color w:val="000000"/>
                <w:sz w:val="40"/>
                <w:szCs w:val="40"/>
                <w:lang w:val="en-US" w:eastAsia="fr-FR"/>
              </w:rPr>
            </w:pPr>
            <w:r w:rsidRPr="00752204">
              <w:rPr>
                <w:rFonts w:ascii="Calibri" w:eastAsia="Times New Roman" w:hAnsi="Calibri" w:cs="Calibri"/>
                <w:color w:val="000000"/>
                <w:sz w:val="40"/>
                <w:szCs w:val="40"/>
                <w:lang w:val="en-US" w:eastAsia="fr-FR"/>
              </w:rPr>
              <w:t>A6</w:t>
            </w:r>
          </w:p>
        </w:tc>
        <w:tc>
          <w:tcPr>
            <w:tcW w:w="0" w:type="auto"/>
            <w:tcBorders>
              <w:top w:val="single" w:sz="8" w:space="0" w:color="auto"/>
              <w:left w:val="single" w:sz="8" w:space="0" w:color="auto"/>
              <w:bottom w:val="single" w:sz="8" w:space="0" w:color="auto"/>
              <w:right w:val="nil"/>
            </w:tcBorders>
            <w:shd w:val="clear" w:color="000000" w:fill="auto"/>
            <w:vAlign w:val="center"/>
            <w:hideMark/>
          </w:tcPr>
          <w:p w14:paraId="2A871F07" w14:textId="77777777" w:rsidR="00C723F4" w:rsidRPr="00752204" w:rsidRDefault="00C723F4" w:rsidP="00783DAF">
            <w:pPr>
              <w:spacing w:before="0" w:after="0"/>
              <w:jc w:val="center"/>
              <w:rPr>
                <w:rFonts w:ascii="Calibri" w:eastAsia="Times New Roman" w:hAnsi="Calibri" w:cs="Calibri"/>
                <w:color w:val="000000"/>
                <w:sz w:val="40"/>
                <w:szCs w:val="40"/>
                <w:lang w:val="en-US" w:eastAsia="fr-FR"/>
              </w:rPr>
            </w:pPr>
            <w:r w:rsidRPr="00752204">
              <w:rPr>
                <w:rFonts w:ascii="Calibri" w:eastAsia="Times New Roman" w:hAnsi="Calibri" w:cs="Calibri"/>
                <w:color w:val="000000"/>
                <w:sz w:val="40"/>
                <w:szCs w:val="40"/>
                <w:lang w:val="en-US" w:eastAsia="fr-FR"/>
              </w:rPr>
              <w:t>D1</w:t>
            </w:r>
          </w:p>
        </w:tc>
        <w:tc>
          <w:tcPr>
            <w:tcW w:w="0" w:type="auto"/>
            <w:tcBorders>
              <w:top w:val="single" w:sz="8" w:space="0" w:color="auto"/>
              <w:left w:val="single" w:sz="8" w:space="0" w:color="auto"/>
              <w:bottom w:val="single" w:sz="8" w:space="0" w:color="auto"/>
              <w:right w:val="nil"/>
            </w:tcBorders>
            <w:shd w:val="clear" w:color="000000" w:fill="auto"/>
            <w:vAlign w:val="center"/>
            <w:hideMark/>
          </w:tcPr>
          <w:p w14:paraId="1CBE13E1" w14:textId="77777777" w:rsidR="00C723F4" w:rsidRPr="00752204" w:rsidRDefault="00C723F4" w:rsidP="00783DAF">
            <w:pPr>
              <w:spacing w:before="0" w:after="0"/>
              <w:jc w:val="center"/>
              <w:rPr>
                <w:rFonts w:ascii="Calibri" w:eastAsia="Times New Roman" w:hAnsi="Calibri" w:cs="Calibri"/>
                <w:color w:val="000000"/>
                <w:sz w:val="40"/>
                <w:szCs w:val="40"/>
                <w:lang w:val="en-US" w:eastAsia="fr-FR"/>
              </w:rPr>
            </w:pPr>
            <w:r w:rsidRPr="00752204">
              <w:rPr>
                <w:rFonts w:ascii="Calibri" w:eastAsia="Times New Roman" w:hAnsi="Calibri" w:cs="Calibri"/>
                <w:color w:val="000000"/>
                <w:sz w:val="40"/>
                <w:szCs w:val="40"/>
                <w:lang w:val="en-US" w:eastAsia="fr-FR"/>
              </w:rPr>
              <w:t>D2</w:t>
            </w:r>
          </w:p>
        </w:tc>
        <w:tc>
          <w:tcPr>
            <w:tcW w:w="0" w:type="auto"/>
            <w:tcBorders>
              <w:top w:val="single" w:sz="8" w:space="0" w:color="auto"/>
              <w:left w:val="single" w:sz="8" w:space="0" w:color="auto"/>
              <w:bottom w:val="single" w:sz="8" w:space="0" w:color="auto"/>
              <w:right w:val="nil"/>
            </w:tcBorders>
            <w:shd w:val="clear" w:color="000000" w:fill="auto"/>
            <w:vAlign w:val="center"/>
            <w:hideMark/>
          </w:tcPr>
          <w:p w14:paraId="430D6B64" w14:textId="77777777" w:rsidR="00C723F4" w:rsidRPr="00752204" w:rsidRDefault="00C723F4" w:rsidP="00783DAF">
            <w:pPr>
              <w:spacing w:before="0" w:after="0"/>
              <w:jc w:val="center"/>
              <w:rPr>
                <w:rFonts w:ascii="Calibri" w:eastAsia="Times New Roman" w:hAnsi="Calibri" w:cs="Calibri"/>
                <w:color w:val="000000"/>
                <w:sz w:val="40"/>
                <w:szCs w:val="40"/>
                <w:lang w:val="en-US" w:eastAsia="fr-FR"/>
              </w:rPr>
            </w:pPr>
            <w:r w:rsidRPr="00752204">
              <w:rPr>
                <w:rFonts w:ascii="Calibri" w:eastAsia="Times New Roman" w:hAnsi="Calibri" w:cs="Calibri"/>
                <w:color w:val="000000"/>
                <w:sz w:val="40"/>
                <w:szCs w:val="40"/>
                <w:lang w:val="en-US" w:eastAsia="fr-FR"/>
              </w:rPr>
              <w:t>D3</w:t>
            </w:r>
          </w:p>
        </w:tc>
        <w:tc>
          <w:tcPr>
            <w:tcW w:w="0" w:type="auto"/>
            <w:tcBorders>
              <w:top w:val="single" w:sz="8" w:space="0" w:color="auto"/>
              <w:left w:val="single" w:sz="8" w:space="0" w:color="auto"/>
              <w:bottom w:val="single" w:sz="8" w:space="0" w:color="auto"/>
              <w:right w:val="single" w:sz="8" w:space="0" w:color="auto"/>
            </w:tcBorders>
            <w:shd w:val="clear" w:color="000000" w:fill="auto"/>
            <w:vAlign w:val="center"/>
            <w:hideMark/>
          </w:tcPr>
          <w:p w14:paraId="74DDAE32" w14:textId="77777777" w:rsidR="00C723F4" w:rsidRPr="00752204" w:rsidRDefault="00C723F4" w:rsidP="00783DAF">
            <w:pPr>
              <w:spacing w:before="0" w:after="0"/>
              <w:jc w:val="center"/>
              <w:rPr>
                <w:rFonts w:ascii="Calibri" w:eastAsia="Times New Roman" w:hAnsi="Calibri" w:cs="Calibri"/>
                <w:color w:val="000000"/>
                <w:sz w:val="40"/>
                <w:szCs w:val="40"/>
                <w:lang w:val="en-US" w:eastAsia="fr-FR"/>
              </w:rPr>
            </w:pPr>
            <w:r w:rsidRPr="00752204">
              <w:rPr>
                <w:rFonts w:ascii="Calibri" w:eastAsia="Times New Roman" w:hAnsi="Calibri" w:cs="Calibri"/>
                <w:color w:val="000000"/>
                <w:sz w:val="40"/>
                <w:szCs w:val="40"/>
                <w:lang w:val="en-US" w:eastAsia="fr-FR"/>
              </w:rPr>
              <w:t>D4</w:t>
            </w:r>
          </w:p>
        </w:tc>
      </w:tr>
      <w:tr w:rsidR="00C723F4" w:rsidRPr="00752204" w14:paraId="58897B5C" w14:textId="77777777" w:rsidTr="00783DAF">
        <w:trPr>
          <w:trHeight w:val="288"/>
        </w:trPr>
        <w:tc>
          <w:tcPr>
            <w:tcW w:w="0" w:type="auto"/>
            <w:gridSpan w:val="2"/>
            <w:tcBorders>
              <w:top w:val="single" w:sz="8" w:space="0" w:color="auto"/>
              <w:left w:val="single" w:sz="8" w:space="0" w:color="auto"/>
              <w:bottom w:val="single" w:sz="4" w:space="0" w:color="auto"/>
              <w:right w:val="single" w:sz="8" w:space="0" w:color="auto"/>
            </w:tcBorders>
            <w:shd w:val="clear" w:color="000000" w:fill="auto"/>
            <w:vAlign w:val="center"/>
            <w:hideMark/>
          </w:tcPr>
          <w:p w14:paraId="392912E1" w14:textId="77777777" w:rsidR="00C723F4" w:rsidRPr="00752204" w:rsidRDefault="00C723F4" w:rsidP="00783DAF">
            <w:pPr>
              <w:spacing w:before="0" w:after="0"/>
              <w:jc w:val="center"/>
              <w:rPr>
                <w:rFonts w:ascii="Calibri" w:eastAsia="Times New Roman" w:hAnsi="Calibri" w:cs="Calibri"/>
                <w:color w:val="000000"/>
                <w:sz w:val="22"/>
                <w:lang w:val="en-US" w:eastAsia="fr-FR"/>
              </w:rPr>
            </w:pPr>
            <w:r w:rsidRPr="00752204">
              <w:rPr>
                <w:rFonts w:ascii="Calibri" w:eastAsia="Times New Roman" w:hAnsi="Calibri" w:cs="Calibri"/>
                <w:color w:val="000000"/>
                <w:sz w:val="22"/>
                <w:lang w:val="en-US" w:eastAsia="fr-FR"/>
              </w:rPr>
              <w:t>Antenna Gain (</w:t>
            </w:r>
            <w:proofErr w:type="spellStart"/>
            <w:r w:rsidRPr="00752204">
              <w:rPr>
                <w:rFonts w:ascii="Calibri" w:eastAsia="Times New Roman" w:hAnsi="Calibri" w:cs="Calibri"/>
                <w:color w:val="000000"/>
                <w:sz w:val="22"/>
                <w:lang w:val="en-US" w:eastAsia="fr-FR"/>
              </w:rPr>
              <w:t>dBi</w:t>
            </w:r>
            <w:proofErr w:type="spellEnd"/>
            <w:r w:rsidRPr="00752204">
              <w:rPr>
                <w:rFonts w:ascii="Calibri" w:eastAsia="Times New Roman" w:hAnsi="Calibri" w:cs="Calibri"/>
                <w:color w:val="000000"/>
                <w:sz w:val="22"/>
                <w:lang w:val="en-US" w:eastAsia="fr-FR"/>
              </w:rPr>
              <w:t>)</w:t>
            </w:r>
          </w:p>
        </w:tc>
        <w:tc>
          <w:tcPr>
            <w:tcW w:w="0" w:type="auto"/>
            <w:tcBorders>
              <w:top w:val="single" w:sz="8" w:space="0" w:color="auto"/>
              <w:left w:val="nil"/>
              <w:bottom w:val="single" w:sz="4" w:space="0" w:color="auto"/>
              <w:right w:val="single" w:sz="8" w:space="0" w:color="auto"/>
            </w:tcBorders>
            <w:shd w:val="clear" w:color="auto" w:fill="auto"/>
            <w:noWrap/>
            <w:vAlign w:val="center"/>
            <w:hideMark/>
          </w:tcPr>
          <w:p w14:paraId="77C61A86" w14:textId="77777777" w:rsidR="00C723F4" w:rsidRPr="00752204" w:rsidRDefault="00C723F4" w:rsidP="00783DAF">
            <w:pPr>
              <w:spacing w:before="0" w:after="0"/>
              <w:jc w:val="center"/>
              <w:rPr>
                <w:rFonts w:ascii="Calibri" w:eastAsia="Times New Roman" w:hAnsi="Calibri" w:cs="Calibri"/>
                <w:color w:val="000000"/>
                <w:sz w:val="18"/>
                <w:lang w:val="en-US" w:eastAsia="fr-FR"/>
              </w:rPr>
            </w:pPr>
            <w:bookmarkStart w:id="0" w:name="RANGE!B11"/>
            <w:r w:rsidRPr="00752204">
              <w:rPr>
                <w:rFonts w:ascii="Calibri" w:eastAsia="Times New Roman" w:hAnsi="Calibri" w:cs="Calibri"/>
                <w:color w:val="000000"/>
                <w:sz w:val="18"/>
                <w:lang w:val="en-US" w:eastAsia="fr-FR"/>
              </w:rPr>
              <w:t>10</w:t>
            </w:r>
            <w:bookmarkEnd w:id="0"/>
          </w:p>
        </w:tc>
        <w:tc>
          <w:tcPr>
            <w:tcW w:w="0" w:type="auto"/>
            <w:tcBorders>
              <w:top w:val="single" w:sz="8" w:space="0" w:color="auto"/>
              <w:left w:val="nil"/>
              <w:bottom w:val="single" w:sz="4" w:space="0" w:color="auto"/>
              <w:right w:val="single" w:sz="8" w:space="0" w:color="auto"/>
            </w:tcBorders>
            <w:shd w:val="clear" w:color="auto" w:fill="auto"/>
            <w:noWrap/>
            <w:vAlign w:val="center"/>
            <w:hideMark/>
          </w:tcPr>
          <w:p w14:paraId="05F49040" w14:textId="77777777" w:rsidR="00C723F4" w:rsidRPr="00752204" w:rsidRDefault="00C723F4" w:rsidP="00783DAF">
            <w:pPr>
              <w:spacing w:before="0" w:after="0"/>
              <w:jc w:val="center"/>
              <w:rPr>
                <w:rFonts w:ascii="Calibri" w:eastAsia="Times New Roman" w:hAnsi="Calibri" w:cs="Calibri"/>
                <w:color w:val="000000"/>
                <w:sz w:val="18"/>
                <w:lang w:val="en-US" w:eastAsia="fr-FR"/>
              </w:rPr>
            </w:pPr>
            <w:bookmarkStart w:id="1" w:name="RANGE!C11"/>
            <w:r w:rsidRPr="00752204">
              <w:rPr>
                <w:rFonts w:ascii="Calibri" w:eastAsia="Times New Roman" w:hAnsi="Calibri" w:cs="Calibri"/>
                <w:color w:val="000000"/>
                <w:sz w:val="18"/>
                <w:lang w:val="en-US" w:eastAsia="fr-FR"/>
              </w:rPr>
              <w:t>10</w:t>
            </w:r>
            <w:bookmarkEnd w:id="1"/>
          </w:p>
        </w:tc>
        <w:tc>
          <w:tcPr>
            <w:tcW w:w="0" w:type="auto"/>
            <w:tcBorders>
              <w:top w:val="single" w:sz="8" w:space="0" w:color="auto"/>
              <w:left w:val="nil"/>
              <w:bottom w:val="single" w:sz="4" w:space="0" w:color="auto"/>
              <w:right w:val="single" w:sz="8" w:space="0" w:color="auto"/>
            </w:tcBorders>
            <w:shd w:val="clear" w:color="auto" w:fill="auto"/>
            <w:noWrap/>
            <w:vAlign w:val="center"/>
            <w:hideMark/>
          </w:tcPr>
          <w:p w14:paraId="124EAD9C" w14:textId="77777777" w:rsidR="00C723F4" w:rsidRPr="00752204" w:rsidRDefault="00C723F4" w:rsidP="00783DAF">
            <w:pPr>
              <w:spacing w:before="0" w:after="0"/>
              <w:jc w:val="center"/>
              <w:rPr>
                <w:rFonts w:ascii="Calibri" w:eastAsia="Times New Roman" w:hAnsi="Calibri" w:cs="Calibri"/>
                <w:color w:val="000000"/>
                <w:sz w:val="18"/>
                <w:lang w:val="en-US" w:eastAsia="fr-FR"/>
              </w:rPr>
            </w:pPr>
            <w:bookmarkStart w:id="2" w:name="RANGE!D11"/>
            <w:r w:rsidRPr="00752204">
              <w:rPr>
                <w:rFonts w:ascii="Calibri" w:eastAsia="Times New Roman" w:hAnsi="Calibri" w:cs="Calibri"/>
                <w:color w:val="000000"/>
                <w:sz w:val="18"/>
                <w:lang w:val="en-US" w:eastAsia="fr-FR"/>
              </w:rPr>
              <w:t>10</w:t>
            </w:r>
            <w:bookmarkEnd w:id="2"/>
          </w:p>
        </w:tc>
        <w:tc>
          <w:tcPr>
            <w:tcW w:w="0" w:type="auto"/>
            <w:tcBorders>
              <w:top w:val="single" w:sz="8" w:space="0" w:color="auto"/>
              <w:left w:val="nil"/>
              <w:bottom w:val="single" w:sz="4" w:space="0" w:color="auto"/>
              <w:right w:val="single" w:sz="8" w:space="0" w:color="auto"/>
            </w:tcBorders>
            <w:shd w:val="clear" w:color="auto" w:fill="auto"/>
            <w:noWrap/>
            <w:vAlign w:val="center"/>
            <w:hideMark/>
          </w:tcPr>
          <w:p w14:paraId="6F6702A6" w14:textId="77777777" w:rsidR="00C723F4" w:rsidRPr="00752204" w:rsidRDefault="00C723F4" w:rsidP="00783DAF">
            <w:pPr>
              <w:spacing w:before="0" w:after="0"/>
              <w:jc w:val="center"/>
              <w:rPr>
                <w:rFonts w:ascii="Calibri" w:eastAsia="Times New Roman" w:hAnsi="Calibri" w:cs="Calibri"/>
                <w:color w:val="000000"/>
                <w:sz w:val="18"/>
                <w:lang w:val="en-US" w:eastAsia="fr-FR"/>
              </w:rPr>
            </w:pPr>
            <w:bookmarkStart w:id="3" w:name="RANGE!E11"/>
            <w:r w:rsidRPr="00752204">
              <w:rPr>
                <w:rFonts w:ascii="Calibri" w:eastAsia="Times New Roman" w:hAnsi="Calibri" w:cs="Calibri"/>
                <w:color w:val="000000"/>
                <w:sz w:val="18"/>
                <w:lang w:val="en-US" w:eastAsia="fr-FR"/>
              </w:rPr>
              <w:t>13</w:t>
            </w:r>
            <w:bookmarkEnd w:id="3"/>
          </w:p>
        </w:tc>
        <w:tc>
          <w:tcPr>
            <w:tcW w:w="0" w:type="auto"/>
            <w:tcBorders>
              <w:top w:val="single" w:sz="8" w:space="0" w:color="auto"/>
              <w:left w:val="nil"/>
              <w:bottom w:val="single" w:sz="4" w:space="0" w:color="auto"/>
              <w:right w:val="single" w:sz="8" w:space="0" w:color="auto"/>
            </w:tcBorders>
            <w:shd w:val="clear" w:color="auto" w:fill="auto"/>
            <w:noWrap/>
            <w:vAlign w:val="center"/>
            <w:hideMark/>
          </w:tcPr>
          <w:p w14:paraId="5DDD975C" w14:textId="77777777" w:rsidR="00C723F4" w:rsidRPr="00752204" w:rsidRDefault="00C723F4" w:rsidP="00783DAF">
            <w:pPr>
              <w:spacing w:before="0" w:after="0"/>
              <w:jc w:val="center"/>
              <w:rPr>
                <w:rFonts w:ascii="Calibri" w:eastAsia="Times New Roman" w:hAnsi="Calibri" w:cs="Calibri"/>
                <w:color w:val="000000"/>
                <w:sz w:val="18"/>
                <w:lang w:val="en-US" w:eastAsia="fr-FR"/>
              </w:rPr>
            </w:pPr>
            <w:bookmarkStart w:id="4" w:name="RANGE!F11"/>
            <w:r w:rsidRPr="00752204">
              <w:rPr>
                <w:rFonts w:ascii="Calibri" w:eastAsia="Times New Roman" w:hAnsi="Calibri" w:cs="Calibri"/>
                <w:color w:val="000000"/>
                <w:sz w:val="18"/>
                <w:lang w:val="en-US" w:eastAsia="fr-FR"/>
              </w:rPr>
              <w:t>11</w:t>
            </w:r>
            <w:bookmarkEnd w:id="4"/>
          </w:p>
        </w:tc>
        <w:tc>
          <w:tcPr>
            <w:tcW w:w="0" w:type="auto"/>
            <w:tcBorders>
              <w:top w:val="single" w:sz="8" w:space="0" w:color="auto"/>
              <w:left w:val="nil"/>
              <w:bottom w:val="single" w:sz="4" w:space="0" w:color="auto"/>
              <w:right w:val="single" w:sz="8" w:space="0" w:color="auto"/>
            </w:tcBorders>
            <w:shd w:val="clear" w:color="auto" w:fill="auto"/>
            <w:noWrap/>
            <w:vAlign w:val="center"/>
            <w:hideMark/>
          </w:tcPr>
          <w:p w14:paraId="19048468" w14:textId="77777777" w:rsidR="00C723F4" w:rsidRPr="00752204" w:rsidRDefault="00C723F4" w:rsidP="00783DAF">
            <w:pPr>
              <w:spacing w:before="0" w:after="0"/>
              <w:jc w:val="center"/>
              <w:rPr>
                <w:rFonts w:ascii="Calibri" w:eastAsia="Times New Roman" w:hAnsi="Calibri" w:cs="Calibri"/>
                <w:color w:val="000000"/>
                <w:sz w:val="18"/>
                <w:lang w:val="en-US" w:eastAsia="fr-FR"/>
              </w:rPr>
            </w:pPr>
            <w:bookmarkStart w:id="5" w:name="RANGE!G11"/>
            <w:r w:rsidRPr="00752204">
              <w:rPr>
                <w:rFonts w:ascii="Calibri" w:eastAsia="Times New Roman" w:hAnsi="Calibri" w:cs="Calibri"/>
                <w:color w:val="000000"/>
                <w:sz w:val="18"/>
                <w:lang w:val="en-US" w:eastAsia="fr-FR"/>
              </w:rPr>
              <w:t>11</w:t>
            </w:r>
            <w:bookmarkEnd w:id="5"/>
          </w:p>
        </w:tc>
        <w:tc>
          <w:tcPr>
            <w:tcW w:w="0" w:type="auto"/>
            <w:tcBorders>
              <w:top w:val="single" w:sz="8" w:space="0" w:color="auto"/>
              <w:left w:val="nil"/>
              <w:bottom w:val="single" w:sz="4" w:space="0" w:color="auto"/>
              <w:right w:val="single" w:sz="8" w:space="0" w:color="auto"/>
            </w:tcBorders>
            <w:shd w:val="clear" w:color="auto" w:fill="auto"/>
            <w:noWrap/>
            <w:vAlign w:val="center"/>
            <w:hideMark/>
          </w:tcPr>
          <w:p w14:paraId="5D585768" w14:textId="77777777" w:rsidR="00C723F4" w:rsidRPr="00752204" w:rsidRDefault="00C723F4" w:rsidP="00783DAF">
            <w:pPr>
              <w:spacing w:before="0" w:after="0"/>
              <w:jc w:val="center"/>
              <w:rPr>
                <w:rFonts w:ascii="Calibri" w:eastAsia="Times New Roman" w:hAnsi="Calibri" w:cs="Calibri"/>
                <w:color w:val="000000"/>
                <w:sz w:val="18"/>
                <w:lang w:val="en-US" w:eastAsia="fr-FR"/>
              </w:rPr>
            </w:pPr>
            <w:bookmarkStart w:id="6" w:name="RANGE!H11"/>
            <w:r w:rsidRPr="00752204">
              <w:rPr>
                <w:rFonts w:ascii="Calibri" w:eastAsia="Times New Roman" w:hAnsi="Calibri" w:cs="Calibri"/>
                <w:color w:val="000000"/>
                <w:sz w:val="18"/>
                <w:lang w:val="en-US" w:eastAsia="fr-FR"/>
              </w:rPr>
              <w:t>11</w:t>
            </w:r>
            <w:bookmarkEnd w:id="6"/>
          </w:p>
        </w:tc>
        <w:tc>
          <w:tcPr>
            <w:tcW w:w="0" w:type="auto"/>
            <w:tcBorders>
              <w:top w:val="single" w:sz="8" w:space="0" w:color="auto"/>
              <w:left w:val="nil"/>
              <w:bottom w:val="single" w:sz="4" w:space="0" w:color="auto"/>
              <w:right w:val="single" w:sz="8" w:space="0" w:color="auto"/>
            </w:tcBorders>
            <w:shd w:val="clear" w:color="auto" w:fill="auto"/>
            <w:noWrap/>
            <w:vAlign w:val="center"/>
            <w:hideMark/>
          </w:tcPr>
          <w:p w14:paraId="211E1184" w14:textId="77777777" w:rsidR="00C723F4" w:rsidRPr="00752204" w:rsidRDefault="00C723F4" w:rsidP="00783DAF">
            <w:pPr>
              <w:spacing w:before="0" w:after="0"/>
              <w:jc w:val="center"/>
              <w:rPr>
                <w:rFonts w:ascii="Calibri" w:eastAsia="Times New Roman" w:hAnsi="Calibri" w:cs="Calibri"/>
                <w:color w:val="000000"/>
                <w:sz w:val="18"/>
                <w:lang w:val="en-US" w:eastAsia="fr-FR"/>
              </w:rPr>
            </w:pPr>
            <w:bookmarkStart w:id="7" w:name="RANGE!I11"/>
            <w:r w:rsidRPr="00752204">
              <w:rPr>
                <w:rFonts w:ascii="Calibri" w:eastAsia="Times New Roman" w:hAnsi="Calibri" w:cs="Calibri"/>
                <w:color w:val="000000"/>
                <w:sz w:val="18"/>
                <w:lang w:val="en-US" w:eastAsia="fr-FR"/>
              </w:rPr>
              <w:t>10</w:t>
            </w:r>
            <w:bookmarkEnd w:id="7"/>
          </w:p>
        </w:tc>
        <w:tc>
          <w:tcPr>
            <w:tcW w:w="0" w:type="auto"/>
            <w:tcBorders>
              <w:top w:val="single" w:sz="8" w:space="0" w:color="auto"/>
              <w:left w:val="nil"/>
              <w:bottom w:val="single" w:sz="4" w:space="0" w:color="auto"/>
              <w:right w:val="single" w:sz="8" w:space="0" w:color="auto"/>
            </w:tcBorders>
            <w:shd w:val="clear" w:color="auto" w:fill="auto"/>
            <w:noWrap/>
            <w:vAlign w:val="center"/>
            <w:hideMark/>
          </w:tcPr>
          <w:p w14:paraId="1992BB8A" w14:textId="77777777" w:rsidR="00C723F4" w:rsidRPr="00752204" w:rsidRDefault="00C723F4" w:rsidP="00783DAF">
            <w:pPr>
              <w:spacing w:before="0" w:after="0"/>
              <w:jc w:val="center"/>
              <w:rPr>
                <w:rFonts w:ascii="Calibri" w:eastAsia="Times New Roman" w:hAnsi="Calibri" w:cs="Calibri"/>
                <w:color w:val="000000"/>
                <w:sz w:val="18"/>
                <w:lang w:val="en-US" w:eastAsia="fr-FR"/>
              </w:rPr>
            </w:pPr>
            <w:bookmarkStart w:id="8" w:name="RANGE!J11"/>
            <w:r w:rsidRPr="00752204">
              <w:rPr>
                <w:rFonts w:ascii="Calibri" w:eastAsia="Times New Roman" w:hAnsi="Calibri" w:cs="Calibri"/>
                <w:color w:val="000000"/>
                <w:sz w:val="18"/>
                <w:lang w:val="en-US" w:eastAsia="fr-FR"/>
              </w:rPr>
              <w:t>11</w:t>
            </w:r>
            <w:bookmarkEnd w:id="8"/>
          </w:p>
        </w:tc>
        <w:tc>
          <w:tcPr>
            <w:tcW w:w="0" w:type="auto"/>
            <w:tcBorders>
              <w:top w:val="single" w:sz="8" w:space="0" w:color="auto"/>
              <w:left w:val="nil"/>
              <w:bottom w:val="single" w:sz="4" w:space="0" w:color="auto"/>
              <w:right w:val="single" w:sz="8" w:space="0" w:color="auto"/>
            </w:tcBorders>
            <w:shd w:val="clear" w:color="auto" w:fill="auto"/>
            <w:noWrap/>
            <w:vAlign w:val="center"/>
            <w:hideMark/>
          </w:tcPr>
          <w:p w14:paraId="2D3154A8" w14:textId="77777777" w:rsidR="00C723F4" w:rsidRPr="00752204" w:rsidRDefault="00C723F4" w:rsidP="00783DAF">
            <w:pPr>
              <w:spacing w:before="0" w:after="0"/>
              <w:jc w:val="center"/>
              <w:rPr>
                <w:rFonts w:ascii="Calibri" w:eastAsia="Times New Roman" w:hAnsi="Calibri" w:cs="Calibri"/>
                <w:color w:val="000000"/>
                <w:sz w:val="18"/>
                <w:lang w:val="en-US" w:eastAsia="fr-FR"/>
              </w:rPr>
            </w:pPr>
            <w:bookmarkStart w:id="9" w:name="RANGE!K11"/>
            <w:r w:rsidRPr="00752204">
              <w:rPr>
                <w:rFonts w:ascii="Calibri" w:eastAsia="Times New Roman" w:hAnsi="Calibri" w:cs="Calibri"/>
                <w:color w:val="000000"/>
                <w:sz w:val="18"/>
                <w:lang w:val="en-US" w:eastAsia="fr-FR"/>
              </w:rPr>
              <w:t>13</w:t>
            </w:r>
            <w:bookmarkEnd w:id="9"/>
          </w:p>
        </w:tc>
      </w:tr>
      <w:tr w:rsidR="00C723F4" w:rsidRPr="00752204" w14:paraId="2E6FFE7E" w14:textId="77777777" w:rsidTr="00783DAF">
        <w:trPr>
          <w:trHeight w:val="288"/>
        </w:trPr>
        <w:tc>
          <w:tcPr>
            <w:tcW w:w="0" w:type="auto"/>
            <w:gridSpan w:val="2"/>
            <w:tcBorders>
              <w:top w:val="single" w:sz="4" w:space="0" w:color="auto"/>
              <w:left w:val="single" w:sz="8" w:space="0" w:color="auto"/>
              <w:bottom w:val="single" w:sz="4" w:space="0" w:color="auto"/>
              <w:right w:val="single" w:sz="8" w:space="0" w:color="auto"/>
            </w:tcBorders>
            <w:shd w:val="clear" w:color="000000" w:fill="auto"/>
            <w:vAlign w:val="center"/>
            <w:hideMark/>
          </w:tcPr>
          <w:p w14:paraId="2D4E5975" w14:textId="77777777" w:rsidR="00C723F4" w:rsidRPr="00752204" w:rsidRDefault="00C723F4" w:rsidP="00783DAF">
            <w:pPr>
              <w:spacing w:before="0" w:after="0"/>
              <w:jc w:val="center"/>
              <w:rPr>
                <w:rFonts w:ascii="Calibri" w:eastAsia="Times New Roman" w:hAnsi="Calibri" w:cs="Calibri"/>
                <w:color w:val="000000"/>
                <w:sz w:val="22"/>
                <w:lang w:val="en-US" w:eastAsia="fr-FR"/>
              </w:rPr>
            </w:pPr>
            <w:r w:rsidRPr="00752204">
              <w:rPr>
                <w:rFonts w:ascii="Calibri" w:eastAsia="Times New Roman" w:hAnsi="Calibri" w:cs="Calibri"/>
                <w:color w:val="000000"/>
                <w:sz w:val="22"/>
                <w:lang w:val="en-US" w:eastAsia="fr-FR"/>
              </w:rPr>
              <w:t>Feeder Loss (dB)</w:t>
            </w:r>
          </w:p>
        </w:tc>
        <w:tc>
          <w:tcPr>
            <w:tcW w:w="0" w:type="auto"/>
            <w:tcBorders>
              <w:top w:val="nil"/>
              <w:left w:val="nil"/>
              <w:bottom w:val="single" w:sz="4" w:space="0" w:color="auto"/>
              <w:right w:val="single" w:sz="8" w:space="0" w:color="auto"/>
            </w:tcBorders>
            <w:shd w:val="clear" w:color="auto" w:fill="auto"/>
            <w:noWrap/>
            <w:vAlign w:val="center"/>
            <w:hideMark/>
          </w:tcPr>
          <w:p w14:paraId="31CA9999" w14:textId="77777777" w:rsidR="00C723F4" w:rsidRPr="00752204" w:rsidRDefault="00C723F4" w:rsidP="00783DAF">
            <w:pPr>
              <w:spacing w:before="0" w:after="0"/>
              <w:jc w:val="center"/>
              <w:rPr>
                <w:rFonts w:ascii="Calibri" w:eastAsia="Times New Roman" w:hAnsi="Calibri" w:cs="Calibri"/>
                <w:color w:val="000000"/>
                <w:sz w:val="18"/>
                <w:lang w:val="en-US" w:eastAsia="fr-FR"/>
              </w:rPr>
            </w:pPr>
            <w:bookmarkStart w:id="10" w:name="RANGE!B12"/>
            <w:r w:rsidRPr="00752204">
              <w:rPr>
                <w:rFonts w:ascii="Calibri" w:eastAsia="Times New Roman" w:hAnsi="Calibri" w:cs="Calibri"/>
                <w:color w:val="000000"/>
                <w:sz w:val="18"/>
                <w:lang w:val="en-US" w:eastAsia="fr-FR"/>
              </w:rPr>
              <w:t>6</w:t>
            </w:r>
            <w:bookmarkEnd w:id="10"/>
          </w:p>
        </w:tc>
        <w:tc>
          <w:tcPr>
            <w:tcW w:w="0" w:type="auto"/>
            <w:tcBorders>
              <w:top w:val="nil"/>
              <w:left w:val="nil"/>
              <w:bottom w:val="single" w:sz="4" w:space="0" w:color="auto"/>
              <w:right w:val="single" w:sz="8" w:space="0" w:color="auto"/>
            </w:tcBorders>
            <w:shd w:val="clear" w:color="auto" w:fill="auto"/>
            <w:noWrap/>
            <w:vAlign w:val="center"/>
            <w:hideMark/>
          </w:tcPr>
          <w:p w14:paraId="44734FFC" w14:textId="77777777" w:rsidR="00C723F4" w:rsidRPr="00752204" w:rsidRDefault="00C723F4" w:rsidP="00783DAF">
            <w:pPr>
              <w:spacing w:before="0" w:after="0"/>
              <w:jc w:val="center"/>
              <w:rPr>
                <w:rFonts w:ascii="Calibri" w:eastAsia="Times New Roman" w:hAnsi="Calibri" w:cs="Calibri"/>
                <w:color w:val="000000"/>
                <w:sz w:val="18"/>
                <w:lang w:val="en-US" w:eastAsia="fr-FR"/>
              </w:rPr>
            </w:pPr>
            <w:bookmarkStart w:id="11" w:name="RANGE!C12"/>
            <w:r w:rsidRPr="00752204">
              <w:rPr>
                <w:rFonts w:ascii="Calibri" w:eastAsia="Times New Roman" w:hAnsi="Calibri" w:cs="Calibri"/>
                <w:color w:val="000000"/>
                <w:sz w:val="18"/>
                <w:lang w:val="en-US" w:eastAsia="fr-FR"/>
              </w:rPr>
              <w:t>6</w:t>
            </w:r>
            <w:bookmarkEnd w:id="11"/>
          </w:p>
        </w:tc>
        <w:tc>
          <w:tcPr>
            <w:tcW w:w="0" w:type="auto"/>
            <w:tcBorders>
              <w:top w:val="nil"/>
              <w:left w:val="nil"/>
              <w:bottom w:val="single" w:sz="4" w:space="0" w:color="auto"/>
              <w:right w:val="single" w:sz="8" w:space="0" w:color="auto"/>
            </w:tcBorders>
            <w:shd w:val="clear" w:color="auto" w:fill="auto"/>
            <w:noWrap/>
            <w:vAlign w:val="center"/>
            <w:hideMark/>
          </w:tcPr>
          <w:p w14:paraId="16D04261" w14:textId="77777777" w:rsidR="00C723F4" w:rsidRPr="00752204" w:rsidRDefault="00C723F4" w:rsidP="00783DAF">
            <w:pPr>
              <w:spacing w:before="0" w:after="0"/>
              <w:jc w:val="center"/>
              <w:rPr>
                <w:rFonts w:ascii="Calibri" w:eastAsia="Times New Roman" w:hAnsi="Calibri" w:cs="Calibri"/>
                <w:color w:val="000000"/>
                <w:sz w:val="18"/>
                <w:lang w:val="en-US" w:eastAsia="fr-FR"/>
              </w:rPr>
            </w:pPr>
            <w:bookmarkStart w:id="12" w:name="RANGE!D12"/>
            <w:r w:rsidRPr="00752204">
              <w:rPr>
                <w:rFonts w:ascii="Calibri" w:eastAsia="Times New Roman" w:hAnsi="Calibri" w:cs="Calibri"/>
                <w:color w:val="000000"/>
                <w:sz w:val="18"/>
                <w:lang w:val="en-US" w:eastAsia="fr-FR"/>
              </w:rPr>
              <w:t>2</w:t>
            </w:r>
            <w:bookmarkEnd w:id="12"/>
          </w:p>
        </w:tc>
        <w:tc>
          <w:tcPr>
            <w:tcW w:w="0" w:type="auto"/>
            <w:tcBorders>
              <w:top w:val="nil"/>
              <w:left w:val="nil"/>
              <w:bottom w:val="single" w:sz="4" w:space="0" w:color="auto"/>
              <w:right w:val="single" w:sz="8" w:space="0" w:color="auto"/>
            </w:tcBorders>
            <w:shd w:val="clear" w:color="auto" w:fill="auto"/>
            <w:noWrap/>
            <w:vAlign w:val="center"/>
            <w:hideMark/>
          </w:tcPr>
          <w:p w14:paraId="4E8F2FD2" w14:textId="77777777" w:rsidR="00C723F4" w:rsidRPr="00752204" w:rsidRDefault="00C723F4" w:rsidP="00783DAF">
            <w:pPr>
              <w:spacing w:before="0" w:after="0"/>
              <w:jc w:val="center"/>
              <w:rPr>
                <w:rFonts w:ascii="Calibri" w:eastAsia="Times New Roman" w:hAnsi="Calibri" w:cs="Calibri"/>
                <w:color w:val="000000"/>
                <w:sz w:val="18"/>
                <w:lang w:val="en-US" w:eastAsia="fr-FR"/>
              </w:rPr>
            </w:pPr>
            <w:bookmarkStart w:id="13" w:name="RANGE!E12"/>
            <w:r w:rsidRPr="00752204">
              <w:rPr>
                <w:rFonts w:ascii="Calibri" w:eastAsia="Times New Roman" w:hAnsi="Calibri" w:cs="Calibri"/>
                <w:color w:val="000000"/>
                <w:sz w:val="18"/>
                <w:lang w:val="en-US" w:eastAsia="fr-FR"/>
              </w:rPr>
              <w:t>6</w:t>
            </w:r>
            <w:bookmarkEnd w:id="13"/>
          </w:p>
        </w:tc>
        <w:tc>
          <w:tcPr>
            <w:tcW w:w="0" w:type="auto"/>
            <w:tcBorders>
              <w:top w:val="nil"/>
              <w:left w:val="nil"/>
              <w:bottom w:val="single" w:sz="4" w:space="0" w:color="auto"/>
              <w:right w:val="single" w:sz="8" w:space="0" w:color="auto"/>
            </w:tcBorders>
            <w:shd w:val="clear" w:color="auto" w:fill="auto"/>
            <w:noWrap/>
            <w:vAlign w:val="center"/>
            <w:hideMark/>
          </w:tcPr>
          <w:p w14:paraId="662A680C" w14:textId="77777777" w:rsidR="00C723F4" w:rsidRPr="00752204" w:rsidRDefault="00C723F4" w:rsidP="00783DAF">
            <w:pPr>
              <w:spacing w:before="0" w:after="0"/>
              <w:jc w:val="center"/>
              <w:rPr>
                <w:rFonts w:ascii="Calibri" w:eastAsia="Times New Roman" w:hAnsi="Calibri" w:cs="Calibri"/>
                <w:color w:val="000000"/>
                <w:sz w:val="18"/>
                <w:lang w:val="en-US" w:eastAsia="fr-FR"/>
              </w:rPr>
            </w:pPr>
            <w:bookmarkStart w:id="14" w:name="RANGE!F12"/>
            <w:r w:rsidRPr="00752204">
              <w:rPr>
                <w:rFonts w:ascii="Calibri" w:eastAsia="Times New Roman" w:hAnsi="Calibri" w:cs="Calibri"/>
                <w:color w:val="000000"/>
                <w:sz w:val="18"/>
                <w:lang w:val="en-US" w:eastAsia="fr-FR"/>
              </w:rPr>
              <w:t>6</w:t>
            </w:r>
            <w:bookmarkEnd w:id="14"/>
          </w:p>
        </w:tc>
        <w:tc>
          <w:tcPr>
            <w:tcW w:w="0" w:type="auto"/>
            <w:tcBorders>
              <w:top w:val="nil"/>
              <w:left w:val="nil"/>
              <w:bottom w:val="single" w:sz="4" w:space="0" w:color="auto"/>
              <w:right w:val="single" w:sz="8" w:space="0" w:color="auto"/>
            </w:tcBorders>
            <w:shd w:val="clear" w:color="auto" w:fill="auto"/>
            <w:noWrap/>
            <w:vAlign w:val="center"/>
            <w:hideMark/>
          </w:tcPr>
          <w:p w14:paraId="03E68F9F" w14:textId="77777777" w:rsidR="00C723F4" w:rsidRPr="00752204" w:rsidRDefault="00C723F4" w:rsidP="00783DAF">
            <w:pPr>
              <w:spacing w:before="0" w:after="0"/>
              <w:jc w:val="center"/>
              <w:rPr>
                <w:rFonts w:ascii="Calibri" w:eastAsia="Times New Roman" w:hAnsi="Calibri" w:cs="Calibri"/>
                <w:color w:val="000000"/>
                <w:sz w:val="18"/>
                <w:lang w:val="en-US" w:eastAsia="fr-FR"/>
              </w:rPr>
            </w:pPr>
            <w:bookmarkStart w:id="15" w:name="RANGE!G12"/>
            <w:r w:rsidRPr="00752204">
              <w:rPr>
                <w:rFonts w:ascii="Calibri" w:eastAsia="Times New Roman" w:hAnsi="Calibri" w:cs="Calibri"/>
                <w:color w:val="000000"/>
                <w:sz w:val="18"/>
                <w:lang w:val="en-US" w:eastAsia="fr-FR"/>
              </w:rPr>
              <w:t>6</w:t>
            </w:r>
            <w:bookmarkEnd w:id="15"/>
          </w:p>
        </w:tc>
        <w:tc>
          <w:tcPr>
            <w:tcW w:w="0" w:type="auto"/>
            <w:tcBorders>
              <w:top w:val="nil"/>
              <w:left w:val="nil"/>
              <w:bottom w:val="single" w:sz="4" w:space="0" w:color="auto"/>
              <w:right w:val="single" w:sz="8" w:space="0" w:color="auto"/>
            </w:tcBorders>
            <w:shd w:val="clear" w:color="auto" w:fill="auto"/>
            <w:noWrap/>
            <w:vAlign w:val="center"/>
            <w:hideMark/>
          </w:tcPr>
          <w:p w14:paraId="3F207285" w14:textId="77777777" w:rsidR="00C723F4" w:rsidRPr="00752204" w:rsidRDefault="00C723F4" w:rsidP="00783DAF">
            <w:pPr>
              <w:spacing w:before="0" w:after="0"/>
              <w:jc w:val="center"/>
              <w:rPr>
                <w:rFonts w:ascii="Calibri" w:eastAsia="Times New Roman" w:hAnsi="Calibri" w:cs="Calibri"/>
                <w:color w:val="000000"/>
                <w:sz w:val="18"/>
                <w:lang w:val="en-US" w:eastAsia="fr-FR"/>
              </w:rPr>
            </w:pPr>
            <w:bookmarkStart w:id="16" w:name="RANGE!H12"/>
            <w:r w:rsidRPr="00752204">
              <w:rPr>
                <w:rFonts w:ascii="Calibri" w:eastAsia="Times New Roman" w:hAnsi="Calibri" w:cs="Calibri"/>
                <w:color w:val="000000"/>
                <w:sz w:val="18"/>
                <w:lang w:val="en-US" w:eastAsia="fr-FR"/>
              </w:rPr>
              <w:t>6</w:t>
            </w:r>
            <w:bookmarkEnd w:id="16"/>
          </w:p>
        </w:tc>
        <w:tc>
          <w:tcPr>
            <w:tcW w:w="0" w:type="auto"/>
            <w:tcBorders>
              <w:top w:val="nil"/>
              <w:left w:val="nil"/>
              <w:bottom w:val="single" w:sz="4" w:space="0" w:color="auto"/>
              <w:right w:val="single" w:sz="8" w:space="0" w:color="auto"/>
            </w:tcBorders>
            <w:shd w:val="clear" w:color="auto" w:fill="auto"/>
            <w:noWrap/>
            <w:vAlign w:val="center"/>
            <w:hideMark/>
          </w:tcPr>
          <w:p w14:paraId="5AD63527" w14:textId="77777777" w:rsidR="00C723F4" w:rsidRPr="00752204" w:rsidRDefault="00C723F4" w:rsidP="00783DAF">
            <w:pPr>
              <w:spacing w:before="0" w:after="0"/>
              <w:jc w:val="center"/>
              <w:rPr>
                <w:rFonts w:ascii="Calibri" w:eastAsia="Times New Roman" w:hAnsi="Calibri" w:cs="Calibri"/>
                <w:color w:val="000000"/>
                <w:sz w:val="18"/>
                <w:lang w:val="en-US" w:eastAsia="fr-FR"/>
              </w:rPr>
            </w:pPr>
            <w:bookmarkStart w:id="17" w:name="RANGE!I12"/>
            <w:r w:rsidRPr="00752204">
              <w:rPr>
                <w:rFonts w:ascii="Calibri" w:eastAsia="Times New Roman" w:hAnsi="Calibri" w:cs="Calibri"/>
                <w:color w:val="000000"/>
                <w:sz w:val="18"/>
                <w:lang w:val="en-US" w:eastAsia="fr-FR"/>
              </w:rPr>
              <w:t>0</w:t>
            </w:r>
            <w:bookmarkEnd w:id="17"/>
          </w:p>
        </w:tc>
        <w:tc>
          <w:tcPr>
            <w:tcW w:w="0" w:type="auto"/>
            <w:tcBorders>
              <w:top w:val="nil"/>
              <w:left w:val="nil"/>
              <w:bottom w:val="single" w:sz="4" w:space="0" w:color="auto"/>
              <w:right w:val="single" w:sz="8" w:space="0" w:color="auto"/>
            </w:tcBorders>
            <w:shd w:val="clear" w:color="auto" w:fill="auto"/>
            <w:noWrap/>
            <w:vAlign w:val="center"/>
            <w:hideMark/>
          </w:tcPr>
          <w:p w14:paraId="66C1F507" w14:textId="77777777" w:rsidR="00C723F4" w:rsidRPr="00752204" w:rsidRDefault="00C723F4" w:rsidP="00783DAF">
            <w:pPr>
              <w:spacing w:before="0" w:after="0"/>
              <w:jc w:val="center"/>
              <w:rPr>
                <w:rFonts w:ascii="Calibri" w:eastAsia="Times New Roman" w:hAnsi="Calibri" w:cs="Calibri"/>
                <w:color w:val="000000"/>
                <w:sz w:val="18"/>
                <w:lang w:val="en-US" w:eastAsia="fr-FR"/>
              </w:rPr>
            </w:pPr>
            <w:bookmarkStart w:id="18" w:name="RANGE!J12"/>
            <w:r w:rsidRPr="00752204">
              <w:rPr>
                <w:rFonts w:ascii="Calibri" w:eastAsia="Times New Roman" w:hAnsi="Calibri" w:cs="Calibri"/>
                <w:color w:val="000000"/>
                <w:sz w:val="18"/>
                <w:lang w:val="en-US" w:eastAsia="fr-FR"/>
              </w:rPr>
              <w:t>2</w:t>
            </w:r>
            <w:bookmarkEnd w:id="18"/>
          </w:p>
        </w:tc>
        <w:tc>
          <w:tcPr>
            <w:tcW w:w="0" w:type="auto"/>
            <w:tcBorders>
              <w:top w:val="nil"/>
              <w:left w:val="nil"/>
              <w:bottom w:val="single" w:sz="4" w:space="0" w:color="auto"/>
              <w:right w:val="single" w:sz="8" w:space="0" w:color="auto"/>
            </w:tcBorders>
            <w:shd w:val="clear" w:color="auto" w:fill="auto"/>
            <w:noWrap/>
            <w:vAlign w:val="center"/>
            <w:hideMark/>
          </w:tcPr>
          <w:p w14:paraId="39E201E8" w14:textId="77777777" w:rsidR="00C723F4" w:rsidRPr="00752204" w:rsidRDefault="00C723F4" w:rsidP="00783DAF">
            <w:pPr>
              <w:spacing w:before="0" w:after="0"/>
              <w:jc w:val="center"/>
              <w:rPr>
                <w:rFonts w:ascii="Calibri" w:eastAsia="Times New Roman" w:hAnsi="Calibri" w:cs="Calibri"/>
                <w:color w:val="000000"/>
                <w:sz w:val="18"/>
                <w:lang w:val="en-US" w:eastAsia="fr-FR"/>
              </w:rPr>
            </w:pPr>
            <w:bookmarkStart w:id="19" w:name="RANGE!K12"/>
            <w:r w:rsidRPr="00752204">
              <w:rPr>
                <w:rFonts w:ascii="Calibri" w:eastAsia="Times New Roman" w:hAnsi="Calibri" w:cs="Calibri"/>
                <w:color w:val="000000"/>
                <w:sz w:val="18"/>
                <w:lang w:val="en-US" w:eastAsia="fr-FR"/>
              </w:rPr>
              <w:t>0</w:t>
            </w:r>
            <w:bookmarkEnd w:id="19"/>
          </w:p>
        </w:tc>
      </w:tr>
      <w:tr w:rsidR="00C723F4" w:rsidRPr="00752204" w14:paraId="1C7D1D29" w14:textId="77777777" w:rsidTr="00783DAF">
        <w:trPr>
          <w:trHeight w:val="288"/>
        </w:trPr>
        <w:tc>
          <w:tcPr>
            <w:tcW w:w="0" w:type="auto"/>
            <w:gridSpan w:val="2"/>
            <w:tcBorders>
              <w:top w:val="single" w:sz="4" w:space="0" w:color="auto"/>
              <w:left w:val="single" w:sz="8" w:space="0" w:color="auto"/>
              <w:bottom w:val="single" w:sz="4" w:space="0" w:color="auto"/>
              <w:right w:val="single" w:sz="8" w:space="0" w:color="auto"/>
            </w:tcBorders>
            <w:shd w:val="clear" w:color="000000" w:fill="auto"/>
            <w:noWrap/>
            <w:vAlign w:val="center"/>
            <w:hideMark/>
          </w:tcPr>
          <w:p w14:paraId="1983001E" w14:textId="77777777" w:rsidR="00C723F4" w:rsidRPr="00752204" w:rsidRDefault="00C723F4" w:rsidP="00783DAF">
            <w:pPr>
              <w:spacing w:before="0" w:after="0"/>
              <w:jc w:val="center"/>
              <w:rPr>
                <w:rFonts w:ascii="Calibri" w:eastAsia="Times New Roman" w:hAnsi="Calibri" w:cs="Calibri"/>
                <w:color w:val="000000"/>
                <w:sz w:val="22"/>
                <w:lang w:val="en-US" w:eastAsia="fr-FR"/>
              </w:rPr>
            </w:pPr>
            <w:r w:rsidRPr="00752204">
              <w:rPr>
                <w:rFonts w:ascii="Calibri" w:eastAsia="Times New Roman" w:hAnsi="Calibri" w:cs="Calibri"/>
                <w:color w:val="000000"/>
                <w:sz w:val="22"/>
                <w:lang w:val="en-US" w:eastAsia="fr-FR"/>
              </w:rPr>
              <w:t>Protection Criteria (I/N) (dB)</w:t>
            </w:r>
          </w:p>
        </w:tc>
        <w:tc>
          <w:tcPr>
            <w:tcW w:w="0" w:type="auto"/>
            <w:tcBorders>
              <w:top w:val="nil"/>
              <w:left w:val="nil"/>
              <w:bottom w:val="single" w:sz="4" w:space="0" w:color="auto"/>
              <w:right w:val="single" w:sz="8" w:space="0" w:color="auto"/>
            </w:tcBorders>
            <w:shd w:val="clear" w:color="auto" w:fill="auto"/>
            <w:noWrap/>
            <w:vAlign w:val="center"/>
            <w:hideMark/>
          </w:tcPr>
          <w:p w14:paraId="51A8384B" w14:textId="77777777" w:rsidR="00C723F4" w:rsidRPr="00752204" w:rsidRDefault="00C723F4" w:rsidP="00783DAF">
            <w:pPr>
              <w:spacing w:before="0" w:after="0"/>
              <w:jc w:val="center"/>
              <w:rPr>
                <w:rFonts w:ascii="Calibri" w:eastAsia="Times New Roman" w:hAnsi="Calibri" w:cs="Calibri"/>
                <w:color w:val="000000"/>
                <w:sz w:val="18"/>
                <w:lang w:val="en-US" w:eastAsia="fr-FR"/>
              </w:rPr>
            </w:pPr>
            <w:bookmarkStart w:id="20" w:name="RANGE!B13"/>
            <w:r w:rsidRPr="00752204">
              <w:rPr>
                <w:rFonts w:ascii="Calibri" w:eastAsia="Times New Roman" w:hAnsi="Calibri" w:cs="Calibri"/>
                <w:color w:val="000000"/>
                <w:sz w:val="18"/>
                <w:lang w:val="en-US" w:eastAsia="fr-FR"/>
              </w:rPr>
              <w:t>-6</w:t>
            </w:r>
            <w:bookmarkEnd w:id="20"/>
          </w:p>
        </w:tc>
        <w:tc>
          <w:tcPr>
            <w:tcW w:w="0" w:type="auto"/>
            <w:tcBorders>
              <w:top w:val="nil"/>
              <w:left w:val="nil"/>
              <w:bottom w:val="single" w:sz="4" w:space="0" w:color="auto"/>
              <w:right w:val="single" w:sz="8" w:space="0" w:color="auto"/>
            </w:tcBorders>
            <w:shd w:val="clear" w:color="auto" w:fill="auto"/>
            <w:noWrap/>
            <w:vAlign w:val="center"/>
            <w:hideMark/>
          </w:tcPr>
          <w:p w14:paraId="3D847455" w14:textId="77777777" w:rsidR="00C723F4" w:rsidRPr="00752204" w:rsidRDefault="00C723F4" w:rsidP="00783DAF">
            <w:pPr>
              <w:spacing w:before="0" w:after="0"/>
              <w:jc w:val="center"/>
              <w:rPr>
                <w:rFonts w:ascii="Calibri" w:eastAsia="Times New Roman" w:hAnsi="Calibri" w:cs="Calibri"/>
                <w:color w:val="000000"/>
                <w:sz w:val="18"/>
                <w:lang w:val="en-US" w:eastAsia="fr-FR"/>
              </w:rPr>
            </w:pPr>
            <w:bookmarkStart w:id="21" w:name="RANGE!C13"/>
            <w:r w:rsidRPr="00752204">
              <w:rPr>
                <w:rFonts w:ascii="Calibri" w:eastAsia="Times New Roman" w:hAnsi="Calibri" w:cs="Calibri"/>
                <w:color w:val="000000"/>
                <w:sz w:val="18"/>
                <w:lang w:val="en-US" w:eastAsia="fr-FR"/>
              </w:rPr>
              <w:t>-6</w:t>
            </w:r>
            <w:bookmarkEnd w:id="21"/>
          </w:p>
        </w:tc>
        <w:tc>
          <w:tcPr>
            <w:tcW w:w="0" w:type="auto"/>
            <w:tcBorders>
              <w:top w:val="nil"/>
              <w:left w:val="nil"/>
              <w:bottom w:val="single" w:sz="4" w:space="0" w:color="auto"/>
              <w:right w:val="single" w:sz="8" w:space="0" w:color="auto"/>
            </w:tcBorders>
            <w:shd w:val="clear" w:color="auto" w:fill="auto"/>
            <w:noWrap/>
            <w:vAlign w:val="center"/>
            <w:hideMark/>
          </w:tcPr>
          <w:p w14:paraId="1D6FA79D" w14:textId="77777777" w:rsidR="00C723F4" w:rsidRPr="00752204" w:rsidRDefault="00C723F4" w:rsidP="00783DAF">
            <w:pPr>
              <w:spacing w:before="0" w:after="0"/>
              <w:jc w:val="center"/>
              <w:rPr>
                <w:rFonts w:ascii="Calibri" w:eastAsia="Times New Roman" w:hAnsi="Calibri" w:cs="Calibri"/>
                <w:color w:val="000000"/>
                <w:sz w:val="18"/>
                <w:lang w:val="en-US" w:eastAsia="fr-FR"/>
              </w:rPr>
            </w:pPr>
            <w:bookmarkStart w:id="22" w:name="RANGE!D13"/>
            <w:r w:rsidRPr="00752204">
              <w:rPr>
                <w:rFonts w:ascii="Calibri" w:eastAsia="Times New Roman" w:hAnsi="Calibri" w:cs="Calibri"/>
                <w:color w:val="000000"/>
                <w:sz w:val="18"/>
                <w:lang w:val="en-US" w:eastAsia="fr-FR"/>
              </w:rPr>
              <w:t>-6</w:t>
            </w:r>
            <w:bookmarkEnd w:id="22"/>
          </w:p>
        </w:tc>
        <w:tc>
          <w:tcPr>
            <w:tcW w:w="0" w:type="auto"/>
            <w:tcBorders>
              <w:top w:val="nil"/>
              <w:left w:val="nil"/>
              <w:bottom w:val="single" w:sz="4" w:space="0" w:color="auto"/>
              <w:right w:val="single" w:sz="8" w:space="0" w:color="auto"/>
            </w:tcBorders>
            <w:shd w:val="clear" w:color="auto" w:fill="auto"/>
            <w:noWrap/>
            <w:vAlign w:val="center"/>
            <w:hideMark/>
          </w:tcPr>
          <w:p w14:paraId="5F7DF77E" w14:textId="77777777" w:rsidR="00C723F4" w:rsidRPr="00752204" w:rsidRDefault="00C723F4" w:rsidP="00783DAF">
            <w:pPr>
              <w:spacing w:before="0" w:after="0"/>
              <w:jc w:val="center"/>
              <w:rPr>
                <w:rFonts w:ascii="Calibri" w:eastAsia="Times New Roman" w:hAnsi="Calibri" w:cs="Calibri"/>
                <w:color w:val="000000"/>
                <w:sz w:val="18"/>
                <w:lang w:val="en-US" w:eastAsia="fr-FR"/>
              </w:rPr>
            </w:pPr>
            <w:bookmarkStart w:id="23" w:name="RANGE!E13"/>
            <w:r w:rsidRPr="00752204">
              <w:rPr>
                <w:rFonts w:ascii="Calibri" w:eastAsia="Times New Roman" w:hAnsi="Calibri" w:cs="Calibri"/>
                <w:color w:val="000000"/>
                <w:sz w:val="18"/>
                <w:lang w:val="en-US" w:eastAsia="fr-FR"/>
              </w:rPr>
              <w:t>-6</w:t>
            </w:r>
            <w:bookmarkEnd w:id="23"/>
          </w:p>
        </w:tc>
        <w:tc>
          <w:tcPr>
            <w:tcW w:w="0" w:type="auto"/>
            <w:tcBorders>
              <w:top w:val="nil"/>
              <w:left w:val="nil"/>
              <w:bottom w:val="single" w:sz="4" w:space="0" w:color="auto"/>
              <w:right w:val="single" w:sz="8" w:space="0" w:color="auto"/>
            </w:tcBorders>
            <w:shd w:val="clear" w:color="auto" w:fill="auto"/>
            <w:noWrap/>
            <w:vAlign w:val="center"/>
            <w:hideMark/>
          </w:tcPr>
          <w:p w14:paraId="7E8C8538" w14:textId="77777777" w:rsidR="00C723F4" w:rsidRPr="00752204" w:rsidRDefault="00C723F4" w:rsidP="00783DAF">
            <w:pPr>
              <w:spacing w:before="0" w:after="0"/>
              <w:jc w:val="center"/>
              <w:rPr>
                <w:rFonts w:ascii="Calibri" w:eastAsia="Times New Roman" w:hAnsi="Calibri" w:cs="Calibri"/>
                <w:color w:val="000000"/>
                <w:sz w:val="18"/>
                <w:lang w:val="en-US" w:eastAsia="fr-FR"/>
              </w:rPr>
            </w:pPr>
            <w:bookmarkStart w:id="24" w:name="RANGE!F13"/>
            <w:r w:rsidRPr="00752204">
              <w:rPr>
                <w:rFonts w:ascii="Calibri" w:eastAsia="Times New Roman" w:hAnsi="Calibri" w:cs="Calibri"/>
                <w:color w:val="000000"/>
                <w:sz w:val="18"/>
                <w:lang w:val="en-US" w:eastAsia="fr-FR"/>
              </w:rPr>
              <w:t>-6</w:t>
            </w:r>
            <w:bookmarkEnd w:id="24"/>
          </w:p>
        </w:tc>
        <w:tc>
          <w:tcPr>
            <w:tcW w:w="0" w:type="auto"/>
            <w:tcBorders>
              <w:top w:val="nil"/>
              <w:left w:val="nil"/>
              <w:bottom w:val="single" w:sz="4" w:space="0" w:color="auto"/>
              <w:right w:val="single" w:sz="8" w:space="0" w:color="auto"/>
            </w:tcBorders>
            <w:shd w:val="clear" w:color="auto" w:fill="auto"/>
            <w:noWrap/>
            <w:vAlign w:val="center"/>
            <w:hideMark/>
          </w:tcPr>
          <w:p w14:paraId="6FDFBD7C" w14:textId="77777777" w:rsidR="00C723F4" w:rsidRPr="00752204" w:rsidRDefault="00C723F4" w:rsidP="00783DAF">
            <w:pPr>
              <w:spacing w:before="0" w:after="0"/>
              <w:jc w:val="center"/>
              <w:rPr>
                <w:rFonts w:ascii="Calibri" w:eastAsia="Times New Roman" w:hAnsi="Calibri" w:cs="Calibri"/>
                <w:color w:val="000000"/>
                <w:sz w:val="18"/>
                <w:lang w:val="en-US" w:eastAsia="fr-FR"/>
              </w:rPr>
            </w:pPr>
            <w:bookmarkStart w:id="25" w:name="RANGE!G13"/>
            <w:r w:rsidRPr="00752204">
              <w:rPr>
                <w:rFonts w:ascii="Calibri" w:eastAsia="Times New Roman" w:hAnsi="Calibri" w:cs="Calibri"/>
                <w:color w:val="000000"/>
                <w:sz w:val="18"/>
                <w:lang w:val="en-US" w:eastAsia="fr-FR"/>
              </w:rPr>
              <w:t>-6</w:t>
            </w:r>
            <w:bookmarkEnd w:id="25"/>
          </w:p>
        </w:tc>
        <w:tc>
          <w:tcPr>
            <w:tcW w:w="0" w:type="auto"/>
            <w:tcBorders>
              <w:top w:val="nil"/>
              <w:left w:val="nil"/>
              <w:bottom w:val="single" w:sz="4" w:space="0" w:color="auto"/>
              <w:right w:val="single" w:sz="8" w:space="0" w:color="auto"/>
            </w:tcBorders>
            <w:shd w:val="clear" w:color="auto" w:fill="auto"/>
            <w:noWrap/>
            <w:vAlign w:val="center"/>
            <w:hideMark/>
          </w:tcPr>
          <w:p w14:paraId="75753FE5" w14:textId="77777777" w:rsidR="00C723F4" w:rsidRPr="00752204" w:rsidRDefault="00C723F4" w:rsidP="00783DAF">
            <w:pPr>
              <w:spacing w:before="0" w:after="0"/>
              <w:jc w:val="center"/>
              <w:rPr>
                <w:rFonts w:ascii="Calibri" w:eastAsia="Times New Roman" w:hAnsi="Calibri" w:cs="Calibri"/>
                <w:color w:val="000000"/>
                <w:sz w:val="18"/>
                <w:lang w:val="en-US" w:eastAsia="fr-FR"/>
              </w:rPr>
            </w:pPr>
            <w:bookmarkStart w:id="26" w:name="RANGE!H13"/>
            <w:r w:rsidRPr="00752204">
              <w:rPr>
                <w:rFonts w:ascii="Calibri" w:eastAsia="Times New Roman" w:hAnsi="Calibri" w:cs="Calibri"/>
                <w:color w:val="000000"/>
                <w:sz w:val="18"/>
                <w:lang w:val="en-US" w:eastAsia="fr-FR"/>
              </w:rPr>
              <w:t>-6</w:t>
            </w:r>
            <w:bookmarkEnd w:id="26"/>
          </w:p>
        </w:tc>
        <w:tc>
          <w:tcPr>
            <w:tcW w:w="0" w:type="auto"/>
            <w:tcBorders>
              <w:top w:val="nil"/>
              <w:left w:val="nil"/>
              <w:bottom w:val="single" w:sz="4" w:space="0" w:color="auto"/>
              <w:right w:val="single" w:sz="8" w:space="0" w:color="auto"/>
            </w:tcBorders>
            <w:shd w:val="clear" w:color="auto" w:fill="auto"/>
            <w:noWrap/>
            <w:vAlign w:val="center"/>
            <w:hideMark/>
          </w:tcPr>
          <w:p w14:paraId="2E212C27" w14:textId="77777777" w:rsidR="00C723F4" w:rsidRPr="00752204" w:rsidRDefault="00C723F4" w:rsidP="00783DAF">
            <w:pPr>
              <w:spacing w:before="0" w:after="0"/>
              <w:jc w:val="center"/>
              <w:rPr>
                <w:rFonts w:ascii="Calibri" w:eastAsia="Times New Roman" w:hAnsi="Calibri" w:cs="Calibri"/>
                <w:color w:val="000000"/>
                <w:sz w:val="18"/>
                <w:lang w:val="en-US" w:eastAsia="fr-FR"/>
              </w:rPr>
            </w:pPr>
            <w:bookmarkStart w:id="27" w:name="RANGE!I13"/>
            <w:r w:rsidRPr="00752204">
              <w:rPr>
                <w:rFonts w:ascii="Calibri" w:eastAsia="Times New Roman" w:hAnsi="Calibri" w:cs="Calibri"/>
                <w:color w:val="000000"/>
                <w:sz w:val="18"/>
                <w:lang w:val="en-US" w:eastAsia="fr-FR"/>
              </w:rPr>
              <w:t>-6</w:t>
            </w:r>
            <w:bookmarkEnd w:id="27"/>
          </w:p>
        </w:tc>
        <w:tc>
          <w:tcPr>
            <w:tcW w:w="0" w:type="auto"/>
            <w:tcBorders>
              <w:top w:val="nil"/>
              <w:left w:val="nil"/>
              <w:bottom w:val="single" w:sz="4" w:space="0" w:color="auto"/>
              <w:right w:val="single" w:sz="8" w:space="0" w:color="auto"/>
            </w:tcBorders>
            <w:shd w:val="clear" w:color="auto" w:fill="auto"/>
            <w:noWrap/>
            <w:vAlign w:val="center"/>
            <w:hideMark/>
          </w:tcPr>
          <w:p w14:paraId="49A7A6AA" w14:textId="77777777" w:rsidR="00C723F4" w:rsidRPr="00752204" w:rsidRDefault="00C723F4" w:rsidP="00783DAF">
            <w:pPr>
              <w:spacing w:before="0" w:after="0"/>
              <w:jc w:val="center"/>
              <w:rPr>
                <w:rFonts w:ascii="Calibri" w:eastAsia="Times New Roman" w:hAnsi="Calibri" w:cs="Calibri"/>
                <w:color w:val="000000"/>
                <w:sz w:val="18"/>
                <w:lang w:val="en-US" w:eastAsia="fr-FR"/>
              </w:rPr>
            </w:pPr>
            <w:bookmarkStart w:id="28" w:name="RANGE!J13"/>
            <w:r w:rsidRPr="00752204">
              <w:rPr>
                <w:rFonts w:ascii="Calibri" w:eastAsia="Times New Roman" w:hAnsi="Calibri" w:cs="Calibri"/>
                <w:color w:val="000000"/>
                <w:sz w:val="18"/>
                <w:lang w:val="en-US" w:eastAsia="fr-FR"/>
              </w:rPr>
              <w:t>-6</w:t>
            </w:r>
            <w:bookmarkEnd w:id="28"/>
          </w:p>
        </w:tc>
        <w:tc>
          <w:tcPr>
            <w:tcW w:w="0" w:type="auto"/>
            <w:tcBorders>
              <w:top w:val="nil"/>
              <w:left w:val="nil"/>
              <w:bottom w:val="single" w:sz="4" w:space="0" w:color="auto"/>
              <w:right w:val="single" w:sz="8" w:space="0" w:color="auto"/>
            </w:tcBorders>
            <w:shd w:val="clear" w:color="auto" w:fill="auto"/>
            <w:noWrap/>
            <w:vAlign w:val="center"/>
            <w:hideMark/>
          </w:tcPr>
          <w:p w14:paraId="3FB1A113" w14:textId="77777777" w:rsidR="00C723F4" w:rsidRPr="00752204" w:rsidRDefault="00C723F4" w:rsidP="00783DAF">
            <w:pPr>
              <w:spacing w:before="0" w:after="0"/>
              <w:jc w:val="center"/>
              <w:rPr>
                <w:rFonts w:ascii="Calibri" w:eastAsia="Times New Roman" w:hAnsi="Calibri" w:cs="Calibri"/>
                <w:color w:val="000000"/>
                <w:sz w:val="18"/>
                <w:lang w:val="en-US" w:eastAsia="fr-FR"/>
              </w:rPr>
            </w:pPr>
            <w:bookmarkStart w:id="29" w:name="RANGE!K13"/>
            <w:r w:rsidRPr="00752204">
              <w:rPr>
                <w:rFonts w:ascii="Calibri" w:eastAsia="Times New Roman" w:hAnsi="Calibri" w:cs="Calibri"/>
                <w:color w:val="000000"/>
                <w:sz w:val="18"/>
                <w:lang w:val="en-US" w:eastAsia="fr-FR"/>
              </w:rPr>
              <w:t>-6</w:t>
            </w:r>
            <w:bookmarkEnd w:id="29"/>
          </w:p>
        </w:tc>
      </w:tr>
      <w:tr w:rsidR="00C723F4" w:rsidRPr="00752204" w14:paraId="798EA6A2" w14:textId="77777777" w:rsidTr="00783DAF">
        <w:trPr>
          <w:trHeight w:val="288"/>
        </w:trPr>
        <w:tc>
          <w:tcPr>
            <w:tcW w:w="0" w:type="auto"/>
            <w:gridSpan w:val="2"/>
            <w:tcBorders>
              <w:top w:val="single" w:sz="4" w:space="0" w:color="auto"/>
              <w:left w:val="single" w:sz="8" w:space="0" w:color="auto"/>
              <w:bottom w:val="single" w:sz="4" w:space="0" w:color="auto"/>
              <w:right w:val="single" w:sz="8" w:space="0" w:color="auto"/>
            </w:tcBorders>
            <w:shd w:val="clear" w:color="000000" w:fill="auto"/>
            <w:noWrap/>
            <w:vAlign w:val="center"/>
            <w:hideMark/>
          </w:tcPr>
          <w:p w14:paraId="06D47DC6" w14:textId="77777777" w:rsidR="00C723F4" w:rsidRPr="00752204" w:rsidRDefault="00C723F4" w:rsidP="00783DAF">
            <w:pPr>
              <w:spacing w:before="0" w:after="0"/>
              <w:jc w:val="center"/>
              <w:rPr>
                <w:rFonts w:ascii="Calibri" w:eastAsia="Times New Roman" w:hAnsi="Calibri" w:cs="Calibri"/>
                <w:color w:val="000000"/>
                <w:sz w:val="22"/>
                <w:lang w:val="en-US" w:eastAsia="fr-FR"/>
              </w:rPr>
            </w:pPr>
            <w:r w:rsidRPr="00752204">
              <w:rPr>
                <w:rFonts w:ascii="Calibri" w:eastAsia="Times New Roman" w:hAnsi="Calibri" w:cs="Calibri"/>
                <w:color w:val="000000"/>
                <w:sz w:val="22"/>
                <w:lang w:val="en-US" w:eastAsia="fr-FR"/>
              </w:rPr>
              <w:t>Receiving Bandwidth (MHz)</w:t>
            </w:r>
          </w:p>
        </w:tc>
        <w:tc>
          <w:tcPr>
            <w:tcW w:w="0" w:type="auto"/>
            <w:tcBorders>
              <w:top w:val="nil"/>
              <w:left w:val="nil"/>
              <w:bottom w:val="single" w:sz="4" w:space="0" w:color="auto"/>
              <w:right w:val="single" w:sz="8" w:space="0" w:color="auto"/>
            </w:tcBorders>
            <w:shd w:val="clear" w:color="auto" w:fill="auto"/>
            <w:noWrap/>
            <w:vAlign w:val="center"/>
            <w:hideMark/>
          </w:tcPr>
          <w:p w14:paraId="20E9BA2C" w14:textId="77777777" w:rsidR="00C723F4" w:rsidRPr="00752204" w:rsidRDefault="00C723F4" w:rsidP="00783DAF">
            <w:pPr>
              <w:spacing w:before="0" w:after="0"/>
              <w:jc w:val="center"/>
              <w:rPr>
                <w:rFonts w:ascii="Calibri" w:eastAsia="Times New Roman" w:hAnsi="Calibri" w:cs="Calibri"/>
                <w:color w:val="000000"/>
                <w:sz w:val="18"/>
                <w:lang w:val="en-US" w:eastAsia="fr-FR"/>
              </w:rPr>
            </w:pPr>
            <w:bookmarkStart w:id="30" w:name="RANGE!B14"/>
            <w:r w:rsidRPr="00752204">
              <w:rPr>
                <w:rFonts w:ascii="Calibri" w:eastAsia="Times New Roman" w:hAnsi="Calibri" w:cs="Calibri"/>
                <w:color w:val="000000"/>
                <w:sz w:val="18"/>
                <w:lang w:val="en-US" w:eastAsia="fr-FR"/>
              </w:rPr>
              <w:t>2</w:t>
            </w:r>
            <w:bookmarkEnd w:id="30"/>
          </w:p>
        </w:tc>
        <w:tc>
          <w:tcPr>
            <w:tcW w:w="0" w:type="auto"/>
            <w:tcBorders>
              <w:top w:val="nil"/>
              <w:left w:val="nil"/>
              <w:bottom w:val="single" w:sz="4" w:space="0" w:color="auto"/>
              <w:right w:val="single" w:sz="8" w:space="0" w:color="auto"/>
            </w:tcBorders>
            <w:shd w:val="clear" w:color="auto" w:fill="auto"/>
            <w:noWrap/>
            <w:vAlign w:val="center"/>
            <w:hideMark/>
          </w:tcPr>
          <w:p w14:paraId="4197E806" w14:textId="77777777" w:rsidR="00C723F4" w:rsidRPr="00752204" w:rsidRDefault="00C723F4" w:rsidP="00783DAF">
            <w:pPr>
              <w:spacing w:before="0" w:after="0"/>
              <w:jc w:val="center"/>
              <w:rPr>
                <w:rFonts w:ascii="Calibri" w:eastAsia="Times New Roman" w:hAnsi="Calibri" w:cs="Calibri"/>
                <w:color w:val="000000"/>
                <w:sz w:val="18"/>
                <w:lang w:val="en-US" w:eastAsia="fr-FR"/>
              </w:rPr>
            </w:pPr>
            <w:bookmarkStart w:id="31" w:name="RANGE!C14"/>
            <w:r w:rsidRPr="00752204">
              <w:rPr>
                <w:rFonts w:ascii="Calibri" w:eastAsia="Times New Roman" w:hAnsi="Calibri" w:cs="Calibri"/>
                <w:color w:val="000000"/>
                <w:sz w:val="18"/>
                <w:lang w:val="en-US" w:eastAsia="fr-FR"/>
              </w:rPr>
              <w:t>0,25</w:t>
            </w:r>
            <w:bookmarkEnd w:id="31"/>
          </w:p>
        </w:tc>
        <w:tc>
          <w:tcPr>
            <w:tcW w:w="0" w:type="auto"/>
            <w:tcBorders>
              <w:top w:val="nil"/>
              <w:left w:val="nil"/>
              <w:bottom w:val="single" w:sz="4" w:space="0" w:color="auto"/>
              <w:right w:val="single" w:sz="8" w:space="0" w:color="auto"/>
            </w:tcBorders>
            <w:shd w:val="clear" w:color="auto" w:fill="auto"/>
            <w:noWrap/>
            <w:vAlign w:val="center"/>
            <w:hideMark/>
          </w:tcPr>
          <w:p w14:paraId="7BAD174D" w14:textId="77777777" w:rsidR="00C723F4" w:rsidRPr="00752204" w:rsidRDefault="00C723F4" w:rsidP="00783DAF">
            <w:pPr>
              <w:spacing w:before="0" w:after="0"/>
              <w:jc w:val="center"/>
              <w:rPr>
                <w:rFonts w:ascii="Calibri" w:eastAsia="Times New Roman" w:hAnsi="Calibri" w:cs="Calibri"/>
                <w:color w:val="000000"/>
                <w:sz w:val="18"/>
                <w:lang w:val="en-US" w:eastAsia="fr-FR"/>
              </w:rPr>
            </w:pPr>
            <w:bookmarkStart w:id="32" w:name="RANGE!D14"/>
            <w:r w:rsidRPr="00752204">
              <w:rPr>
                <w:rFonts w:ascii="Calibri" w:eastAsia="Times New Roman" w:hAnsi="Calibri" w:cs="Calibri"/>
                <w:color w:val="000000"/>
                <w:sz w:val="18"/>
                <w:lang w:val="en-US" w:eastAsia="fr-FR"/>
              </w:rPr>
              <w:t>2</w:t>
            </w:r>
            <w:bookmarkEnd w:id="32"/>
          </w:p>
        </w:tc>
        <w:tc>
          <w:tcPr>
            <w:tcW w:w="0" w:type="auto"/>
            <w:tcBorders>
              <w:top w:val="nil"/>
              <w:left w:val="nil"/>
              <w:bottom w:val="single" w:sz="4" w:space="0" w:color="auto"/>
              <w:right w:val="single" w:sz="8" w:space="0" w:color="auto"/>
            </w:tcBorders>
            <w:shd w:val="clear" w:color="auto" w:fill="auto"/>
            <w:noWrap/>
            <w:vAlign w:val="center"/>
            <w:hideMark/>
          </w:tcPr>
          <w:p w14:paraId="3A63DF1B" w14:textId="77777777" w:rsidR="00C723F4" w:rsidRPr="00752204" w:rsidRDefault="00C723F4" w:rsidP="00783DAF">
            <w:pPr>
              <w:spacing w:before="0" w:after="0"/>
              <w:jc w:val="center"/>
              <w:rPr>
                <w:rFonts w:ascii="Calibri" w:eastAsia="Times New Roman" w:hAnsi="Calibri" w:cs="Calibri"/>
                <w:color w:val="000000"/>
                <w:sz w:val="18"/>
                <w:lang w:val="en-US" w:eastAsia="fr-FR"/>
              </w:rPr>
            </w:pPr>
            <w:bookmarkStart w:id="33" w:name="RANGE!E14"/>
            <w:r w:rsidRPr="00752204">
              <w:rPr>
                <w:rFonts w:ascii="Calibri" w:eastAsia="Times New Roman" w:hAnsi="Calibri" w:cs="Calibri"/>
                <w:color w:val="000000"/>
                <w:sz w:val="18"/>
                <w:lang w:val="en-US" w:eastAsia="fr-FR"/>
              </w:rPr>
              <w:t>9,2</w:t>
            </w:r>
            <w:bookmarkEnd w:id="33"/>
          </w:p>
        </w:tc>
        <w:tc>
          <w:tcPr>
            <w:tcW w:w="0" w:type="auto"/>
            <w:tcBorders>
              <w:top w:val="nil"/>
              <w:left w:val="nil"/>
              <w:bottom w:val="single" w:sz="4" w:space="0" w:color="auto"/>
              <w:right w:val="single" w:sz="8" w:space="0" w:color="auto"/>
            </w:tcBorders>
            <w:shd w:val="clear" w:color="auto" w:fill="auto"/>
            <w:noWrap/>
            <w:vAlign w:val="center"/>
            <w:hideMark/>
          </w:tcPr>
          <w:p w14:paraId="2472EBA6" w14:textId="77777777" w:rsidR="00C723F4" w:rsidRPr="00752204" w:rsidRDefault="00C723F4" w:rsidP="00783DAF">
            <w:pPr>
              <w:spacing w:before="0" w:after="0"/>
              <w:jc w:val="center"/>
              <w:rPr>
                <w:rFonts w:ascii="Calibri" w:eastAsia="Times New Roman" w:hAnsi="Calibri" w:cs="Calibri"/>
                <w:color w:val="000000"/>
                <w:sz w:val="18"/>
                <w:lang w:val="en-US" w:eastAsia="fr-FR"/>
              </w:rPr>
            </w:pPr>
            <w:bookmarkStart w:id="34" w:name="RANGE!F14"/>
            <w:r w:rsidRPr="00752204">
              <w:rPr>
                <w:rFonts w:ascii="Calibri" w:eastAsia="Times New Roman" w:hAnsi="Calibri" w:cs="Calibri"/>
                <w:color w:val="000000"/>
                <w:sz w:val="18"/>
                <w:lang w:val="en-US" w:eastAsia="fr-FR"/>
              </w:rPr>
              <w:t>6</w:t>
            </w:r>
            <w:bookmarkEnd w:id="34"/>
          </w:p>
        </w:tc>
        <w:tc>
          <w:tcPr>
            <w:tcW w:w="0" w:type="auto"/>
            <w:tcBorders>
              <w:top w:val="nil"/>
              <w:left w:val="nil"/>
              <w:bottom w:val="single" w:sz="4" w:space="0" w:color="auto"/>
              <w:right w:val="single" w:sz="8" w:space="0" w:color="auto"/>
            </w:tcBorders>
            <w:shd w:val="clear" w:color="auto" w:fill="auto"/>
            <w:noWrap/>
            <w:vAlign w:val="center"/>
            <w:hideMark/>
          </w:tcPr>
          <w:p w14:paraId="67C6F4CD" w14:textId="77777777" w:rsidR="00C723F4" w:rsidRPr="00752204" w:rsidRDefault="00C723F4" w:rsidP="00783DAF">
            <w:pPr>
              <w:spacing w:before="0" w:after="0"/>
              <w:jc w:val="center"/>
              <w:rPr>
                <w:rFonts w:ascii="Calibri" w:eastAsia="Times New Roman" w:hAnsi="Calibri" w:cs="Calibri"/>
                <w:color w:val="000000"/>
                <w:sz w:val="18"/>
                <w:lang w:val="en-US" w:eastAsia="fr-FR"/>
              </w:rPr>
            </w:pPr>
            <w:bookmarkStart w:id="35" w:name="RANGE!G14"/>
            <w:r w:rsidRPr="00752204">
              <w:rPr>
                <w:rFonts w:ascii="Calibri" w:eastAsia="Times New Roman" w:hAnsi="Calibri" w:cs="Calibri"/>
                <w:color w:val="000000"/>
                <w:sz w:val="18"/>
                <w:lang w:val="en-US" w:eastAsia="fr-FR"/>
              </w:rPr>
              <w:t>16</w:t>
            </w:r>
            <w:bookmarkEnd w:id="35"/>
          </w:p>
        </w:tc>
        <w:tc>
          <w:tcPr>
            <w:tcW w:w="0" w:type="auto"/>
            <w:tcBorders>
              <w:top w:val="nil"/>
              <w:left w:val="nil"/>
              <w:bottom w:val="single" w:sz="4" w:space="0" w:color="auto"/>
              <w:right w:val="single" w:sz="8" w:space="0" w:color="auto"/>
            </w:tcBorders>
            <w:shd w:val="clear" w:color="auto" w:fill="auto"/>
            <w:noWrap/>
            <w:vAlign w:val="center"/>
            <w:hideMark/>
          </w:tcPr>
          <w:p w14:paraId="56AA50D6" w14:textId="77777777" w:rsidR="00C723F4" w:rsidRPr="00752204" w:rsidRDefault="00C723F4" w:rsidP="00783DAF">
            <w:pPr>
              <w:spacing w:before="0" w:after="0"/>
              <w:jc w:val="center"/>
              <w:rPr>
                <w:rFonts w:ascii="Calibri" w:eastAsia="Times New Roman" w:hAnsi="Calibri" w:cs="Calibri"/>
                <w:color w:val="000000"/>
                <w:sz w:val="18"/>
                <w:lang w:val="en-US" w:eastAsia="fr-FR"/>
              </w:rPr>
            </w:pPr>
            <w:bookmarkStart w:id="36" w:name="RANGE!H14"/>
            <w:r w:rsidRPr="00752204">
              <w:rPr>
                <w:rFonts w:ascii="Calibri" w:eastAsia="Times New Roman" w:hAnsi="Calibri" w:cs="Calibri"/>
                <w:color w:val="000000"/>
                <w:sz w:val="18"/>
                <w:lang w:val="en-US" w:eastAsia="fr-FR"/>
              </w:rPr>
              <w:t>0,31</w:t>
            </w:r>
            <w:bookmarkEnd w:id="36"/>
          </w:p>
        </w:tc>
        <w:tc>
          <w:tcPr>
            <w:tcW w:w="0" w:type="auto"/>
            <w:tcBorders>
              <w:top w:val="nil"/>
              <w:left w:val="nil"/>
              <w:bottom w:val="single" w:sz="4" w:space="0" w:color="auto"/>
              <w:right w:val="single" w:sz="8" w:space="0" w:color="auto"/>
            </w:tcBorders>
            <w:shd w:val="clear" w:color="auto" w:fill="auto"/>
            <w:noWrap/>
            <w:vAlign w:val="center"/>
            <w:hideMark/>
          </w:tcPr>
          <w:p w14:paraId="5EEBFEF4" w14:textId="77777777" w:rsidR="00C723F4" w:rsidRPr="00752204" w:rsidRDefault="00C723F4" w:rsidP="00783DAF">
            <w:pPr>
              <w:spacing w:before="0" w:after="0"/>
              <w:jc w:val="center"/>
              <w:rPr>
                <w:rFonts w:ascii="Calibri" w:eastAsia="Times New Roman" w:hAnsi="Calibri" w:cs="Calibri"/>
                <w:color w:val="000000"/>
                <w:sz w:val="18"/>
                <w:lang w:val="en-US" w:eastAsia="fr-FR"/>
              </w:rPr>
            </w:pPr>
            <w:bookmarkStart w:id="37" w:name="RANGE!I14"/>
            <w:r w:rsidRPr="00752204">
              <w:rPr>
                <w:rFonts w:ascii="Calibri" w:eastAsia="Times New Roman" w:hAnsi="Calibri" w:cs="Calibri"/>
                <w:color w:val="000000"/>
                <w:sz w:val="18"/>
                <w:lang w:val="en-US" w:eastAsia="fr-FR"/>
              </w:rPr>
              <w:t>1,95</w:t>
            </w:r>
            <w:bookmarkEnd w:id="37"/>
          </w:p>
        </w:tc>
        <w:tc>
          <w:tcPr>
            <w:tcW w:w="0" w:type="auto"/>
            <w:tcBorders>
              <w:top w:val="nil"/>
              <w:left w:val="nil"/>
              <w:bottom w:val="single" w:sz="4" w:space="0" w:color="auto"/>
              <w:right w:val="single" w:sz="8" w:space="0" w:color="auto"/>
            </w:tcBorders>
            <w:shd w:val="clear" w:color="auto" w:fill="auto"/>
            <w:noWrap/>
            <w:vAlign w:val="center"/>
            <w:hideMark/>
          </w:tcPr>
          <w:p w14:paraId="1EA0AEFC" w14:textId="77777777" w:rsidR="00C723F4" w:rsidRPr="00752204" w:rsidRDefault="00C723F4" w:rsidP="00783DAF">
            <w:pPr>
              <w:spacing w:before="0" w:after="0"/>
              <w:jc w:val="center"/>
              <w:rPr>
                <w:rFonts w:ascii="Calibri" w:eastAsia="Times New Roman" w:hAnsi="Calibri" w:cs="Calibri"/>
                <w:color w:val="000000"/>
                <w:sz w:val="18"/>
                <w:lang w:val="en-US" w:eastAsia="fr-FR"/>
              </w:rPr>
            </w:pPr>
            <w:bookmarkStart w:id="38" w:name="RANGE!J14"/>
            <w:r w:rsidRPr="00752204">
              <w:rPr>
                <w:rFonts w:ascii="Calibri" w:eastAsia="Times New Roman" w:hAnsi="Calibri" w:cs="Calibri"/>
                <w:color w:val="000000"/>
                <w:sz w:val="18"/>
                <w:lang w:val="en-US" w:eastAsia="fr-FR"/>
              </w:rPr>
              <w:t>2</w:t>
            </w:r>
            <w:bookmarkEnd w:id="38"/>
          </w:p>
        </w:tc>
        <w:tc>
          <w:tcPr>
            <w:tcW w:w="0" w:type="auto"/>
            <w:tcBorders>
              <w:top w:val="nil"/>
              <w:left w:val="nil"/>
              <w:bottom w:val="single" w:sz="4" w:space="0" w:color="auto"/>
              <w:right w:val="single" w:sz="8" w:space="0" w:color="auto"/>
            </w:tcBorders>
            <w:shd w:val="clear" w:color="auto" w:fill="auto"/>
            <w:noWrap/>
            <w:vAlign w:val="center"/>
            <w:hideMark/>
          </w:tcPr>
          <w:p w14:paraId="1565B2F2" w14:textId="77777777" w:rsidR="00C723F4" w:rsidRPr="00752204" w:rsidRDefault="00C723F4" w:rsidP="00783DAF">
            <w:pPr>
              <w:spacing w:before="0" w:after="0"/>
              <w:jc w:val="center"/>
              <w:rPr>
                <w:rFonts w:ascii="Calibri" w:eastAsia="Times New Roman" w:hAnsi="Calibri" w:cs="Calibri"/>
                <w:color w:val="000000"/>
                <w:sz w:val="18"/>
                <w:lang w:val="en-US" w:eastAsia="fr-FR"/>
              </w:rPr>
            </w:pPr>
            <w:bookmarkStart w:id="39" w:name="RANGE!K14"/>
            <w:r w:rsidRPr="00752204">
              <w:rPr>
                <w:rFonts w:ascii="Calibri" w:eastAsia="Times New Roman" w:hAnsi="Calibri" w:cs="Calibri"/>
                <w:color w:val="000000"/>
                <w:sz w:val="18"/>
                <w:lang w:val="en-US" w:eastAsia="fr-FR"/>
              </w:rPr>
              <w:t>30</w:t>
            </w:r>
            <w:bookmarkEnd w:id="39"/>
          </w:p>
        </w:tc>
      </w:tr>
      <w:tr w:rsidR="00C723F4" w:rsidRPr="00752204" w14:paraId="739A9505" w14:textId="77777777" w:rsidTr="00783DAF">
        <w:trPr>
          <w:trHeight w:val="288"/>
        </w:trPr>
        <w:tc>
          <w:tcPr>
            <w:tcW w:w="0" w:type="auto"/>
            <w:gridSpan w:val="2"/>
            <w:tcBorders>
              <w:top w:val="single" w:sz="4" w:space="0" w:color="auto"/>
              <w:left w:val="single" w:sz="8" w:space="0" w:color="auto"/>
              <w:bottom w:val="single" w:sz="4" w:space="0" w:color="auto"/>
              <w:right w:val="single" w:sz="8" w:space="0" w:color="auto"/>
            </w:tcBorders>
            <w:shd w:val="clear" w:color="000000" w:fill="auto"/>
            <w:vAlign w:val="center"/>
            <w:hideMark/>
          </w:tcPr>
          <w:p w14:paraId="709B81F2" w14:textId="77777777" w:rsidR="00C723F4" w:rsidRPr="00752204" w:rsidRDefault="00C723F4" w:rsidP="00783DAF">
            <w:pPr>
              <w:spacing w:before="0" w:after="0"/>
              <w:jc w:val="center"/>
              <w:rPr>
                <w:rFonts w:ascii="Calibri" w:eastAsia="Times New Roman" w:hAnsi="Calibri" w:cs="Calibri"/>
                <w:color w:val="000000"/>
                <w:sz w:val="22"/>
                <w:lang w:val="en-US" w:eastAsia="fr-FR"/>
              </w:rPr>
            </w:pPr>
            <w:r w:rsidRPr="00752204">
              <w:rPr>
                <w:rFonts w:ascii="Calibri" w:eastAsia="Times New Roman" w:hAnsi="Calibri" w:cs="Calibri"/>
                <w:color w:val="000000"/>
                <w:sz w:val="22"/>
                <w:lang w:val="en-US" w:eastAsia="fr-FR"/>
              </w:rPr>
              <w:t>Noise Figure (dB)</w:t>
            </w:r>
          </w:p>
        </w:tc>
        <w:tc>
          <w:tcPr>
            <w:tcW w:w="0" w:type="auto"/>
            <w:tcBorders>
              <w:top w:val="nil"/>
              <w:left w:val="nil"/>
              <w:bottom w:val="single" w:sz="4" w:space="0" w:color="auto"/>
              <w:right w:val="single" w:sz="8" w:space="0" w:color="auto"/>
            </w:tcBorders>
            <w:shd w:val="clear" w:color="auto" w:fill="auto"/>
            <w:noWrap/>
            <w:vAlign w:val="center"/>
            <w:hideMark/>
          </w:tcPr>
          <w:p w14:paraId="18D50CBD" w14:textId="77777777" w:rsidR="00C723F4" w:rsidRPr="00752204" w:rsidRDefault="00C723F4" w:rsidP="00783DAF">
            <w:pPr>
              <w:spacing w:before="0" w:after="0"/>
              <w:jc w:val="center"/>
              <w:rPr>
                <w:rFonts w:ascii="Calibri" w:eastAsia="Times New Roman" w:hAnsi="Calibri" w:cs="Calibri"/>
                <w:color w:val="000000"/>
                <w:sz w:val="18"/>
                <w:lang w:val="en-US" w:eastAsia="fr-FR"/>
              </w:rPr>
            </w:pPr>
            <w:bookmarkStart w:id="40" w:name="RANGE!B15"/>
            <w:r w:rsidRPr="00752204">
              <w:rPr>
                <w:rFonts w:ascii="Calibri" w:eastAsia="Times New Roman" w:hAnsi="Calibri" w:cs="Calibri"/>
                <w:color w:val="000000"/>
                <w:sz w:val="18"/>
                <w:lang w:val="en-US" w:eastAsia="fr-FR"/>
              </w:rPr>
              <w:t>10</w:t>
            </w:r>
            <w:bookmarkEnd w:id="40"/>
          </w:p>
        </w:tc>
        <w:tc>
          <w:tcPr>
            <w:tcW w:w="0" w:type="auto"/>
            <w:tcBorders>
              <w:top w:val="nil"/>
              <w:left w:val="nil"/>
              <w:bottom w:val="single" w:sz="4" w:space="0" w:color="auto"/>
              <w:right w:val="single" w:sz="8" w:space="0" w:color="auto"/>
            </w:tcBorders>
            <w:shd w:val="clear" w:color="auto" w:fill="auto"/>
            <w:noWrap/>
            <w:vAlign w:val="center"/>
            <w:hideMark/>
          </w:tcPr>
          <w:p w14:paraId="405670D2" w14:textId="77777777" w:rsidR="00C723F4" w:rsidRPr="00752204" w:rsidRDefault="00C723F4" w:rsidP="00783DAF">
            <w:pPr>
              <w:spacing w:before="0" w:after="0"/>
              <w:jc w:val="center"/>
              <w:rPr>
                <w:rFonts w:ascii="Calibri" w:eastAsia="Times New Roman" w:hAnsi="Calibri" w:cs="Calibri"/>
                <w:color w:val="000000"/>
                <w:sz w:val="18"/>
                <w:lang w:val="en-US" w:eastAsia="fr-FR"/>
              </w:rPr>
            </w:pPr>
            <w:bookmarkStart w:id="41" w:name="RANGE!C15"/>
            <w:r w:rsidRPr="00752204">
              <w:rPr>
                <w:rFonts w:ascii="Calibri" w:eastAsia="Times New Roman" w:hAnsi="Calibri" w:cs="Calibri"/>
                <w:color w:val="000000"/>
                <w:sz w:val="18"/>
                <w:lang w:val="en-US" w:eastAsia="fr-FR"/>
              </w:rPr>
              <w:t>6</w:t>
            </w:r>
            <w:bookmarkEnd w:id="41"/>
          </w:p>
        </w:tc>
        <w:tc>
          <w:tcPr>
            <w:tcW w:w="0" w:type="auto"/>
            <w:tcBorders>
              <w:top w:val="nil"/>
              <w:left w:val="nil"/>
              <w:bottom w:val="single" w:sz="4" w:space="0" w:color="auto"/>
              <w:right w:val="single" w:sz="8" w:space="0" w:color="auto"/>
            </w:tcBorders>
            <w:shd w:val="clear" w:color="auto" w:fill="auto"/>
            <w:noWrap/>
            <w:vAlign w:val="center"/>
            <w:hideMark/>
          </w:tcPr>
          <w:p w14:paraId="4F33110A" w14:textId="77777777" w:rsidR="00C723F4" w:rsidRPr="00752204" w:rsidRDefault="00C723F4" w:rsidP="00783DAF">
            <w:pPr>
              <w:spacing w:before="0" w:after="0"/>
              <w:jc w:val="center"/>
              <w:rPr>
                <w:rFonts w:ascii="Calibri" w:eastAsia="Times New Roman" w:hAnsi="Calibri" w:cs="Calibri"/>
                <w:color w:val="000000"/>
                <w:sz w:val="18"/>
                <w:lang w:val="en-US" w:eastAsia="fr-FR"/>
              </w:rPr>
            </w:pPr>
            <w:bookmarkStart w:id="42" w:name="RANGE!D15"/>
            <w:r w:rsidRPr="00752204">
              <w:rPr>
                <w:rFonts w:ascii="Calibri" w:eastAsia="Times New Roman" w:hAnsi="Calibri" w:cs="Calibri"/>
                <w:color w:val="000000"/>
                <w:sz w:val="18"/>
                <w:lang w:val="en-US" w:eastAsia="fr-FR"/>
              </w:rPr>
              <w:t>6</w:t>
            </w:r>
            <w:bookmarkEnd w:id="42"/>
          </w:p>
        </w:tc>
        <w:tc>
          <w:tcPr>
            <w:tcW w:w="0" w:type="auto"/>
            <w:tcBorders>
              <w:top w:val="nil"/>
              <w:left w:val="nil"/>
              <w:bottom w:val="single" w:sz="4" w:space="0" w:color="auto"/>
              <w:right w:val="single" w:sz="8" w:space="0" w:color="auto"/>
            </w:tcBorders>
            <w:shd w:val="clear" w:color="auto" w:fill="auto"/>
            <w:noWrap/>
            <w:vAlign w:val="center"/>
            <w:hideMark/>
          </w:tcPr>
          <w:p w14:paraId="752183EC" w14:textId="77777777" w:rsidR="00C723F4" w:rsidRPr="00752204" w:rsidRDefault="00C723F4" w:rsidP="00783DAF">
            <w:pPr>
              <w:spacing w:before="0" w:after="0"/>
              <w:jc w:val="center"/>
              <w:rPr>
                <w:rFonts w:ascii="Calibri" w:eastAsia="Times New Roman" w:hAnsi="Calibri" w:cs="Calibri"/>
                <w:color w:val="000000"/>
                <w:sz w:val="18"/>
                <w:lang w:val="en-US" w:eastAsia="fr-FR"/>
              </w:rPr>
            </w:pPr>
            <w:bookmarkStart w:id="43" w:name="RANGE!E15"/>
            <w:r w:rsidRPr="00752204">
              <w:rPr>
                <w:rFonts w:ascii="Calibri" w:eastAsia="Times New Roman" w:hAnsi="Calibri" w:cs="Calibri"/>
                <w:color w:val="000000"/>
                <w:sz w:val="18"/>
                <w:lang w:val="en-US" w:eastAsia="fr-FR"/>
              </w:rPr>
              <w:t>10</w:t>
            </w:r>
            <w:bookmarkEnd w:id="43"/>
          </w:p>
        </w:tc>
        <w:tc>
          <w:tcPr>
            <w:tcW w:w="0" w:type="auto"/>
            <w:tcBorders>
              <w:top w:val="nil"/>
              <w:left w:val="nil"/>
              <w:bottom w:val="single" w:sz="4" w:space="0" w:color="auto"/>
              <w:right w:val="single" w:sz="8" w:space="0" w:color="auto"/>
            </w:tcBorders>
            <w:shd w:val="clear" w:color="auto" w:fill="auto"/>
            <w:noWrap/>
            <w:vAlign w:val="center"/>
            <w:hideMark/>
          </w:tcPr>
          <w:p w14:paraId="21CEE607" w14:textId="77777777" w:rsidR="00C723F4" w:rsidRPr="00752204" w:rsidRDefault="00C723F4" w:rsidP="00783DAF">
            <w:pPr>
              <w:spacing w:before="0" w:after="0"/>
              <w:jc w:val="center"/>
              <w:rPr>
                <w:rFonts w:ascii="Calibri" w:eastAsia="Times New Roman" w:hAnsi="Calibri" w:cs="Calibri"/>
                <w:color w:val="000000"/>
                <w:sz w:val="18"/>
                <w:lang w:val="en-US" w:eastAsia="fr-FR"/>
              </w:rPr>
            </w:pPr>
            <w:bookmarkStart w:id="44" w:name="RANGE!F15"/>
            <w:r w:rsidRPr="00752204">
              <w:rPr>
                <w:rFonts w:ascii="Calibri" w:eastAsia="Times New Roman" w:hAnsi="Calibri" w:cs="Calibri"/>
                <w:color w:val="000000"/>
                <w:sz w:val="18"/>
                <w:lang w:val="en-US" w:eastAsia="fr-FR"/>
              </w:rPr>
              <w:t>10</w:t>
            </w:r>
            <w:bookmarkEnd w:id="44"/>
          </w:p>
        </w:tc>
        <w:tc>
          <w:tcPr>
            <w:tcW w:w="0" w:type="auto"/>
            <w:tcBorders>
              <w:top w:val="nil"/>
              <w:left w:val="nil"/>
              <w:bottom w:val="single" w:sz="4" w:space="0" w:color="auto"/>
              <w:right w:val="single" w:sz="8" w:space="0" w:color="auto"/>
            </w:tcBorders>
            <w:shd w:val="clear" w:color="auto" w:fill="auto"/>
            <w:noWrap/>
            <w:vAlign w:val="center"/>
            <w:hideMark/>
          </w:tcPr>
          <w:p w14:paraId="195B6699" w14:textId="77777777" w:rsidR="00C723F4" w:rsidRPr="00752204" w:rsidRDefault="00C723F4" w:rsidP="00783DAF">
            <w:pPr>
              <w:spacing w:before="0" w:after="0"/>
              <w:jc w:val="center"/>
              <w:rPr>
                <w:rFonts w:ascii="Calibri" w:eastAsia="Times New Roman" w:hAnsi="Calibri" w:cs="Calibri"/>
                <w:color w:val="000000"/>
                <w:sz w:val="18"/>
                <w:lang w:val="en-US" w:eastAsia="fr-FR"/>
              </w:rPr>
            </w:pPr>
            <w:bookmarkStart w:id="45" w:name="RANGE!G15"/>
            <w:r w:rsidRPr="00752204">
              <w:rPr>
                <w:rFonts w:ascii="Calibri" w:eastAsia="Times New Roman" w:hAnsi="Calibri" w:cs="Calibri"/>
                <w:color w:val="000000"/>
                <w:sz w:val="18"/>
                <w:lang w:val="en-US" w:eastAsia="fr-FR"/>
              </w:rPr>
              <w:t>10</w:t>
            </w:r>
            <w:bookmarkEnd w:id="45"/>
          </w:p>
        </w:tc>
        <w:tc>
          <w:tcPr>
            <w:tcW w:w="0" w:type="auto"/>
            <w:tcBorders>
              <w:top w:val="nil"/>
              <w:left w:val="nil"/>
              <w:bottom w:val="single" w:sz="4" w:space="0" w:color="auto"/>
              <w:right w:val="single" w:sz="8" w:space="0" w:color="auto"/>
            </w:tcBorders>
            <w:shd w:val="clear" w:color="auto" w:fill="auto"/>
            <w:noWrap/>
            <w:vAlign w:val="center"/>
            <w:hideMark/>
          </w:tcPr>
          <w:p w14:paraId="627BBD11" w14:textId="77777777" w:rsidR="00C723F4" w:rsidRPr="00752204" w:rsidRDefault="00C723F4" w:rsidP="00783DAF">
            <w:pPr>
              <w:spacing w:before="0" w:after="0"/>
              <w:jc w:val="center"/>
              <w:rPr>
                <w:rFonts w:ascii="Calibri" w:eastAsia="Times New Roman" w:hAnsi="Calibri" w:cs="Calibri"/>
                <w:color w:val="000000"/>
                <w:sz w:val="18"/>
                <w:lang w:val="en-US" w:eastAsia="fr-FR"/>
              </w:rPr>
            </w:pPr>
            <w:bookmarkStart w:id="46" w:name="RANGE!H15"/>
            <w:r w:rsidRPr="00752204">
              <w:rPr>
                <w:rFonts w:ascii="Calibri" w:eastAsia="Times New Roman" w:hAnsi="Calibri" w:cs="Calibri"/>
                <w:color w:val="000000"/>
                <w:sz w:val="18"/>
                <w:lang w:val="en-US" w:eastAsia="fr-FR"/>
              </w:rPr>
              <w:t>8</w:t>
            </w:r>
            <w:bookmarkEnd w:id="46"/>
          </w:p>
        </w:tc>
        <w:tc>
          <w:tcPr>
            <w:tcW w:w="0" w:type="auto"/>
            <w:tcBorders>
              <w:top w:val="nil"/>
              <w:left w:val="nil"/>
              <w:bottom w:val="single" w:sz="4" w:space="0" w:color="auto"/>
              <w:right w:val="single" w:sz="8" w:space="0" w:color="auto"/>
            </w:tcBorders>
            <w:shd w:val="clear" w:color="auto" w:fill="auto"/>
            <w:noWrap/>
            <w:vAlign w:val="center"/>
            <w:hideMark/>
          </w:tcPr>
          <w:p w14:paraId="40112BF0" w14:textId="77777777" w:rsidR="00C723F4" w:rsidRPr="00752204" w:rsidRDefault="00C723F4" w:rsidP="00783DAF">
            <w:pPr>
              <w:spacing w:before="0" w:after="0"/>
              <w:jc w:val="center"/>
              <w:rPr>
                <w:rFonts w:ascii="Calibri" w:eastAsia="Times New Roman" w:hAnsi="Calibri" w:cs="Calibri"/>
                <w:color w:val="000000"/>
                <w:sz w:val="18"/>
                <w:lang w:val="en-US" w:eastAsia="fr-FR"/>
              </w:rPr>
            </w:pPr>
            <w:bookmarkStart w:id="47" w:name="RANGE!I15"/>
            <w:r w:rsidRPr="00752204">
              <w:rPr>
                <w:rFonts w:ascii="Calibri" w:eastAsia="Times New Roman" w:hAnsi="Calibri" w:cs="Calibri"/>
                <w:color w:val="000000"/>
                <w:sz w:val="18"/>
                <w:lang w:val="en-US" w:eastAsia="fr-FR"/>
              </w:rPr>
              <w:t>9</w:t>
            </w:r>
            <w:bookmarkEnd w:id="47"/>
          </w:p>
        </w:tc>
        <w:tc>
          <w:tcPr>
            <w:tcW w:w="0" w:type="auto"/>
            <w:tcBorders>
              <w:top w:val="nil"/>
              <w:left w:val="nil"/>
              <w:bottom w:val="single" w:sz="4" w:space="0" w:color="auto"/>
              <w:right w:val="single" w:sz="8" w:space="0" w:color="auto"/>
            </w:tcBorders>
            <w:shd w:val="clear" w:color="auto" w:fill="auto"/>
            <w:noWrap/>
            <w:vAlign w:val="center"/>
            <w:hideMark/>
          </w:tcPr>
          <w:p w14:paraId="6DCF6C34" w14:textId="77777777" w:rsidR="00C723F4" w:rsidRPr="00752204" w:rsidRDefault="00C723F4" w:rsidP="00783DAF">
            <w:pPr>
              <w:spacing w:before="0" w:after="0"/>
              <w:jc w:val="center"/>
              <w:rPr>
                <w:rFonts w:ascii="Calibri" w:eastAsia="Times New Roman" w:hAnsi="Calibri" w:cs="Calibri"/>
                <w:color w:val="000000"/>
                <w:sz w:val="18"/>
                <w:lang w:val="en-US" w:eastAsia="fr-FR"/>
              </w:rPr>
            </w:pPr>
            <w:bookmarkStart w:id="48" w:name="RANGE!J15"/>
            <w:r w:rsidRPr="00752204">
              <w:rPr>
                <w:rFonts w:ascii="Calibri" w:eastAsia="Times New Roman" w:hAnsi="Calibri" w:cs="Calibri"/>
                <w:color w:val="000000"/>
                <w:sz w:val="18"/>
                <w:lang w:val="en-US" w:eastAsia="fr-FR"/>
              </w:rPr>
              <w:t>8</w:t>
            </w:r>
            <w:bookmarkEnd w:id="48"/>
          </w:p>
        </w:tc>
        <w:tc>
          <w:tcPr>
            <w:tcW w:w="0" w:type="auto"/>
            <w:tcBorders>
              <w:top w:val="nil"/>
              <w:left w:val="nil"/>
              <w:bottom w:val="single" w:sz="4" w:space="0" w:color="auto"/>
              <w:right w:val="single" w:sz="8" w:space="0" w:color="auto"/>
            </w:tcBorders>
            <w:shd w:val="clear" w:color="auto" w:fill="auto"/>
            <w:noWrap/>
            <w:vAlign w:val="center"/>
            <w:hideMark/>
          </w:tcPr>
          <w:p w14:paraId="4976F4CF" w14:textId="77777777" w:rsidR="00C723F4" w:rsidRPr="00752204" w:rsidRDefault="00C723F4" w:rsidP="00783DAF">
            <w:pPr>
              <w:spacing w:before="0" w:after="0"/>
              <w:jc w:val="center"/>
              <w:rPr>
                <w:rFonts w:ascii="Calibri" w:eastAsia="Times New Roman" w:hAnsi="Calibri" w:cs="Calibri"/>
                <w:color w:val="000000"/>
                <w:sz w:val="18"/>
                <w:lang w:val="en-US" w:eastAsia="fr-FR"/>
              </w:rPr>
            </w:pPr>
            <w:bookmarkStart w:id="49" w:name="RANGE!K15"/>
            <w:r w:rsidRPr="00752204">
              <w:rPr>
                <w:rFonts w:ascii="Calibri" w:eastAsia="Times New Roman" w:hAnsi="Calibri" w:cs="Calibri"/>
                <w:color w:val="000000"/>
                <w:sz w:val="18"/>
                <w:lang w:val="en-US" w:eastAsia="fr-FR"/>
              </w:rPr>
              <w:t>10</w:t>
            </w:r>
            <w:bookmarkEnd w:id="49"/>
          </w:p>
        </w:tc>
      </w:tr>
      <w:tr w:rsidR="00C723F4" w:rsidRPr="00752204" w14:paraId="1402D741" w14:textId="77777777" w:rsidTr="00783DAF">
        <w:trPr>
          <w:trHeight w:val="288"/>
        </w:trPr>
        <w:tc>
          <w:tcPr>
            <w:tcW w:w="0" w:type="auto"/>
            <w:gridSpan w:val="2"/>
            <w:tcBorders>
              <w:top w:val="single" w:sz="4" w:space="0" w:color="auto"/>
              <w:left w:val="single" w:sz="8" w:space="0" w:color="auto"/>
              <w:bottom w:val="single" w:sz="4" w:space="0" w:color="auto"/>
              <w:right w:val="single" w:sz="8" w:space="0" w:color="auto"/>
            </w:tcBorders>
            <w:shd w:val="clear" w:color="000000" w:fill="auto"/>
            <w:vAlign w:val="center"/>
            <w:hideMark/>
          </w:tcPr>
          <w:p w14:paraId="0C53C945" w14:textId="77777777" w:rsidR="00C723F4" w:rsidRPr="00752204" w:rsidRDefault="00C723F4" w:rsidP="00783DAF">
            <w:pPr>
              <w:spacing w:before="0" w:after="0"/>
              <w:jc w:val="center"/>
              <w:rPr>
                <w:rFonts w:ascii="Calibri" w:eastAsia="Times New Roman" w:hAnsi="Calibri" w:cs="Calibri"/>
                <w:color w:val="000000"/>
                <w:sz w:val="22"/>
                <w:lang w:val="en-US" w:eastAsia="fr-FR"/>
              </w:rPr>
            </w:pPr>
            <w:r w:rsidRPr="00752204">
              <w:rPr>
                <w:rFonts w:ascii="Calibri" w:eastAsia="Times New Roman" w:hAnsi="Calibri" w:cs="Calibri"/>
                <w:color w:val="000000"/>
                <w:sz w:val="22"/>
                <w:lang w:val="en-US" w:eastAsia="fr-FR"/>
              </w:rPr>
              <w:t>Chirp Bandwidth (MHz)</w:t>
            </w:r>
          </w:p>
        </w:tc>
        <w:tc>
          <w:tcPr>
            <w:tcW w:w="0" w:type="auto"/>
            <w:tcBorders>
              <w:top w:val="nil"/>
              <w:left w:val="nil"/>
              <w:bottom w:val="single" w:sz="4" w:space="0" w:color="auto"/>
              <w:right w:val="single" w:sz="8" w:space="0" w:color="auto"/>
            </w:tcBorders>
            <w:shd w:val="clear" w:color="auto" w:fill="auto"/>
            <w:noWrap/>
            <w:vAlign w:val="center"/>
            <w:hideMark/>
          </w:tcPr>
          <w:p w14:paraId="055D17A3" w14:textId="77777777" w:rsidR="00C723F4" w:rsidRPr="00752204" w:rsidRDefault="00C723F4" w:rsidP="00783DAF">
            <w:pPr>
              <w:spacing w:before="0" w:after="0"/>
              <w:jc w:val="center"/>
              <w:rPr>
                <w:rFonts w:ascii="Calibri" w:eastAsia="Times New Roman" w:hAnsi="Calibri" w:cs="Calibri"/>
                <w:color w:val="000000"/>
                <w:sz w:val="18"/>
                <w:lang w:val="en-US" w:eastAsia="fr-FR"/>
              </w:rPr>
            </w:pPr>
            <w:r w:rsidRPr="00752204">
              <w:rPr>
                <w:rFonts w:ascii="Calibri" w:eastAsia="Times New Roman" w:hAnsi="Calibri" w:cs="Calibri"/>
                <w:color w:val="000000"/>
                <w:sz w:val="18"/>
                <w:lang w:val="en-US" w:eastAsia="fr-FR"/>
              </w:rPr>
              <w:t>104</w:t>
            </w:r>
          </w:p>
        </w:tc>
        <w:tc>
          <w:tcPr>
            <w:tcW w:w="0" w:type="auto"/>
            <w:tcBorders>
              <w:top w:val="nil"/>
              <w:left w:val="nil"/>
              <w:bottom w:val="single" w:sz="4" w:space="0" w:color="auto"/>
              <w:right w:val="single" w:sz="8" w:space="0" w:color="auto"/>
            </w:tcBorders>
            <w:shd w:val="clear" w:color="auto" w:fill="auto"/>
            <w:noWrap/>
            <w:vAlign w:val="center"/>
            <w:hideMark/>
          </w:tcPr>
          <w:p w14:paraId="5F608B33" w14:textId="77777777" w:rsidR="00C723F4" w:rsidRPr="00752204" w:rsidRDefault="00C723F4" w:rsidP="00783DAF">
            <w:pPr>
              <w:spacing w:before="0" w:after="0"/>
              <w:jc w:val="center"/>
              <w:rPr>
                <w:rFonts w:ascii="Calibri" w:eastAsia="Times New Roman" w:hAnsi="Calibri" w:cs="Calibri"/>
                <w:color w:val="000000"/>
                <w:sz w:val="18"/>
                <w:lang w:val="en-US" w:eastAsia="fr-FR"/>
              </w:rPr>
            </w:pPr>
            <w:r w:rsidRPr="00752204">
              <w:rPr>
                <w:rFonts w:ascii="Calibri" w:eastAsia="Times New Roman" w:hAnsi="Calibri" w:cs="Calibri"/>
                <w:color w:val="000000"/>
                <w:sz w:val="18"/>
                <w:lang w:val="en-US" w:eastAsia="fr-FR"/>
              </w:rPr>
              <w:t>132,8</w:t>
            </w:r>
          </w:p>
        </w:tc>
        <w:tc>
          <w:tcPr>
            <w:tcW w:w="0" w:type="auto"/>
            <w:tcBorders>
              <w:top w:val="nil"/>
              <w:left w:val="nil"/>
              <w:bottom w:val="single" w:sz="4" w:space="0" w:color="auto"/>
              <w:right w:val="single" w:sz="8" w:space="0" w:color="auto"/>
            </w:tcBorders>
            <w:shd w:val="clear" w:color="auto" w:fill="auto"/>
            <w:noWrap/>
            <w:vAlign w:val="center"/>
            <w:hideMark/>
          </w:tcPr>
          <w:p w14:paraId="15C90C34" w14:textId="77777777" w:rsidR="00C723F4" w:rsidRPr="00752204" w:rsidRDefault="00C723F4" w:rsidP="00783DAF">
            <w:pPr>
              <w:spacing w:before="0" w:after="0"/>
              <w:jc w:val="center"/>
              <w:rPr>
                <w:rFonts w:ascii="Calibri" w:eastAsia="Times New Roman" w:hAnsi="Calibri" w:cs="Calibri"/>
                <w:color w:val="000000"/>
                <w:sz w:val="18"/>
                <w:lang w:val="en-US" w:eastAsia="fr-FR"/>
              </w:rPr>
            </w:pPr>
            <w:r w:rsidRPr="00752204">
              <w:rPr>
                <w:rFonts w:ascii="Calibri" w:eastAsia="Times New Roman" w:hAnsi="Calibri" w:cs="Calibri"/>
                <w:color w:val="000000"/>
                <w:sz w:val="18"/>
                <w:lang w:val="en-US" w:eastAsia="fr-FR"/>
              </w:rPr>
              <w:t>133</w:t>
            </w:r>
          </w:p>
        </w:tc>
        <w:tc>
          <w:tcPr>
            <w:tcW w:w="0" w:type="auto"/>
            <w:tcBorders>
              <w:top w:val="nil"/>
              <w:left w:val="nil"/>
              <w:bottom w:val="single" w:sz="4" w:space="0" w:color="auto"/>
              <w:right w:val="single" w:sz="8" w:space="0" w:color="auto"/>
            </w:tcBorders>
            <w:shd w:val="clear" w:color="auto" w:fill="auto"/>
            <w:noWrap/>
            <w:vAlign w:val="center"/>
            <w:hideMark/>
          </w:tcPr>
          <w:p w14:paraId="5CE5F736" w14:textId="77777777" w:rsidR="00C723F4" w:rsidRPr="00752204" w:rsidRDefault="00C723F4" w:rsidP="00783DAF">
            <w:pPr>
              <w:spacing w:before="0" w:after="0"/>
              <w:jc w:val="center"/>
              <w:rPr>
                <w:rFonts w:ascii="Calibri" w:eastAsia="Times New Roman" w:hAnsi="Calibri" w:cs="Calibri"/>
                <w:color w:val="000000"/>
                <w:sz w:val="18"/>
                <w:lang w:val="en-US" w:eastAsia="fr-FR"/>
              </w:rPr>
            </w:pPr>
            <w:r w:rsidRPr="00752204">
              <w:rPr>
                <w:rFonts w:ascii="Calibri" w:eastAsia="Times New Roman" w:hAnsi="Calibri" w:cs="Calibri"/>
                <w:color w:val="000000"/>
                <w:sz w:val="18"/>
                <w:lang w:val="en-US" w:eastAsia="fr-FR"/>
              </w:rPr>
              <w:t>-</w:t>
            </w:r>
          </w:p>
        </w:tc>
        <w:tc>
          <w:tcPr>
            <w:tcW w:w="0" w:type="auto"/>
            <w:tcBorders>
              <w:top w:val="nil"/>
              <w:left w:val="nil"/>
              <w:bottom w:val="single" w:sz="4" w:space="0" w:color="auto"/>
              <w:right w:val="single" w:sz="8" w:space="0" w:color="auto"/>
            </w:tcBorders>
            <w:shd w:val="clear" w:color="auto" w:fill="auto"/>
            <w:noWrap/>
            <w:vAlign w:val="center"/>
            <w:hideMark/>
          </w:tcPr>
          <w:p w14:paraId="7D49C807" w14:textId="77777777" w:rsidR="00C723F4" w:rsidRPr="00752204" w:rsidRDefault="00C723F4" w:rsidP="00783DAF">
            <w:pPr>
              <w:spacing w:before="0" w:after="0"/>
              <w:jc w:val="center"/>
              <w:rPr>
                <w:rFonts w:ascii="Calibri" w:eastAsia="Times New Roman" w:hAnsi="Calibri" w:cs="Calibri"/>
                <w:color w:val="000000"/>
                <w:sz w:val="18"/>
                <w:lang w:val="en-US" w:eastAsia="fr-FR"/>
              </w:rPr>
            </w:pPr>
            <w:r w:rsidRPr="00752204">
              <w:rPr>
                <w:rFonts w:ascii="Calibri" w:eastAsia="Times New Roman" w:hAnsi="Calibri" w:cs="Calibri"/>
                <w:color w:val="000000"/>
                <w:sz w:val="18"/>
                <w:lang w:val="en-US" w:eastAsia="fr-FR"/>
              </w:rPr>
              <w:t>-</w:t>
            </w:r>
          </w:p>
        </w:tc>
        <w:tc>
          <w:tcPr>
            <w:tcW w:w="0" w:type="auto"/>
            <w:tcBorders>
              <w:top w:val="nil"/>
              <w:left w:val="nil"/>
              <w:bottom w:val="single" w:sz="4" w:space="0" w:color="auto"/>
              <w:right w:val="single" w:sz="8" w:space="0" w:color="auto"/>
            </w:tcBorders>
            <w:shd w:val="clear" w:color="auto" w:fill="auto"/>
            <w:noWrap/>
            <w:vAlign w:val="center"/>
            <w:hideMark/>
          </w:tcPr>
          <w:p w14:paraId="128BA696" w14:textId="77777777" w:rsidR="00C723F4" w:rsidRPr="00752204" w:rsidRDefault="00C723F4" w:rsidP="00783DAF">
            <w:pPr>
              <w:spacing w:before="0" w:after="0"/>
              <w:jc w:val="center"/>
              <w:rPr>
                <w:rFonts w:ascii="Calibri" w:eastAsia="Times New Roman" w:hAnsi="Calibri" w:cs="Calibri"/>
                <w:color w:val="000000"/>
                <w:sz w:val="18"/>
                <w:lang w:val="en-US" w:eastAsia="fr-FR"/>
              </w:rPr>
            </w:pPr>
            <w:r w:rsidRPr="00752204">
              <w:rPr>
                <w:rFonts w:ascii="Calibri" w:eastAsia="Times New Roman" w:hAnsi="Calibri" w:cs="Calibri"/>
                <w:color w:val="000000"/>
                <w:sz w:val="18"/>
                <w:lang w:val="en-US" w:eastAsia="fr-FR"/>
              </w:rPr>
              <w:t>-</w:t>
            </w:r>
          </w:p>
        </w:tc>
        <w:tc>
          <w:tcPr>
            <w:tcW w:w="0" w:type="auto"/>
            <w:tcBorders>
              <w:top w:val="nil"/>
              <w:left w:val="nil"/>
              <w:bottom w:val="single" w:sz="4" w:space="0" w:color="auto"/>
              <w:right w:val="single" w:sz="8" w:space="0" w:color="auto"/>
            </w:tcBorders>
            <w:shd w:val="clear" w:color="auto" w:fill="auto"/>
            <w:noWrap/>
            <w:vAlign w:val="center"/>
            <w:hideMark/>
          </w:tcPr>
          <w:p w14:paraId="12828DA7" w14:textId="77777777" w:rsidR="00C723F4" w:rsidRPr="00752204" w:rsidRDefault="00C723F4" w:rsidP="00783DAF">
            <w:pPr>
              <w:spacing w:before="0" w:after="0"/>
              <w:jc w:val="center"/>
              <w:rPr>
                <w:rFonts w:ascii="Calibri" w:eastAsia="Times New Roman" w:hAnsi="Calibri" w:cs="Calibri"/>
                <w:color w:val="000000"/>
                <w:sz w:val="18"/>
                <w:lang w:val="en-US" w:eastAsia="fr-FR"/>
              </w:rPr>
            </w:pPr>
            <w:r w:rsidRPr="00752204">
              <w:rPr>
                <w:rFonts w:ascii="Calibri" w:eastAsia="Times New Roman" w:hAnsi="Calibri" w:cs="Calibri"/>
                <w:color w:val="000000"/>
                <w:sz w:val="18"/>
                <w:lang w:val="en-US" w:eastAsia="fr-FR"/>
              </w:rPr>
              <w:t>150</w:t>
            </w:r>
          </w:p>
        </w:tc>
        <w:tc>
          <w:tcPr>
            <w:tcW w:w="0" w:type="auto"/>
            <w:tcBorders>
              <w:top w:val="nil"/>
              <w:left w:val="nil"/>
              <w:bottom w:val="single" w:sz="4" w:space="0" w:color="auto"/>
              <w:right w:val="single" w:sz="8" w:space="0" w:color="auto"/>
            </w:tcBorders>
            <w:shd w:val="clear" w:color="auto" w:fill="auto"/>
            <w:noWrap/>
            <w:vAlign w:val="center"/>
            <w:hideMark/>
          </w:tcPr>
          <w:p w14:paraId="35810C3F" w14:textId="77777777" w:rsidR="00C723F4" w:rsidRPr="00752204" w:rsidRDefault="00C723F4" w:rsidP="00783DAF">
            <w:pPr>
              <w:spacing w:before="0" w:after="0"/>
              <w:jc w:val="center"/>
              <w:rPr>
                <w:rFonts w:ascii="Calibri" w:eastAsia="Times New Roman" w:hAnsi="Calibri" w:cs="Calibri"/>
                <w:color w:val="000000"/>
                <w:sz w:val="18"/>
                <w:lang w:val="en-US" w:eastAsia="fr-FR"/>
              </w:rPr>
            </w:pPr>
            <w:r w:rsidRPr="00752204">
              <w:rPr>
                <w:rFonts w:ascii="Calibri" w:eastAsia="Times New Roman" w:hAnsi="Calibri" w:cs="Calibri"/>
                <w:color w:val="000000"/>
                <w:sz w:val="18"/>
                <w:lang w:val="en-US" w:eastAsia="fr-FR"/>
              </w:rPr>
              <w:t>176,8</w:t>
            </w:r>
          </w:p>
        </w:tc>
        <w:tc>
          <w:tcPr>
            <w:tcW w:w="0" w:type="auto"/>
            <w:tcBorders>
              <w:top w:val="nil"/>
              <w:left w:val="nil"/>
              <w:bottom w:val="single" w:sz="4" w:space="0" w:color="auto"/>
              <w:right w:val="single" w:sz="8" w:space="0" w:color="auto"/>
            </w:tcBorders>
            <w:shd w:val="clear" w:color="auto" w:fill="auto"/>
            <w:noWrap/>
            <w:vAlign w:val="center"/>
            <w:hideMark/>
          </w:tcPr>
          <w:p w14:paraId="32BF98CA" w14:textId="77777777" w:rsidR="00C723F4" w:rsidRPr="00752204" w:rsidRDefault="00C723F4" w:rsidP="00783DAF">
            <w:pPr>
              <w:spacing w:before="0" w:after="0"/>
              <w:jc w:val="center"/>
              <w:rPr>
                <w:rFonts w:ascii="Calibri" w:eastAsia="Times New Roman" w:hAnsi="Calibri" w:cs="Calibri"/>
                <w:color w:val="000000"/>
                <w:sz w:val="18"/>
                <w:lang w:val="en-US" w:eastAsia="fr-FR"/>
              </w:rPr>
            </w:pPr>
            <w:r w:rsidRPr="00752204">
              <w:rPr>
                <w:rFonts w:ascii="Calibri" w:eastAsia="Times New Roman" w:hAnsi="Calibri" w:cs="Calibri"/>
                <w:color w:val="000000"/>
                <w:sz w:val="18"/>
                <w:lang w:val="en-US" w:eastAsia="fr-FR"/>
              </w:rPr>
              <w:t>133</w:t>
            </w:r>
          </w:p>
        </w:tc>
        <w:tc>
          <w:tcPr>
            <w:tcW w:w="0" w:type="auto"/>
            <w:tcBorders>
              <w:top w:val="nil"/>
              <w:left w:val="nil"/>
              <w:bottom w:val="single" w:sz="4" w:space="0" w:color="auto"/>
              <w:right w:val="single" w:sz="8" w:space="0" w:color="auto"/>
            </w:tcBorders>
            <w:shd w:val="clear" w:color="auto" w:fill="auto"/>
            <w:noWrap/>
            <w:vAlign w:val="center"/>
            <w:hideMark/>
          </w:tcPr>
          <w:p w14:paraId="7B55574B" w14:textId="77777777" w:rsidR="00C723F4" w:rsidRPr="00752204" w:rsidRDefault="00C723F4" w:rsidP="00783DAF">
            <w:pPr>
              <w:spacing w:before="0" w:after="0"/>
              <w:jc w:val="center"/>
              <w:rPr>
                <w:rFonts w:ascii="Calibri" w:eastAsia="Times New Roman" w:hAnsi="Calibri" w:cs="Calibri"/>
                <w:color w:val="000000"/>
                <w:sz w:val="18"/>
                <w:lang w:val="en-US" w:eastAsia="fr-FR"/>
              </w:rPr>
            </w:pPr>
            <w:r w:rsidRPr="00752204">
              <w:rPr>
                <w:rFonts w:ascii="Calibri" w:eastAsia="Times New Roman" w:hAnsi="Calibri" w:cs="Calibri"/>
                <w:color w:val="000000"/>
                <w:sz w:val="18"/>
                <w:lang w:val="en-US" w:eastAsia="fr-FR"/>
              </w:rPr>
              <w:t>-</w:t>
            </w:r>
          </w:p>
        </w:tc>
      </w:tr>
      <w:tr w:rsidR="00C723F4" w:rsidRPr="00752204" w14:paraId="47D7DB6F" w14:textId="77777777" w:rsidTr="00783DAF">
        <w:trPr>
          <w:trHeight w:val="288"/>
        </w:trPr>
        <w:tc>
          <w:tcPr>
            <w:tcW w:w="0" w:type="auto"/>
            <w:gridSpan w:val="2"/>
            <w:tcBorders>
              <w:top w:val="single" w:sz="4" w:space="0" w:color="auto"/>
              <w:left w:val="single" w:sz="8" w:space="0" w:color="auto"/>
              <w:bottom w:val="single" w:sz="4" w:space="0" w:color="auto"/>
              <w:right w:val="single" w:sz="8" w:space="0" w:color="auto"/>
            </w:tcBorders>
            <w:shd w:val="clear" w:color="000000" w:fill="auto"/>
            <w:vAlign w:val="center"/>
            <w:hideMark/>
          </w:tcPr>
          <w:p w14:paraId="4C088798" w14:textId="77777777" w:rsidR="00C723F4" w:rsidRPr="00752204" w:rsidRDefault="00C723F4" w:rsidP="00783DAF">
            <w:pPr>
              <w:spacing w:before="0" w:after="0"/>
              <w:jc w:val="center"/>
              <w:rPr>
                <w:rFonts w:ascii="Calibri" w:eastAsia="Times New Roman" w:hAnsi="Calibri" w:cs="Calibri"/>
                <w:color w:val="000000"/>
                <w:sz w:val="22"/>
                <w:lang w:val="en-US" w:eastAsia="fr-FR"/>
              </w:rPr>
            </w:pPr>
            <w:r w:rsidRPr="00752204">
              <w:rPr>
                <w:i/>
                <w:iCs/>
                <w:szCs w:val="18"/>
                <w:lang w:val="en-US"/>
              </w:rPr>
              <w:t>R</w:t>
            </w:r>
            <w:r w:rsidRPr="00752204">
              <w:rPr>
                <w:i/>
                <w:iCs/>
                <w:szCs w:val="18"/>
                <w:vertAlign w:val="subscript"/>
                <w:lang w:val="en-US"/>
              </w:rPr>
              <w:t>S</w:t>
            </w:r>
            <w:r w:rsidRPr="00752204">
              <w:rPr>
                <w:rFonts w:ascii="Calibri" w:eastAsia="Times New Roman" w:hAnsi="Calibri" w:cs="Calibri"/>
                <w:color w:val="000000"/>
                <w:sz w:val="22"/>
                <w:lang w:val="en-US" w:eastAsia="fr-FR"/>
              </w:rPr>
              <w:t xml:space="preserve"> (dB)</w:t>
            </w:r>
          </w:p>
        </w:tc>
        <w:tc>
          <w:tcPr>
            <w:tcW w:w="0" w:type="auto"/>
            <w:tcBorders>
              <w:top w:val="nil"/>
              <w:left w:val="nil"/>
              <w:bottom w:val="nil"/>
              <w:right w:val="single" w:sz="8" w:space="0" w:color="auto"/>
            </w:tcBorders>
            <w:shd w:val="clear" w:color="auto" w:fill="auto"/>
            <w:noWrap/>
            <w:vAlign w:val="center"/>
            <w:hideMark/>
          </w:tcPr>
          <w:p w14:paraId="7E46A7C9" w14:textId="77777777" w:rsidR="00C723F4" w:rsidRPr="00752204" w:rsidRDefault="00C723F4" w:rsidP="00783DAF">
            <w:pPr>
              <w:spacing w:before="0" w:after="0"/>
              <w:jc w:val="center"/>
              <w:rPr>
                <w:rFonts w:ascii="Calibri" w:eastAsia="Times New Roman" w:hAnsi="Calibri" w:cs="Calibri"/>
                <w:color w:val="000000"/>
                <w:sz w:val="18"/>
                <w:lang w:val="en-US" w:eastAsia="fr-FR"/>
              </w:rPr>
            </w:pPr>
            <w:bookmarkStart w:id="50" w:name="RANGE!B17"/>
            <w:r w:rsidRPr="00752204">
              <w:rPr>
                <w:rFonts w:ascii="Calibri" w:eastAsia="Times New Roman" w:hAnsi="Calibri" w:cs="Calibri"/>
                <w:color w:val="000000"/>
                <w:sz w:val="18"/>
                <w:lang w:val="en-US" w:eastAsia="fr-FR"/>
              </w:rPr>
              <w:t>-14,15</w:t>
            </w:r>
            <w:bookmarkEnd w:id="50"/>
          </w:p>
        </w:tc>
        <w:tc>
          <w:tcPr>
            <w:tcW w:w="0" w:type="auto"/>
            <w:tcBorders>
              <w:top w:val="nil"/>
              <w:left w:val="nil"/>
              <w:bottom w:val="nil"/>
              <w:right w:val="single" w:sz="8" w:space="0" w:color="auto"/>
            </w:tcBorders>
            <w:shd w:val="clear" w:color="auto" w:fill="auto"/>
            <w:noWrap/>
            <w:vAlign w:val="center"/>
            <w:hideMark/>
          </w:tcPr>
          <w:p w14:paraId="779FB47D" w14:textId="77777777" w:rsidR="00C723F4" w:rsidRPr="00752204" w:rsidRDefault="00C723F4" w:rsidP="00783DAF">
            <w:pPr>
              <w:spacing w:before="0" w:after="0"/>
              <w:jc w:val="center"/>
              <w:rPr>
                <w:rFonts w:ascii="Calibri" w:eastAsia="Times New Roman" w:hAnsi="Calibri" w:cs="Calibri"/>
                <w:color w:val="000000"/>
                <w:sz w:val="18"/>
                <w:lang w:val="en-US" w:eastAsia="fr-FR"/>
              </w:rPr>
            </w:pPr>
            <w:bookmarkStart w:id="51" w:name="RANGE!C17"/>
            <w:r w:rsidRPr="00752204">
              <w:rPr>
                <w:rFonts w:ascii="Calibri" w:eastAsia="Times New Roman" w:hAnsi="Calibri" w:cs="Calibri"/>
                <w:color w:val="000000"/>
                <w:sz w:val="18"/>
                <w:lang w:val="en-US" w:eastAsia="fr-FR"/>
              </w:rPr>
              <w:t>-24,24</w:t>
            </w:r>
            <w:bookmarkEnd w:id="51"/>
          </w:p>
        </w:tc>
        <w:tc>
          <w:tcPr>
            <w:tcW w:w="0" w:type="auto"/>
            <w:tcBorders>
              <w:top w:val="nil"/>
              <w:left w:val="nil"/>
              <w:bottom w:val="nil"/>
              <w:right w:val="single" w:sz="8" w:space="0" w:color="auto"/>
            </w:tcBorders>
            <w:shd w:val="clear" w:color="auto" w:fill="auto"/>
            <w:noWrap/>
            <w:vAlign w:val="center"/>
            <w:hideMark/>
          </w:tcPr>
          <w:p w14:paraId="44DC23F5" w14:textId="77777777" w:rsidR="00C723F4" w:rsidRPr="00752204" w:rsidRDefault="00C723F4" w:rsidP="00783DAF">
            <w:pPr>
              <w:spacing w:before="0" w:after="0"/>
              <w:jc w:val="center"/>
              <w:rPr>
                <w:rFonts w:ascii="Calibri" w:eastAsia="Times New Roman" w:hAnsi="Calibri" w:cs="Calibri"/>
                <w:color w:val="000000"/>
                <w:sz w:val="18"/>
                <w:lang w:val="en-US" w:eastAsia="fr-FR"/>
              </w:rPr>
            </w:pPr>
            <w:bookmarkStart w:id="52" w:name="RANGE!D17"/>
            <w:r w:rsidRPr="00752204">
              <w:rPr>
                <w:rFonts w:ascii="Calibri" w:eastAsia="Times New Roman" w:hAnsi="Calibri" w:cs="Calibri"/>
                <w:color w:val="000000"/>
                <w:sz w:val="18"/>
                <w:lang w:val="en-US" w:eastAsia="fr-FR"/>
              </w:rPr>
              <w:t>-15,22</w:t>
            </w:r>
            <w:bookmarkEnd w:id="52"/>
          </w:p>
        </w:tc>
        <w:tc>
          <w:tcPr>
            <w:tcW w:w="0" w:type="auto"/>
            <w:tcBorders>
              <w:top w:val="nil"/>
              <w:left w:val="nil"/>
              <w:bottom w:val="nil"/>
              <w:right w:val="single" w:sz="8" w:space="0" w:color="auto"/>
            </w:tcBorders>
            <w:shd w:val="clear" w:color="auto" w:fill="auto"/>
            <w:noWrap/>
            <w:vAlign w:val="center"/>
            <w:hideMark/>
          </w:tcPr>
          <w:p w14:paraId="4C5C5448" w14:textId="77777777" w:rsidR="00C723F4" w:rsidRPr="00752204" w:rsidRDefault="00C723F4" w:rsidP="00783DAF">
            <w:pPr>
              <w:spacing w:before="0" w:after="0"/>
              <w:jc w:val="center"/>
              <w:rPr>
                <w:rFonts w:ascii="Calibri" w:eastAsia="Times New Roman" w:hAnsi="Calibri" w:cs="Calibri"/>
                <w:color w:val="000000"/>
                <w:sz w:val="18"/>
                <w:lang w:val="en-US" w:eastAsia="fr-FR"/>
              </w:rPr>
            </w:pPr>
            <w:bookmarkStart w:id="53" w:name="RANGE!E17"/>
            <w:r w:rsidRPr="00752204">
              <w:rPr>
                <w:rFonts w:ascii="Calibri" w:eastAsia="Times New Roman" w:hAnsi="Calibri" w:cs="Calibri"/>
                <w:color w:val="000000"/>
                <w:sz w:val="18"/>
                <w:lang w:val="en-US" w:eastAsia="fr-FR"/>
              </w:rPr>
              <w:t>0,00</w:t>
            </w:r>
            <w:bookmarkEnd w:id="53"/>
          </w:p>
        </w:tc>
        <w:tc>
          <w:tcPr>
            <w:tcW w:w="0" w:type="auto"/>
            <w:tcBorders>
              <w:top w:val="nil"/>
              <w:left w:val="nil"/>
              <w:bottom w:val="nil"/>
              <w:right w:val="single" w:sz="8" w:space="0" w:color="auto"/>
            </w:tcBorders>
            <w:shd w:val="clear" w:color="auto" w:fill="auto"/>
            <w:noWrap/>
            <w:vAlign w:val="center"/>
            <w:hideMark/>
          </w:tcPr>
          <w:p w14:paraId="0D1A25AD" w14:textId="77777777" w:rsidR="00C723F4" w:rsidRPr="00752204" w:rsidRDefault="00C723F4" w:rsidP="00783DAF">
            <w:pPr>
              <w:spacing w:before="0" w:after="0"/>
              <w:jc w:val="center"/>
              <w:rPr>
                <w:rFonts w:ascii="Calibri" w:eastAsia="Times New Roman" w:hAnsi="Calibri" w:cs="Calibri"/>
                <w:color w:val="000000"/>
                <w:sz w:val="18"/>
                <w:lang w:val="en-US" w:eastAsia="fr-FR"/>
              </w:rPr>
            </w:pPr>
            <w:bookmarkStart w:id="54" w:name="RANGE!F17"/>
            <w:r w:rsidRPr="00752204">
              <w:rPr>
                <w:rFonts w:ascii="Calibri" w:eastAsia="Times New Roman" w:hAnsi="Calibri" w:cs="Calibri"/>
                <w:color w:val="000000"/>
                <w:sz w:val="18"/>
                <w:lang w:val="en-US" w:eastAsia="fr-FR"/>
              </w:rPr>
              <w:t>0,00</w:t>
            </w:r>
            <w:bookmarkEnd w:id="54"/>
          </w:p>
        </w:tc>
        <w:tc>
          <w:tcPr>
            <w:tcW w:w="0" w:type="auto"/>
            <w:tcBorders>
              <w:top w:val="nil"/>
              <w:left w:val="nil"/>
              <w:bottom w:val="nil"/>
              <w:right w:val="single" w:sz="8" w:space="0" w:color="auto"/>
            </w:tcBorders>
            <w:shd w:val="clear" w:color="auto" w:fill="auto"/>
            <w:noWrap/>
            <w:vAlign w:val="center"/>
            <w:hideMark/>
          </w:tcPr>
          <w:p w14:paraId="3F241751" w14:textId="77777777" w:rsidR="00C723F4" w:rsidRPr="00752204" w:rsidRDefault="00C723F4" w:rsidP="00783DAF">
            <w:pPr>
              <w:spacing w:before="0" w:after="0"/>
              <w:jc w:val="center"/>
              <w:rPr>
                <w:rFonts w:ascii="Calibri" w:eastAsia="Times New Roman" w:hAnsi="Calibri" w:cs="Calibri"/>
                <w:color w:val="000000"/>
                <w:sz w:val="18"/>
                <w:lang w:val="en-US" w:eastAsia="fr-FR"/>
              </w:rPr>
            </w:pPr>
            <w:bookmarkStart w:id="55" w:name="RANGE!G17"/>
            <w:r w:rsidRPr="00752204">
              <w:rPr>
                <w:rFonts w:ascii="Calibri" w:eastAsia="Times New Roman" w:hAnsi="Calibri" w:cs="Calibri"/>
                <w:color w:val="000000"/>
                <w:sz w:val="18"/>
                <w:lang w:val="en-US" w:eastAsia="fr-FR"/>
              </w:rPr>
              <w:t>0,00</w:t>
            </w:r>
            <w:bookmarkEnd w:id="55"/>
          </w:p>
        </w:tc>
        <w:tc>
          <w:tcPr>
            <w:tcW w:w="0" w:type="auto"/>
            <w:tcBorders>
              <w:top w:val="nil"/>
              <w:left w:val="nil"/>
              <w:bottom w:val="nil"/>
              <w:right w:val="single" w:sz="8" w:space="0" w:color="auto"/>
            </w:tcBorders>
            <w:shd w:val="clear" w:color="auto" w:fill="auto"/>
            <w:noWrap/>
            <w:vAlign w:val="center"/>
            <w:hideMark/>
          </w:tcPr>
          <w:p w14:paraId="669F647A" w14:textId="77777777" w:rsidR="00C723F4" w:rsidRPr="00752204" w:rsidRDefault="00C723F4" w:rsidP="00783DAF">
            <w:pPr>
              <w:spacing w:before="0" w:after="0"/>
              <w:jc w:val="center"/>
              <w:rPr>
                <w:rFonts w:ascii="Calibri" w:eastAsia="Times New Roman" w:hAnsi="Calibri" w:cs="Calibri"/>
                <w:color w:val="000000"/>
                <w:sz w:val="18"/>
                <w:lang w:val="en-US" w:eastAsia="fr-FR"/>
              </w:rPr>
            </w:pPr>
            <w:bookmarkStart w:id="56" w:name="RANGE!H17"/>
            <w:r w:rsidRPr="00752204">
              <w:rPr>
                <w:rFonts w:ascii="Calibri" w:eastAsia="Times New Roman" w:hAnsi="Calibri" w:cs="Calibri"/>
                <w:color w:val="000000"/>
                <w:sz w:val="18"/>
                <w:lang w:val="en-US" w:eastAsia="fr-FR"/>
              </w:rPr>
              <w:t>-23,84</w:t>
            </w:r>
            <w:bookmarkEnd w:id="56"/>
          </w:p>
        </w:tc>
        <w:tc>
          <w:tcPr>
            <w:tcW w:w="0" w:type="auto"/>
            <w:tcBorders>
              <w:top w:val="nil"/>
              <w:left w:val="nil"/>
              <w:bottom w:val="nil"/>
              <w:right w:val="single" w:sz="8" w:space="0" w:color="auto"/>
            </w:tcBorders>
            <w:shd w:val="clear" w:color="auto" w:fill="auto"/>
            <w:noWrap/>
            <w:vAlign w:val="center"/>
            <w:hideMark/>
          </w:tcPr>
          <w:p w14:paraId="0BDE854C" w14:textId="77777777" w:rsidR="00C723F4" w:rsidRPr="00752204" w:rsidRDefault="00C723F4" w:rsidP="00783DAF">
            <w:pPr>
              <w:spacing w:before="0" w:after="0"/>
              <w:jc w:val="center"/>
              <w:rPr>
                <w:rFonts w:ascii="Calibri" w:eastAsia="Times New Roman" w:hAnsi="Calibri" w:cs="Calibri"/>
                <w:color w:val="000000"/>
                <w:sz w:val="18"/>
                <w:lang w:val="en-US" w:eastAsia="fr-FR"/>
              </w:rPr>
            </w:pPr>
            <w:bookmarkStart w:id="57" w:name="RANGE!I17"/>
            <w:r w:rsidRPr="00752204">
              <w:rPr>
                <w:rFonts w:ascii="Calibri" w:eastAsia="Times New Roman" w:hAnsi="Calibri" w:cs="Calibri"/>
                <w:color w:val="000000"/>
                <w:sz w:val="18"/>
                <w:lang w:val="en-US" w:eastAsia="fr-FR"/>
              </w:rPr>
              <w:t>-16,56</w:t>
            </w:r>
            <w:bookmarkEnd w:id="57"/>
          </w:p>
        </w:tc>
        <w:tc>
          <w:tcPr>
            <w:tcW w:w="0" w:type="auto"/>
            <w:tcBorders>
              <w:top w:val="nil"/>
              <w:left w:val="nil"/>
              <w:bottom w:val="nil"/>
              <w:right w:val="single" w:sz="8" w:space="0" w:color="auto"/>
            </w:tcBorders>
            <w:shd w:val="clear" w:color="auto" w:fill="auto"/>
            <w:noWrap/>
            <w:vAlign w:val="center"/>
            <w:hideMark/>
          </w:tcPr>
          <w:p w14:paraId="72AC7A71" w14:textId="77777777" w:rsidR="00C723F4" w:rsidRPr="00752204" w:rsidRDefault="00C723F4" w:rsidP="00783DAF">
            <w:pPr>
              <w:spacing w:before="0" w:after="0"/>
              <w:jc w:val="center"/>
              <w:rPr>
                <w:rFonts w:ascii="Calibri" w:eastAsia="Times New Roman" w:hAnsi="Calibri" w:cs="Calibri"/>
                <w:color w:val="000000"/>
                <w:sz w:val="18"/>
                <w:lang w:val="en-US" w:eastAsia="fr-FR"/>
              </w:rPr>
            </w:pPr>
            <w:bookmarkStart w:id="58" w:name="RANGE!J17"/>
            <w:r w:rsidRPr="00752204">
              <w:rPr>
                <w:rFonts w:ascii="Calibri" w:eastAsia="Times New Roman" w:hAnsi="Calibri" w:cs="Calibri"/>
                <w:color w:val="000000"/>
                <w:sz w:val="18"/>
                <w:lang w:val="en-US" w:eastAsia="fr-FR"/>
              </w:rPr>
              <w:t>-15,22</w:t>
            </w:r>
            <w:bookmarkEnd w:id="58"/>
          </w:p>
        </w:tc>
        <w:tc>
          <w:tcPr>
            <w:tcW w:w="0" w:type="auto"/>
            <w:tcBorders>
              <w:top w:val="nil"/>
              <w:left w:val="nil"/>
              <w:bottom w:val="nil"/>
              <w:right w:val="single" w:sz="8" w:space="0" w:color="auto"/>
            </w:tcBorders>
            <w:shd w:val="clear" w:color="auto" w:fill="auto"/>
            <w:noWrap/>
            <w:vAlign w:val="center"/>
            <w:hideMark/>
          </w:tcPr>
          <w:p w14:paraId="5DE225FA" w14:textId="77777777" w:rsidR="00C723F4" w:rsidRPr="00752204" w:rsidRDefault="00C723F4" w:rsidP="00783DAF">
            <w:pPr>
              <w:spacing w:before="0" w:after="0"/>
              <w:jc w:val="center"/>
              <w:rPr>
                <w:rFonts w:ascii="Calibri" w:eastAsia="Times New Roman" w:hAnsi="Calibri" w:cs="Calibri"/>
                <w:color w:val="000000"/>
                <w:sz w:val="18"/>
                <w:lang w:val="en-US" w:eastAsia="fr-FR"/>
              </w:rPr>
            </w:pPr>
            <w:bookmarkStart w:id="59" w:name="RANGE!K17"/>
            <w:r w:rsidRPr="00752204">
              <w:rPr>
                <w:rFonts w:ascii="Calibri" w:eastAsia="Times New Roman" w:hAnsi="Calibri" w:cs="Calibri"/>
                <w:color w:val="000000"/>
                <w:sz w:val="18"/>
                <w:lang w:val="en-US" w:eastAsia="fr-FR"/>
              </w:rPr>
              <w:t>0,00</w:t>
            </w:r>
            <w:bookmarkEnd w:id="59"/>
          </w:p>
        </w:tc>
      </w:tr>
      <w:tr w:rsidR="00C723F4" w:rsidRPr="00752204" w14:paraId="763E9187" w14:textId="77777777" w:rsidTr="00F845CA">
        <w:trPr>
          <w:trHeight w:val="600"/>
        </w:trPr>
        <w:tc>
          <w:tcPr>
            <w:tcW w:w="1547" w:type="dxa"/>
            <w:vMerge w:val="restart"/>
            <w:tcBorders>
              <w:top w:val="single" w:sz="4" w:space="0" w:color="auto"/>
              <w:left w:val="single" w:sz="8" w:space="0" w:color="auto"/>
              <w:right w:val="single" w:sz="8" w:space="0" w:color="auto"/>
            </w:tcBorders>
            <w:shd w:val="clear" w:color="000000" w:fill="auto"/>
            <w:vAlign w:val="center"/>
            <w:hideMark/>
          </w:tcPr>
          <w:p w14:paraId="3F0A1594" w14:textId="77777777" w:rsidR="00C723F4" w:rsidRPr="00752204" w:rsidRDefault="00C723F4" w:rsidP="00783DAF">
            <w:pPr>
              <w:spacing w:before="0" w:after="0"/>
              <w:jc w:val="center"/>
              <w:rPr>
                <w:rFonts w:ascii="Calibri" w:eastAsia="Times New Roman" w:hAnsi="Calibri" w:cs="Calibri"/>
                <w:color w:val="000000"/>
                <w:sz w:val="22"/>
                <w:lang w:val="en-US" w:eastAsia="fr-FR"/>
              </w:rPr>
            </w:pPr>
            <w:r w:rsidRPr="00752204">
              <w:rPr>
                <w:rFonts w:ascii="Calibri" w:eastAsia="Times New Roman" w:hAnsi="Calibri" w:cs="Calibri"/>
                <w:color w:val="000000"/>
                <w:sz w:val="22"/>
                <w:lang w:val="en-US" w:eastAsia="fr-FR"/>
              </w:rPr>
              <w:t>Interference Threshold (I/N) at the receiver P</w:t>
            </w:r>
            <w:r w:rsidRPr="00752204">
              <w:rPr>
                <w:rFonts w:ascii="Calibri" w:eastAsia="Times New Roman" w:hAnsi="Calibri" w:cs="Calibri"/>
                <w:color w:val="000000"/>
                <w:sz w:val="22"/>
                <w:vertAlign w:val="subscript"/>
                <w:lang w:val="en-US" w:eastAsia="fr-FR"/>
              </w:rPr>
              <w:t>R</w:t>
            </w:r>
          </w:p>
        </w:tc>
        <w:tc>
          <w:tcPr>
            <w:tcW w:w="1104" w:type="dxa"/>
            <w:tcBorders>
              <w:top w:val="single" w:sz="4" w:space="0" w:color="auto"/>
              <w:left w:val="single" w:sz="8" w:space="0" w:color="auto"/>
              <w:bottom w:val="single" w:sz="4" w:space="0" w:color="auto"/>
              <w:right w:val="single" w:sz="8" w:space="0" w:color="auto"/>
            </w:tcBorders>
            <w:shd w:val="clear" w:color="000000" w:fill="auto"/>
            <w:vAlign w:val="center"/>
          </w:tcPr>
          <w:p w14:paraId="00EAA9F5" w14:textId="77777777" w:rsidR="00C723F4" w:rsidRPr="00752204" w:rsidRDefault="00C723F4" w:rsidP="00783DAF">
            <w:pPr>
              <w:spacing w:before="0" w:after="0"/>
              <w:jc w:val="center"/>
              <w:rPr>
                <w:rFonts w:ascii="Calibri" w:eastAsia="Times New Roman" w:hAnsi="Calibri" w:cs="Calibri"/>
                <w:color w:val="000000"/>
                <w:sz w:val="22"/>
                <w:lang w:val="en-US" w:eastAsia="fr-FR"/>
              </w:rPr>
            </w:pPr>
            <w:r>
              <w:rPr>
                <w:rFonts w:ascii="Calibri" w:eastAsia="Times New Roman" w:hAnsi="Calibri" w:cs="Calibri"/>
                <w:color w:val="000000"/>
                <w:sz w:val="22"/>
                <w:lang w:val="en-US" w:eastAsia="fr-FR"/>
              </w:rPr>
              <w:t>dBm</w:t>
            </w:r>
          </w:p>
        </w:tc>
        <w:tc>
          <w:tcPr>
            <w:tcW w:w="0" w:type="auto"/>
            <w:tcBorders>
              <w:top w:val="single" w:sz="4" w:space="0" w:color="auto"/>
              <w:left w:val="nil"/>
              <w:bottom w:val="single" w:sz="4" w:space="0" w:color="auto"/>
              <w:right w:val="single" w:sz="8" w:space="0" w:color="auto"/>
            </w:tcBorders>
            <w:shd w:val="clear" w:color="auto" w:fill="auto"/>
            <w:noWrap/>
            <w:vAlign w:val="center"/>
          </w:tcPr>
          <w:p w14:paraId="4586D1A7" w14:textId="77777777" w:rsidR="00C723F4" w:rsidRPr="00752204" w:rsidRDefault="00C723F4" w:rsidP="00783DAF">
            <w:pPr>
              <w:spacing w:before="0" w:after="0"/>
              <w:jc w:val="center"/>
              <w:rPr>
                <w:rFonts w:ascii="Calibri" w:eastAsia="Times New Roman" w:hAnsi="Calibri" w:cs="Calibri"/>
                <w:color w:val="000000"/>
                <w:sz w:val="18"/>
                <w:lang w:val="en-US" w:eastAsia="fr-FR"/>
              </w:rPr>
            </w:pPr>
            <w:r>
              <w:rPr>
                <w:rFonts w:ascii="Calibri" w:eastAsia="Times New Roman" w:hAnsi="Calibri" w:cs="Calibri"/>
                <w:color w:val="000000"/>
                <w:sz w:val="18"/>
                <w:lang w:val="en-US" w:eastAsia="fr-FR"/>
              </w:rPr>
              <w:t>-92.84</w:t>
            </w:r>
          </w:p>
        </w:tc>
        <w:tc>
          <w:tcPr>
            <w:tcW w:w="0" w:type="auto"/>
            <w:tcBorders>
              <w:top w:val="single" w:sz="4" w:space="0" w:color="auto"/>
              <w:left w:val="nil"/>
              <w:bottom w:val="single" w:sz="4" w:space="0" w:color="auto"/>
              <w:right w:val="single" w:sz="8" w:space="0" w:color="auto"/>
            </w:tcBorders>
            <w:shd w:val="clear" w:color="auto" w:fill="auto"/>
            <w:noWrap/>
            <w:vAlign w:val="center"/>
          </w:tcPr>
          <w:p w14:paraId="6025CF9B" w14:textId="77777777" w:rsidR="00C723F4" w:rsidRPr="00752204" w:rsidRDefault="00C723F4" w:rsidP="00783DAF">
            <w:pPr>
              <w:spacing w:before="0" w:after="0"/>
              <w:jc w:val="center"/>
              <w:rPr>
                <w:rFonts w:ascii="Calibri" w:eastAsia="Times New Roman" w:hAnsi="Calibri" w:cs="Calibri"/>
                <w:color w:val="000000"/>
                <w:sz w:val="18"/>
                <w:lang w:val="en-US" w:eastAsia="fr-FR"/>
              </w:rPr>
            </w:pPr>
            <w:r>
              <w:rPr>
                <w:rFonts w:ascii="Calibri" w:eastAsia="Times New Roman" w:hAnsi="Calibri" w:cs="Calibri"/>
                <w:color w:val="000000"/>
                <w:sz w:val="18"/>
                <w:lang w:val="en-US" w:eastAsia="fr-FR"/>
              </w:rPr>
              <w:t>-95.78</w:t>
            </w:r>
          </w:p>
        </w:tc>
        <w:tc>
          <w:tcPr>
            <w:tcW w:w="0" w:type="auto"/>
            <w:tcBorders>
              <w:top w:val="single" w:sz="4" w:space="0" w:color="auto"/>
              <w:left w:val="nil"/>
              <w:bottom w:val="single" w:sz="4" w:space="0" w:color="auto"/>
              <w:right w:val="single" w:sz="8" w:space="0" w:color="auto"/>
            </w:tcBorders>
            <w:shd w:val="clear" w:color="auto" w:fill="auto"/>
            <w:noWrap/>
            <w:vAlign w:val="center"/>
          </w:tcPr>
          <w:p w14:paraId="259A4DBE" w14:textId="77777777" w:rsidR="00C723F4" w:rsidRPr="00752204" w:rsidRDefault="00C723F4" w:rsidP="00783DAF">
            <w:pPr>
              <w:spacing w:before="0" w:after="0"/>
              <w:jc w:val="center"/>
              <w:rPr>
                <w:rFonts w:ascii="Calibri" w:eastAsia="Times New Roman" w:hAnsi="Calibri" w:cs="Calibri"/>
                <w:color w:val="000000"/>
                <w:sz w:val="18"/>
                <w:lang w:val="en-US" w:eastAsia="fr-FR"/>
              </w:rPr>
            </w:pPr>
            <w:r>
              <w:rPr>
                <w:rFonts w:ascii="Calibri" w:eastAsia="Times New Roman" w:hAnsi="Calibri" w:cs="Calibri"/>
                <w:color w:val="000000"/>
                <w:sz w:val="18"/>
                <w:lang w:val="en-US" w:eastAsia="fr-FR"/>
              </w:rPr>
              <w:t>-95.78</w:t>
            </w:r>
          </w:p>
        </w:tc>
        <w:tc>
          <w:tcPr>
            <w:tcW w:w="0" w:type="auto"/>
            <w:tcBorders>
              <w:top w:val="single" w:sz="4" w:space="0" w:color="auto"/>
              <w:left w:val="nil"/>
              <w:bottom w:val="single" w:sz="4" w:space="0" w:color="auto"/>
              <w:right w:val="single" w:sz="8" w:space="0" w:color="auto"/>
            </w:tcBorders>
            <w:shd w:val="clear" w:color="auto" w:fill="auto"/>
            <w:noWrap/>
            <w:vAlign w:val="center"/>
          </w:tcPr>
          <w:p w14:paraId="2BA54319" w14:textId="5DEA1F92" w:rsidR="00C723F4" w:rsidRPr="00752204" w:rsidRDefault="009F7F31" w:rsidP="00783DAF">
            <w:pPr>
              <w:spacing w:before="0" w:after="0"/>
              <w:jc w:val="center"/>
              <w:rPr>
                <w:rFonts w:ascii="Calibri" w:eastAsia="Times New Roman" w:hAnsi="Calibri" w:cs="Calibri"/>
                <w:color w:val="000000"/>
                <w:sz w:val="18"/>
                <w:lang w:val="en-US" w:eastAsia="fr-FR"/>
              </w:rPr>
            </w:pPr>
            <w:r>
              <w:rPr>
                <w:rFonts w:ascii="Calibri" w:eastAsia="Times New Roman" w:hAnsi="Calibri" w:cs="Calibri"/>
                <w:color w:val="000000"/>
                <w:sz w:val="18"/>
                <w:lang w:val="en-US" w:eastAsia="fr-FR"/>
              </w:rPr>
              <w:t>-</w:t>
            </w:r>
            <w:r w:rsidR="00C723F4">
              <w:rPr>
                <w:rFonts w:ascii="Calibri" w:eastAsia="Times New Roman" w:hAnsi="Calibri" w:cs="Calibri"/>
                <w:color w:val="000000"/>
                <w:sz w:val="18"/>
                <w:lang w:val="en-US" w:eastAsia="fr-FR"/>
              </w:rPr>
              <w:t>100.36</w:t>
            </w:r>
          </w:p>
        </w:tc>
        <w:tc>
          <w:tcPr>
            <w:tcW w:w="0" w:type="auto"/>
            <w:tcBorders>
              <w:top w:val="single" w:sz="4" w:space="0" w:color="auto"/>
              <w:left w:val="nil"/>
              <w:bottom w:val="single" w:sz="4" w:space="0" w:color="auto"/>
              <w:right w:val="single" w:sz="8" w:space="0" w:color="auto"/>
            </w:tcBorders>
            <w:shd w:val="clear" w:color="auto" w:fill="auto"/>
            <w:noWrap/>
            <w:vAlign w:val="center"/>
          </w:tcPr>
          <w:p w14:paraId="7E0BDE16" w14:textId="79CA0CF0" w:rsidR="00C723F4" w:rsidRPr="00752204" w:rsidRDefault="009F7F31" w:rsidP="00783DAF">
            <w:pPr>
              <w:spacing w:before="0" w:after="0"/>
              <w:jc w:val="center"/>
              <w:rPr>
                <w:rFonts w:ascii="Calibri" w:eastAsia="Times New Roman" w:hAnsi="Calibri" w:cs="Calibri"/>
                <w:color w:val="000000"/>
                <w:sz w:val="18"/>
                <w:lang w:val="en-US" w:eastAsia="fr-FR"/>
              </w:rPr>
            </w:pPr>
            <w:r>
              <w:rPr>
                <w:rFonts w:ascii="Calibri" w:eastAsia="Times New Roman" w:hAnsi="Calibri" w:cs="Calibri"/>
                <w:color w:val="000000"/>
                <w:sz w:val="18"/>
                <w:lang w:val="en-US" w:eastAsia="fr-FR"/>
              </w:rPr>
              <w:t>-</w:t>
            </w:r>
            <w:r w:rsidR="00C723F4">
              <w:rPr>
                <w:rFonts w:ascii="Calibri" w:eastAsia="Times New Roman" w:hAnsi="Calibri" w:cs="Calibri"/>
                <w:color w:val="000000"/>
                <w:sz w:val="18"/>
                <w:lang w:val="en-US" w:eastAsia="fr-FR"/>
              </w:rPr>
              <w:t>102.22</w:t>
            </w:r>
          </w:p>
        </w:tc>
        <w:tc>
          <w:tcPr>
            <w:tcW w:w="0" w:type="auto"/>
            <w:tcBorders>
              <w:top w:val="single" w:sz="4" w:space="0" w:color="auto"/>
              <w:left w:val="nil"/>
              <w:bottom w:val="single" w:sz="4" w:space="0" w:color="auto"/>
              <w:right w:val="single" w:sz="8" w:space="0" w:color="auto"/>
            </w:tcBorders>
            <w:shd w:val="clear" w:color="auto" w:fill="auto"/>
            <w:noWrap/>
            <w:vAlign w:val="center"/>
          </w:tcPr>
          <w:p w14:paraId="2853E130" w14:textId="77777777" w:rsidR="00C723F4" w:rsidRPr="00752204" w:rsidRDefault="00C723F4" w:rsidP="00783DAF">
            <w:pPr>
              <w:spacing w:before="0" w:after="0"/>
              <w:jc w:val="center"/>
              <w:rPr>
                <w:rFonts w:ascii="Calibri" w:eastAsia="Times New Roman" w:hAnsi="Calibri" w:cs="Calibri"/>
                <w:color w:val="000000"/>
                <w:sz w:val="18"/>
                <w:lang w:val="en-US" w:eastAsia="fr-FR"/>
              </w:rPr>
            </w:pPr>
            <w:r>
              <w:rPr>
                <w:rFonts w:ascii="Calibri" w:eastAsia="Times New Roman" w:hAnsi="Calibri" w:cs="Calibri"/>
                <w:color w:val="000000"/>
                <w:sz w:val="18"/>
                <w:lang w:val="en-US" w:eastAsia="fr-FR"/>
              </w:rPr>
              <w:t>-97.96</w:t>
            </w:r>
          </w:p>
        </w:tc>
        <w:tc>
          <w:tcPr>
            <w:tcW w:w="0" w:type="auto"/>
            <w:tcBorders>
              <w:top w:val="single" w:sz="4" w:space="0" w:color="auto"/>
              <w:left w:val="nil"/>
              <w:bottom w:val="single" w:sz="4" w:space="0" w:color="auto"/>
              <w:right w:val="single" w:sz="8" w:space="0" w:color="auto"/>
            </w:tcBorders>
            <w:shd w:val="clear" w:color="auto" w:fill="auto"/>
            <w:noWrap/>
            <w:vAlign w:val="center"/>
          </w:tcPr>
          <w:p w14:paraId="34F2B732" w14:textId="77777777" w:rsidR="00C723F4" w:rsidRPr="00752204" w:rsidRDefault="00C723F4" w:rsidP="00783DAF">
            <w:pPr>
              <w:spacing w:before="0" w:after="0"/>
              <w:jc w:val="center"/>
              <w:rPr>
                <w:rFonts w:ascii="Calibri" w:eastAsia="Times New Roman" w:hAnsi="Calibri" w:cs="Calibri"/>
                <w:color w:val="000000"/>
                <w:sz w:val="18"/>
                <w:lang w:val="en-US" w:eastAsia="fr-FR"/>
              </w:rPr>
            </w:pPr>
            <w:r>
              <w:rPr>
                <w:rFonts w:ascii="Calibri" w:eastAsia="Times New Roman" w:hAnsi="Calibri" w:cs="Calibri"/>
                <w:color w:val="000000"/>
                <w:sz w:val="18"/>
                <w:lang w:val="en-US" w:eastAsia="fr-FR"/>
              </w:rPr>
              <w:t>-93.25</w:t>
            </w:r>
          </w:p>
        </w:tc>
        <w:tc>
          <w:tcPr>
            <w:tcW w:w="0" w:type="auto"/>
            <w:tcBorders>
              <w:top w:val="single" w:sz="4" w:space="0" w:color="auto"/>
              <w:left w:val="nil"/>
              <w:bottom w:val="single" w:sz="4" w:space="0" w:color="auto"/>
              <w:right w:val="single" w:sz="8" w:space="0" w:color="auto"/>
            </w:tcBorders>
            <w:shd w:val="clear" w:color="auto" w:fill="auto"/>
            <w:noWrap/>
            <w:vAlign w:val="center"/>
          </w:tcPr>
          <w:p w14:paraId="5E6ABAF3" w14:textId="77777777" w:rsidR="00C723F4" w:rsidRPr="00752204" w:rsidRDefault="00C723F4" w:rsidP="00783DAF">
            <w:pPr>
              <w:spacing w:before="0" w:after="0"/>
              <w:jc w:val="center"/>
              <w:rPr>
                <w:rFonts w:ascii="Calibri" w:eastAsia="Times New Roman" w:hAnsi="Calibri" w:cs="Calibri"/>
                <w:color w:val="000000"/>
                <w:sz w:val="18"/>
                <w:lang w:val="en-US" w:eastAsia="fr-FR"/>
              </w:rPr>
            </w:pPr>
            <w:r>
              <w:rPr>
                <w:rFonts w:ascii="Calibri" w:eastAsia="Times New Roman" w:hAnsi="Calibri" w:cs="Calibri"/>
                <w:color w:val="000000"/>
                <w:sz w:val="18"/>
                <w:lang w:val="en-US" w:eastAsia="fr-FR"/>
              </w:rPr>
              <w:t>-91.54</w:t>
            </w:r>
          </w:p>
        </w:tc>
        <w:tc>
          <w:tcPr>
            <w:tcW w:w="0" w:type="auto"/>
            <w:tcBorders>
              <w:top w:val="single" w:sz="4" w:space="0" w:color="auto"/>
              <w:left w:val="nil"/>
              <w:bottom w:val="single" w:sz="4" w:space="0" w:color="auto"/>
              <w:right w:val="single" w:sz="8" w:space="0" w:color="auto"/>
            </w:tcBorders>
            <w:shd w:val="clear" w:color="auto" w:fill="auto"/>
            <w:noWrap/>
            <w:vAlign w:val="center"/>
          </w:tcPr>
          <w:p w14:paraId="3F92E88D" w14:textId="77777777" w:rsidR="00C723F4" w:rsidRPr="00752204" w:rsidRDefault="00C723F4" w:rsidP="00783DAF">
            <w:pPr>
              <w:spacing w:before="0" w:after="0"/>
              <w:jc w:val="center"/>
              <w:rPr>
                <w:rFonts w:ascii="Calibri" w:eastAsia="Times New Roman" w:hAnsi="Calibri" w:cs="Calibri"/>
                <w:color w:val="000000"/>
                <w:sz w:val="18"/>
                <w:lang w:val="en-US" w:eastAsia="fr-FR"/>
              </w:rPr>
            </w:pPr>
            <w:r>
              <w:rPr>
                <w:rFonts w:ascii="Calibri" w:eastAsia="Times New Roman" w:hAnsi="Calibri" w:cs="Calibri"/>
                <w:color w:val="000000"/>
                <w:sz w:val="18"/>
                <w:lang w:val="en-US" w:eastAsia="fr-FR"/>
              </w:rPr>
              <w:t>-93.77</w:t>
            </w:r>
          </w:p>
        </w:tc>
        <w:tc>
          <w:tcPr>
            <w:tcW w:w="0" w:type="auto"/>
            <w:tcBorders>
              <w:top w:val="single" w:sz="4" w:space="0" w:color="auto"/>
              <w:left w:val="nil"/>
              <w:bottom w:val="single" w:sz="4" w:space="0" w:color="auto"/>
              <w:right w:val="single" w:sz="8" w:space="0" w:color="auto"/>
            </w:tcBorders>
            <w:shd w:val="clear" w:color="auto" w:fill="auto"/>
            <w:noWrap/>
            <w:vAlign w:val="center"/>
          </w:tcPr>
          <w:p w14:paraId="01F02EC3" w14:textId="77777777" w:rsidR="00C723F4" w:rsidRPr="00752204" w:rsidRDefault="00C723F4" w:rsidP="00783DAF">
            <w:pPr>
              <w:spacing w:before="0" w:after="0"/>
              <w:jc w:val="center"/>
              <w:rPr>
                <w:rFonts w:ascii="Calibri" w:eastAsia="Times New Roman" w:hAnsi="Calibri" w:cs="Calibri"/>
                <w:color w:val="000000"/>
                <w:sz w:val="18"/>
                <w:lang w:val="en-US" w:eastAsia="fr-FR"/>
              </w:rPr>
            </w:pPr>
            <w:r>
              <w:rPr>
                <w:rFonts w:ascii="Calibri" w:eastAsia="Times New Roman" w:hAnsi="Calibri" w:cs="Calibri"/>
                <w:color w:val="000000"/>
                <w:sz w:val="18"/>
                <w:lang w:val="en-US" w:eastAsia="fr-FR"/>
              </w:rPr>
              <w:t>-95.23</w:t>
            </w:r>
          </w:p>
        </w:tc>
      </w:tr>
      <w:tr w:rsidR="00C723F4" w:rsidRPr="00752204" w14:paraId="10F43945" w14:textId="77777777" w:rsidTr="00F845CA">
        <w:trPr>
          <w:trHeight w:val="600"/>
        </w:trPr>
        <w:tc>
          <w:tcPr>
            <w:tcW w:w="1547" w:type="dxa"/>
            <w:vMerge/>
            <w:tcBorders>
              <w:left w:val="single" w:sz="8" w:space="0" w:color="auto"/>
              <w:bottom w:val="single" w:sz="4" w:space="0" w:color="auto"/>
              <w:right w:val="single" w:sz="8" w:space="0" w:color="auto"/>
            </w:tcBorders>
            <w:shd w:val="clear" w:color="000000" w:fill="auto"/>
            <w:vAlign w:val="center"/>
          </w:tcPr>
          <w:p w14:paraId="5961EC11" w14:textId="77777777" w:rsidR="00C723F4" w:rsidRPr="00752204" w:rsidRDefault="00C723F4" w:rsidP="00F845CA">
            <w:pPr>
              <w:spacing w:before="0" w:after="0"/>
              <w:jc w:val="center"/>
              <w:rPr>
                <w:rFonts w:ascii="Calibri" w:eastAsia="Times New Roman" w:hAnsi="Calibri" w:cs="Calibri"/>
                <w:color w:val="000000"/>
                <w:sz w:val="22"/>
                <w:lang w:val="en-US" w:eastAsia="fr-FR"/>
              </w:rPr>
            </w:pPr>
          </w:p>
        </w:tc>
        <w:tc>
          <w:tcPr>
            <w:tcW w:w="1104" w:type="dxa"/>
            <w:tcBorders>
              <w:top w:val="single" w:sz="4" w:space="0" w:color="auto"/>
              <w:left w:val="single" w:sz="8" w:space="0" w:color="auto"/>
              <w:bottom w:val="single" w:sz="4" w:space="0" w:color="auto"/>
              <w:right w:val="single" w:sz="8" w:space="0" w:color="auto"/>
            </w:tcBorders>
            <w:shd w:val="clear" w:color="000000" w:fill="auto"/>
            <w:vAlign w:val="center"/>
          </w:tcPr>
          <w:p w14:paraId="1CAA3B0B" w14:textId="77777777" w:rsidR="00C723F4" w:rsidRPr="00752204" w:rsidRDefault="00C723F4" w:rsidP="00F845CA">
            <w:pPr>
              <w:spacing w:before="0" w:after="0"/>
              <w:jc w:val="center"/>
              <w:rPr>
                <w:rFonts w:ascii="Calibri" w:eastAsia="Times New Roman" w:hAnsi="Calibri" w:cs="Calibri"/>
                <w:color w:val="000000"/>
                <w:sz w:val="22"/>
                <w:lang w:val="en-US" w:eastAsia="fr-FR"/>
              </w:rPr>
            </w:pPr>
            <w:r w:rsidRPr="00752204">
              <w:rPr>
                <w:rFonts w:ascii="Calibri" w:eastAsia="Times New Roman" w:hAnsi="Calibri" w:cs="Calibri"/>
                <w:color w:val="000000"/>
                <w:sz w:val="22"/>
                <w:lang w:val="en-US" w:eastAsia="fr-FR"/>
              </w:rPr>
              <w:t>dBm/MHz</w:t>
            </w:r>
          </w:p>
        </w:tc>
        <w:tc>
          <w:tcPr>
            <w:tcW w:w="0" w:type="auto"/>
            <w:tcBorders>
              <w:top w:val="single" w:sz="4" w:space="0" w:color="auto"/>
              <w:left w:val="nil"/>
              <w:bottom w:val="single" w:sz="4" w:space="0" w:color="auto"/>
              <w:right w:val="single" w:sz="8" w:space="0" w:color="auto"/>
            </w:tcBorders>
            <w:shd w:val="clear" w:color="auto" w:fill="auto"/>
            <w:noWrap/>
            <w:vAlign w:val="center"/>
          </w:tcPr>
          <w:p w14:paraId="49A7D9EE" w14:textId="3710D765" w:rsidR="00C723F4" w:rsidRPr="00752204" w:rsidRDefault="009F7F31" w:rsidP="00F845CA">
            <w:pPr>
              <w:spacing w:before="0" w:after="0"/>
              <w:jc w:val="center"/>
              <w:rPr>
                <w:rFonts w:ascii="Calibri" w:eastAsia="Times New Roman" w:hAnsi="Calibri" w:cs="Calibri"/>
                <w:color w:val="000000"/>
                <w:sz w:val="18"/>
                <w:lang w:val="en-US" w:eastAsia="fr-FR"/>
              </w:rPr>
            </w:pPr>
            <w:r>
              <w:rPr>
                <w:rFonts w:ascii="Calibri" w:eastAsia="Times New Roman" w:hAnsi="Calibri" w:cs="Calibri"/>
                <w:color w:val="000000"/>
                <w:sz w:val="18"/>
                <w:lang w:val="en-US" w:eastAsia="fr-FR"/>
              </w:rPr>
              <w:t>-</w:t>
            </w:r>
            <w:r w:rsidR="00C723F4" w:rsidRPr="00752204">
              <w:rPr>
                <w:rFonts w:ascii="Calibri" w:eastAsia="Times New Roman" w:hAnsi="Calibri" w:cs="Calibri"/>
                <w:color w:val="000000"/>
                <w:sz w:val="18"/>
                <w:lang w:val="en-US" w:eastAsia="fr-FR"/>
              </w:rPr>
              <w:t>112,94</w:t>
            </w:r>
          </w:p>
        </w:tc>
        <w:tc>
          <w:tcPr>
            <w:tcW w:w="0" w:type="auto"/>
            <w:tcBorders>
              <w:top w:val="single" w:sz="4" w:space="0" w:color="auto"/>
              <w:left w:val="nil"/>
              <w:bottom w:val="single" w:sz="4" w:space="0" w:color="auto"/>
              <w:right w:val="single" w:sz="8" w:space="0" w:color="auto"/>
            </w:tcBorders>
            <w:shd w:val="clear" w:color="auto" w:fill="auto"/>
            <w:noWrap/>
            <w:vAlign w:val="center"/>
          </w:tcPr>
          <w:p w14:paraId="47605D7F" w14:textId="1C2409E5" w:rsidR="00C723F4" w:rsidRPr="00752204" w:rsidRDefault="009F7F31" w:rsidP="00F845CA">
            <w:pPr>
              <w:spacing w:before="0" w:after="0"/>
              <w:jc w:val="center"/>
              <w:rPr>
                <w:rFonts w:ascii="Calibri" w:eastAsia="Times New Roman" w:hAnsi="Calibri" w:cs="Calibri"/>
                <w:color w:val="000000"/>
                <w:sz w:val="18"/>
                <w:lang w:val="en-US" w:eastAsia="fr-FR"/>
              </w:rPr>
            </w:pPr>
            <w:r>
              <w:rPr>
                <w:rFonts w:ascii="Calibri" w:eastAsia="Times New Roman" w:hAnsi="Calibri" w:cs="Calibri"/>
                <w:color w:val="000000"/>
                <w:sz w:val="18"/>
                <w:lang w:val="en-US" w:eastAsia="fr-FR"/>
              </w:rPr>
              <w:t>-</w:t>
            </w:r>
            <w:r w:rsidR="00C723F4" w:rsidRPr="00752204">
              <w:rPr>
                <w:rFonts w:ascii="Calibri" w:eastAsia="Times New Roman" w:hAnsi="Calibri" w:cs="Calibri"/>
                <w:color w:val="000000"/>
                <w:sz w:val="18"/>
                <w:lang w:val="en-US" w:eastAsia="fr-FR"/>
              </w:rPr>
              <w:t>116,94</w:t>
            </w:r>
          </w:p>
        </w:tc>
        <w:tc>
          <w:tcPr>
            <w:tcW w:w="0" w:type="auto"/>
            <w:tcBorders>
              <w:top w:val="single" w:sz="4" w:space="0" w:color="auto"/>
              <w:left w:val="nil"/>
              <w:bottom w:val="single" w:sz="4" w:space="0" w:color="auto"/>
              <w:right w:val="single" w:sz="8" w:space="0" w:color="auto"/>
            </w:tcBorders>
            <w:shd w:val="clear" w:color="auto" w:fill="auto"/>
            <w:noWrap/>
            <w:vAlign w:val="center"/>
          </w:tcPr>
          <w:p w14:paraId="56EFA967" w14:textId="2D9C659E" w:rsidR="00C723F4" w:rsidRPr="00752204" w:rsidRDefault="009F7F31" w:rsidP="00F845CA">
            <w:pPr>
              <w:spacing w:before="0" w:after="0"/>
              <w:jc w:val="center"/>
              <w:rPr>
                <w:rFonts w:ascii="Calibri" w:eastAsia="Times New Roman" w:hAnsi="Calibri" w:cs="Calibri"/>
                <w:color w:val="000000"/>
                <w:sz w:val="18"/>
                <w:lang w:val="en-US" w:eastAsia="fr-FR"/>
              </w:rPr>
            </w:pPr>
            <w:r>
              <w:rPr>
                <w:rFonts w:ascii="Calibri" w:eastAsia="Times New Roman" w:hAnsi="Calibri" w:cs="Calibri"/>
                <w:color w:val="000000"/>
                <w:sz w:val="18"/>
                <w:lang w:val="en-US" w:eastAsia="fr-FR"/>
              </w:rPr>
              <w:t>-</w:t>
            </w:r>
            <w:r w:rsidR="00C723F4" w:rsidRPr="00752204">
              <w:rPr>
                <w:rFonts w:ascii="Calibri" w:eastAsia="Times New Roman" w:hAnsi="Calibri" w:cs="Calibri"/>
                <w:color w:val="000000"/>
                <w:sz w:val="18"/>
                <w:lang w:val="en-US" w:eastAsia="fr-FR"/>
              </w:rPr>
              <w:t>116,94</w:t>
            </w:r>
          </w:p>
        </w:tc>
        <w:tc>
          <w:tcPr>
            <w:tcW w:w="0" w:type="auto"/>
            <w:tcBorders>
              <w:top w:val="single" w:sz="4" w:space="0" w:color="auto"/>
              <w:left w:val="nil"/>
              <w:bottom w:val="single" w:sz="4" w:space="0" w:color="auto"/>
              <w:right w:val="single" w:sz="8" w:space="0" w:color="auto"/>
            </w:tcBorders>
            <w:shd w:val="clear" w:color="auto" w:fill="auto"/>
            <w:noWrap/>
            <w:vAlign w:val="center"/>
          </w:tcPr>
          <w:p w14:paraId="4342AD35" w14:textId="63F3268D" w:rsidR="00C723F4" w:rsidRPr="00752204" w:rsidRDefault="009F7F31" w:rsidP="00F845CA">
            <w:pPr>
              <w:spacing w:before="0" w:after="0"/>
              <w:jc w:val="center"/>
              <w:rPr>
                <w:rFonts w:ascii="Calibri" w:eastAsia="Times New Roman" w:hAnsi="Calibri" w:cs="Calibri"/>
                <w:color w:val="000000"/>
                <w:sz w:val="18"/>
                <w:lang w:val="en-US" w:eastAsia="fr-FR"/>
              </w:rPr>
            </w:pPr>
            <w:r>
              <w:rPr>
                <w:rFonts w:ascii="Calibri" w:eastAsia="Times New Roman" w:hAnsi="Calibri" w:cs="Calibri"/>
                <w:color w:val="000000"/>
                <w:sz w:val="18"/>
                <w:lang w:val="en-US" w:eastAsia="fr-FR"/>
              </w:rPr>
              <w:t>-</w:t>
            </w:r>
            <w:r w:rsidR="00C723F4" w:rsidRPr="00752204">
              <w:rPr>
                <w:rFonts w:ascii="Calibri" w:eastAsia="Times New Roman" w:hAnsi="Calibri" w:cs="Calibri"/>
                <w:color w:val="000000"/>
                <w:sz w:val="18"/>
                <w:lang w:val="en-US" w:eastAsia="fr-FR"/>
              </w:rPr>
              <w:t>109,93</w:t>
            </w:r>
          </w:p>
        </w:tc>
        <w:tc>
          <w:tcPr>
            <w:tcW w:w="0" w:type="auto"/>
            <w:tcBorders>
              <w:top w:val="single" w:sz="4" w:space="0" w:color="auto"/>
              <w:left w:val="nil"/>
              <w:bottom w:val="single" w:sz="4" w:space="0" w:color="auto"/>
              <w:right w:val="single" w:sz="8" w:space="0" w:color="auto"/>
            </w:tcBorders>
            <w:shd w:val="clear" w:color="auto" w:fill="auto"/>
            <w:noWrap/>
            <w:vAlign w:val="center"/>
          </w:tcPr>
          <w:p w14:paraId="6FFBAD75" w14:textId="021AEC5B" w:rsidR="00C723F4" w:rsidRPr="00752204" w:rsidRDefault="009F7F31" w:rsidP="00F845CA">
            <w:pPr>
              <w:spacing w:before="0" w:after="0"/>
              <w:jc w:val="center"/>
              <w:rPr>
                <w:rFonts w:ascii="Calibri" w:eastAsia="Times New Roman" w:hAnsi="Calibri" w:cs="Calibri"/>
                <w:color w:val="000000"/>
                <w:sz w:val="18"/>
                <w:lang w:val="en-US" w:eastAsia="fr-FR"/>
              </w:rPr>
            </w:pPr>
            <w:r>
              <w:rPr>
                <w:rFonts w:ascii="Calibri" w:eastAsia="Times New Roman" w:hAnsi="Calibri" w:cs="Calibri"/>
                <w:color w:val="000000"/>
                <w:sz w:val="18"/>
                <w:lang w:val="en-US" w:eastAsia="fr-FR"/>
              </w:rPr>
              <w:t>-</w:t>
            </w:r>
            <w:r w:rsidR="00C723F4" w:rsidRPr="00752204">
              <w:rPr>
                <w:rFonts w:ascii="Calibri" w:eastAsia="Times New Roman" w:hAnsi="Calibri" w:cs="Calibri"/>
                <w:color w:val="000000"/>
                <w:sz w:val="18"/>
                <w:lang w:val="en-US" w:eastAsia="fr-FR"/>
              </w:rPr>
              <w:t>109,93</w:t>
            </w:r>
          </w:p>
        </w:tc>
        <w:tc>
          <w:tcPr>
            <w:tcW w:w="0" w:type="auto"/>
            <w:tcBorders>
              <w:top w:val="single" w:sz="4" w:space="0" w:color="auto"/>
              <w:left w:val="nil"/>
              <w:bottom w:val="single" w:sz="4" w:space="0" w:color="auto"/>
              <w:right w:val="single" w:sz="8" w:space="0" w:color="auto"/>
            </w:tcBorders>
            <w:shd w:val="clear" w:color="auto" w:fill="auto"/>
            <w:noWrap/>
            <w:vAlign w:val="center"/>
          </w:tcPr>
          <w:p w14:paraId="253A4E3A" w14:textId="77777777" w:rsidR="00C723F4" w:rsidRPr="00752204" w:rsidRDefault="00C723F4" w:rsidP="00F845CA">
            <w:pPr>
              <w:spacing w:before="0" w:after="0"/>
              <w:jc w:val="center"/>
              <w:rPr>
                <w:rFonts w:ascii="Calibri" w:eastAsia="Times New Roman" w:hAnsi="Calibri" w:cs="Calibri"/>
                <w:color w:val="000000"/>
                <w:sz w:val="18"/>
                <w:lang w:val="en-US" w:eastAsia="fr-FR"/>
              </w:rPr>
            </w:pPr>
            <w:r w:rsidRPr="00752204">
              <w:rPr>
                <w:rFonts w:ascii="Calibri" w:eastAsia="Times New Roman" w:hAnsi="Calibri" w:cs="Calibri"/>
                <w:color w:val="000000"/>
                <w:sz w:val="18"/>
                <w:lang w:val="en-US" w:eastAsia="fr-FR"/>
              </w:rPr>
              <w:t>-109,93</w:t>
            </w:r>
          </w:p>
        </w:tc>
        <w:tc>
          <w:tcPr>
            <w:tcW w:w="0" w:type="auto"/>
            <w:tcBorders>
              <w:top w:val="single" w:sz="4" w:space="0" w:color="auto"/>
              <w:left w:val="nil"/>
              <w:bottom w:val="single" w:sz="4" w:space="0" w:color="auto"/>
              <w:right w:val="single" w:sz="8" w:space="0" w:color="auto"/>
            </w:tcBorders>
            <w:shd w:val="clear" w:color="auto" w:fill="auto"/>
            <w:noWrap/>
            <w:vAlign w:val="center"/>
          </w:tcPr>
          <w:p w14:paraId="48D7D020" w14:textId="77777777" w:rsidR="00C723F4" w:rsidRPr="00752204" w:rsidRDefault="00C723F4" w:rsidP="00F845CA">
            <w:pPr>
              <w:spacing w:before="0" w:after="0"/>
              <w:jc w:val="center"/>
              <w:rPr>
                <w:rFonts w:ascii="Calibri" w:eastAsia="Times New Roman" w:hAnsi="Calibri" w:cs="Calibri"/>
                <w:color w:val="000000"/>
                <w:sz w:val="18"/>
                <w:lang w:val="en-US" w:eastAsia="fr-FR"/>
              </w:rPr>
            </w:pPr>
            <w:r w:rsidRPr="00752204">
              <w:rPr>
                <w:rFonts w:ascii="Calibri" w:eastAsia="Times New Roman" w:hAnsi="Calibri" w:cs="Calibri"/>
                <w:color w:val="000000"/>
                <w:sz w:val="18"/>
                <w:lang w:val="en-US" w:eastAsia="fr-FR"/>
              </w:rPr>
              <w:t>-114,94</w:t>
            </w:r>
          </w:p>
        </w:tc>
        <w:tc>
          <w:tcPr>
            <w:tcW w:w="0" w:type="auto"/>
            <w:tcBorders>
              <w:top w:val="single" w:sz="4" w:space="0" w:color="auto"/>
              <w:left w:val="nil"/>
              <w:bottom w:val="single" w:sz="4" w:space="0" w:color="auto"/>
              <w:right w:val="single" w:sz="8" w:space="0" w:color="auto"/>
            </w:tcBorders>
            <w:shd w:val="clear" w:color="auto" w:fill="auto"/>
            <w:noWrap/>
            <w:vAlign w:val="center"/>
          </w:tcPr>
          <w:p w14:paraId="1A58394A" w14:textId="77777777" w:rsidR="00C723F4" w:rsidRPr="00752204" w:rsidRDefault="00C723F4" w:rsidP="00F845CA">
            <w:pPr>
              <w:spacing w:before="0" w:after="0"/>
              <w:jc w:val="center"/>
              <w:rPr>
                <w:rFonts w:ascii="Calibri" w:eastAsia="Times New Roman" w:hAnsi="Calibri" w:cs="Calibri"/>
                <w:color w:val="000000"/>
                <w:sz w:val="18"/>
                <w:lang w:val="en-US" w:eastAsia="fr-FR"/>
              </w:rPr>
            </w:pPr>
            <w:r w:rsidRPr="00752204">
              <w:rPr>
                <w:rFonts w:ascii="Calibri" w:eastAsia="Times New Roman" w:hAnsi="Calibri" w:cs="Calibri"/>
                <w:color w:val="000000"/>
                <w:sz w:val="18"/>
                <w:lang w:val="en-US" w:eastAsia="fr-FR"/>
              </w:rPr>
              <w:t>-113,94</w:t>
            </w:r>
          </w:p>
        </w:tc>
        <w:tc>
          <w:tcPr>
            <w:tcW w:w="0" w:type="auto"/>
            <w:tcBorders>
              <w:top w:val="single" w:sz="4" w:space="0" w:color="auto"/>
              <w:left w:val="nil"/>
              <w:bottom w:val="single" w:sz="4" w:space="0" w:color="auto"/>
              <w:right w:val="single" w:sz="8" w:space="0" w:color="auto"/>
            </w:tcBorders>
            <w:shd w:val="clear" w:color="auto" w:fill="auto"/>
            <w:noWrap/>
            <w:vAlign w:val="center"/>
          </w:tcPr>
          <w:p w14:paraId="459A814F" w14:textId="77777777" w:rsidR="00C723F4" w:rsidRPr="00752204" w:rsidRDefault="00C723F4" w:rsidP="00F845CA">
            <w:pPr>
              <w:spacing w:before="0" w:after="0"/>
              <w:jc w:val="center"/>
              <w:rPr>
                <w:rFonts w:ascii="Calibri" w:eastAsia="Times New Roman" w:hAnsi="Calibri" w:cs="Calibri"/>
                <w:color w:val="000000"/>
                <w:sz w:val="18"/>
                <w:lang w:val="en-US" w:eastAsia="fr-FR"/>
              </w:rPr>
            </w:pPr>
            <w:r w:rsidRPr="00752204">
              <w:rPr>
                <w:rFonts w:ascii="Calibri" w:eastAsia="Times New Roman" w:hAnsi="Calibri" w:cs="Calibri"/>
                <w:color w:val="000000"/>
                <w:sz w:val="18"/>
                <w:lang w:val="en-US" w:eastAsia="fr-FR"/>
              </w:rPr>
              <w:t>-114,94</w:t>
            </w:r>
          </w:p>
        </w:tc>
        <w:tc>
          <w:tcPr>
            <w:tcW w:w="0" w:type="auto"/>
            <w:tcBorders>
              <w:top w:val="single" w:sz="4" w:space="0" w:color="auto"/>
              <w:left w:val="nil"/>
              <w:bottom w:val="single" w:sz="4" w:space="0" w:color="auto"/>
              <w:right w:val="single" w:sz="8" w:space="0" w:color="auto"/>
            </w:tcBorders>
            <w:shd w:val="clear" w:color="auto" w:fill="auto"/>
            <w:noWrap/>
            <w:vAlign w:val="center"/>
          </w:tcPr>
          <w:p w14:paraId="535F7ABB" w14:textId="77777777" w:rsidR="00C723F4" w:rsidRPr="00752204" w:rsidRDefault="00C723F4" w:rsidP="00F845CA">
            <w:pPr>
              <w:spacing w:before="0" w:after="0"/>
              <w:jc w:val="center"/>
              <w:rPr>
                <w:rFonts w:ascii="Calibri" w:eastAsia="Times New Roman" w:hAnsi="Calibri" w:cs="Calibri"/>
                <w:color w:val="000000"/>
                <w:sz w:val="18"/>
                <w:lang w:val="en-US" w:eastAsia="fr-FR"/>
              </w:rPr>
            </w:pPr>
            <w:r w:rsidRPr="00752204">
              <w:rPr>
                <w:rFonts w:ascii="Calibri" w:eastAsia="Times New Roman" w:hAnsi="Calibri" w:cs="Calibri"/>
                <w:color w:val="000000"/>
                <w:sz w:val="18"/>
                <w:lang w:val="en-US" w:eastAsia="fr-FR"/>
              </w:rPr>
              <w:t>-109,93</w:t>
            </w:r>
          </w:p>
        </w:tc>
      </w:tr>
      <w:tr w:rsidR="00C723F4" w:rsidRPr="00752204" w14:paraId="05285463" w14:textId="77777777" w:rsidTr="00783DAF">
        <w:trPr>
          <w:trHeight w:val="300"/>
        </w:trPr>
        <w:tc>
          <w:tcPr>
            <w:tcW w:w="0" w:type="auto"/>
            <w:gridSpan w:val="2"/>
            <w:tcBorders>
              <w:top w:val="single" w:sz="4" w:space="0" w:color="auto"/>
              <w:left w:val="single" w:sz="8" w:space="0" w:color="auto"/>
              <w:bottom w:val="single" w:sz="8" w:space="0" w:color="auto"/>
              <w:right w:val="single" w:sz="8" w:space="0" w:color="auto"/>
            </w:tcBorders>
            <w:shd w:val="clear" w:color="000000" w:fill="auto"/>
            <w:vAlign w:val="center"/>
            <w:hideMark/>
          </w:tcPr>
          <w:p w14:paraId="0445BDAC" w14:textId="77777777" w:rsidR="00C723F4" w:rsidRPr="00512043" w:rsidRDefault="00C723F4" w:rsidP="00F845CA">
            <w:pPr>
              <w:spacing w:before="0" w:after="0"/>
              <w:jc w:val="center"/>
              <w:rPr>
                <w:rFonts w:ascii="Calibri" w:eastAsia="Times New Roman" w:hAnsi="Calibri" w:cs="Calibri"/>
                <w:color w:val="000000"/>
                <w:sz w:val="22"/>
                <w:lang w:val="es-ES" w:eastAsia="fr-FR"/>
              </w:rPr>
            </w:pPr>
            <w:r w:rsidRPr="00512043">
              <w:rPr>
                <w:rFonts w:ascii="Calibri" w:eastAsia="Times New Roman" w:hAnsi="Calibri" w:cs="Calibri"/>
                <w:color w:val="000000"/>
                <w:sz w:val="22"/>
                <w:lang w:val="es-ES" w:eastAsia="fr-FR"/>
              </w:rPr>
              <w:t xml:space="preserve">False </w:t>
            </w:r>
            <w:proofErr w:type="spellStart"/>
            <w:r w:rsidRPr="00512043">
              <w:rPr>
                <w:rFonts w:ascii="Calibri" w:eastAsia="Times New Roman" w:hAnsi="Calibri" w:cs="Calibri"/>
                <w:color w:val="000000"/>
                <w:sz w:val="22"/>
                <w:lang w:val="es-ES" w:eastAsia="fr-FR"/>
              </w:rPr>
              <w:t>Altitude</w:t>
            </w:r>
            <w:proofErr w:type="spellEnd"/>
            <w:r w:rsidRPr="00512043">
              <w:rPr>
                <w:rFonts w:ascii="Calibri" w:eastAsia="Times New Roman" w:hAnsi="Calibri" w:cs="Calibri"/>
                <w:color w:val="000000"/>
                <w:sz w:val="22"/>
                <w:lang w:val="es-ES" w:eastAsia="fr-FR"/>
              </w:rPr>
              <w:t xml:space="preserve"> </w:t>
            </w:r>
            <w:proofErr w:type="spellStart"/>
            <w:r w:rsidRPr="00512043">
              <w:rPr>
                <w:rFonts w:ascii="Calibri" w:eastAsia="Times New Roman" w:hAnsi="Calibri" w:cs="Calibri"/>
                <w:color w:val="000000"/>
                <w:sz w:val="22"/>
                <w:lang w:val="es-ES" w:eastAsia="fr-FR"/>
              </w:rPr>
              <w:t>criteria</w:t>
            </w:r>
            <w:proofErr w:type="spellEnd"/>
            <w:r w:rsidRPr="00512043">
              <w:rPr>
                <w:rFonts w:ascii="Calibri" w:eastAsia="Times New Roman" w:hAnsi="Calibri" w:cs="Calibri"/>
                <w:color w:val="000000"/>
                <w:sz w:val="22"/>
                <w:lang w:val="es-ES" w:eastAsia="fr-FR"/>
              </w:rPr>
              <w:t xml:space="preserve"> (</w:t>
            </w:r>
            <w:proofErr w:type="spellStart"/>
            <w:r w:rsidRPr="00512043">
              <w:rPr>
                <w:rFonts w:ascii="Calibri" w:eastAsia="Times New Roman" w:hAnsi="Calibri" w:cs="Calibri"/>
                <w:color w:val="000000"/>
                <w:sz w:val="22"/>
                <w:lang w:val="es-ES" w:eastAsia="fr-FR"/>
              </w:rPr>
              <w:t>dBm</w:t>
            </w:r>
            <w:proofErr w:type="spellEnd"/>
            <w:r w:rsidRPr="00512043">
              <w:rPr>
                <w:rFonts w:ascii="Calibri" w:eastAsia="Times New Roman" w:hAnsi="Calibri" w:cs="Calibri"/>
                <w:color w:val="000000"/>
                <w:sz w:val="22"/>
                <w:lang w:val="es-ES" w:eastAsia="fr-FR"/>
              </w:rPr>
              <w:t>/MHz)</w:t>
            </w:r>
          </w:p>
        </w:tc>
        <w:tc>
          <w:tcPr>
            <w:tcW w:w="0" w:type="auto"/>
            <w:tcBorders>
              <w:top w:val="nil"/>
              <w:left w:val="nil"/>
              <w:bottom w:val="single" w:sz="8" w:space="0" w:color="auto"/>
              <w:right w:val="single" w:sz="8" w:space="0" w:color="auto"/>
            </w:tcBorders>
            <w:shd w:val="clear" w:color="auto" w:fill="auto"/>
            <w:noWrap/>
            <w:vAlign w:val="center"/>
            <w:hideMark/>
          </w:tcPr>
          <w:p w14:paraId="028A2C68" w14:textId="77777777" w:rsidR="00C723F4" w:rsidRPr="00752204" w:rsidRDefault="00C723F4" w:rsidP="00F845CA">
            <w:pPr>
              <w:spacing w:before="0" w:after="0"/>
              <w:jc w:val="center"/>
              <w:rPr>
                <w:rFonts w:ascii="Calibri" w:eastAsia="Times New Roman" w:hAnsi="Calibri" w:cs="Calibri"/>
                <w:color w:val="000000"/>
                <w:sz w:val="18"/>
                <w:lang w:val="en-US" w:eastAsia="fr-FR"/>
              </w:rPr>
            </w:pPr>
            <w:r w:rsidRPr="00752204">
              <w:rPr>
                <w:rFonts w:ascii="Calibri" w:eastAsia="Times New Roman" w:hAnsi="Calibri" w:cs="Calibri"/>
                <w:color w:val="000000"/>
                <w:sz w:val="18"/>
                <w:lang w:val="en-US" w:eastAsia="fr-FR"/>
              </w:rPr>
              <w:t>-103,00</w:t>
            </w:r>
          </w:p>
        </w:tc>
        <w:tc>
          <w:tcPr>
            <w:tcW w:w="0" w:type="auto"/>
            <w:tcBorders>
              <w:top w:val="nil"/>
              <w:left w:val="nil"/>
              <w:bottom w:val="single" w:sz="8" w:space="0" w:color="auto"/>
              <w:right w:val="single" w:sz="8" w:space="0" w:color="auto"/>
            </w:tcBorders>
            <w:shd w:val="clear" w:color="auto" w:fill="auto"/>
            <w:noWrap/>
            <w:vAlign w:val="center"/>
            <w:hideMark/>
          </w:tcPr>
          <w:p w14:paraId="09D638BF" w14:textId="77777777" w:rsidR="00C723F4" w:rsidRPr="00752204" w:rsidRDefault="00C723F4" w:rsidP="00F845CA">
            <w:pPr>
              <w:spacing w:before="0" w:after="0"/>
              <w:jc w:val="center"/>
              <w:rPr>
                <w:rFonts w:ascii="Calibri" w:eastAsia="Times New Roman" w:hAnsi="Calibri" w:cs="Calibri"/>
                <w:color w:val="000000"/>
                <w:sz w:val="18"/>
                <w:lang w:val="en-US" w:eastAsia="fr-FR"/>
              </w:rPr>
            </w:pPr>
            <w:r w:rsidRPr="00752204">
              <w:rPr>
                <w:rFonts w:ascii="Calibri" w:eastAsia="Times New Roman" w:hAnsi="Calibri" w:cs="Calibri"/>
                <w:color w:val="000000"/>
                <w:sz w:val="18"/>
                <w:lang w:val="en-US" w:eastAsia="fr-FR"/>
              </w:rPr>
              <w:t>-103,00</w:t>
            </w:r>
          </w:p>
        </w:tc>
        <w:tc>
          <w:tcPr>
            <w:tcW w:w="0" w:type="auto"/>
            <w:tcBorders>
              <w:top w:val="nil"/>
              <w:left w:val="nil"/>
              <w:bottom w:val="single" w:sz="8" w:space="0" w:color="auto"/>
              <w:right w:val="single" w:sz="8" w:space="0" w:color="auto"/>
            </w:tcBorders>
            <w:shd w:val="clear" w:color="auto" w:fill="auto"/>
            <w:noWrap/>
            <w:vAlign w:val="center"/>
            <w:hideMark/>
          </w:tcPr>
          <w:p w14:paraId="7A4BBC3F" w14:textId="77777777" w:rsidR="00C723F4" w:rsidRPr="00752204" w:rsidRDefault="00C723F4" w:rsidP="00F845CA">
            <w:pPr>
              <w:spacing w:before="0" w:after="0"/>
              <w:jc w:val="center"/>
              <w:rPr>
                <w:rFonts w:ascii="Calibri" w:eastAsia="Times New Roman" w:hAnsi="Calibri" w:cs="Calibri"/>
                <w:color w:val="000000"/>
                <w:sz w:val="18"/>
                <w:lang w:val="en-US" w:eastAsia="fr-FR"/>
              </w:rPr>
            </w:pPr>
            <w:r w:rsidRPr="00752204">
              <w:rPr>
                <w:rFonts w:ascii="Calibri" w:eastAsia="Times New Roman" w:hAnsi="Calibri" w:cs="Calibri"/>
                <w:color w:val="000000"/>
                <w:sz w:val="18"/>
                <w:lang w:val="en-US" w:eastAsia="fr-FR"/>
              </w:rPr>
              <w:t>-103,00</w:t>
            </w:r>
          </w:p>
        </w:tc>
        <w:tc>
          <w:tcPr>
            <w:tcW w:w="0" w:type="auto"/>
            <w:tcBorders>
              <w:top w:val="nil"/>
              <w:left w:val="nil"/>
              <w:bottom w:val="single" w:sz="4" w:space="0" w:color="auto"/>
              <w:right w:val="single" w:sz="8" w:space="0" w:color="auto"/>
            </w:tcBorders>
            <w:shd w:val="clear" w:color="auto" w:fill="auto"/>
            <w:noWrap/>
            <w:vAlign w:val="center"/>
            <w:hideMark/>
          </w:tcPr>
          <w:p w14:paraId="4681AAF2" w14:textId="77777777" w:rsidR="00C723F4" w:rsidRPr="00752204" w:rsidRDefault="00C723F4" w:rsidP="00F845CA">
            <w:pPr>
              <w:spacing w:before="0" w:after="0"/>
              <w:jc w:val="center"/>
              <w:rPr>
                <w:rFonts w:ascii="Calibri" w:eastAsia="Times New Roman" w:hAnsi="Calibri" w:cs="Calibri"/>
                <w:color w:val="000000"/>
                <w:sz w:val="18"/>
                <w:lang w:val="en-US" w:eastAsia="fr-FR"/>
              </w:rPr>
            </w:pPr>
            <w:r w:rsidRPr="00752204">
              <w:rPr>
                <w:rFonts w:ascii="Calibri" w:eastAsia="Times New Roman" w:hAnsi="Calibri" w:cs="Calibri"/>
                <w:color w:val="000000"/>
                <w:sz w:val="18"/>
                <w:lang w:val="en-US" w:eastAsia="fr-FR"/>
              </w:rPr>
              <w:t>-</w:t>
            </w:r>
          </w:p>
        </w:tc>
        <w:tc>
          <w:tcPr>
            <w:tcW w:w="0" w:type="auto"/>
            <w:tcBorders>
              <w:top w:val="nil"/>
              <w:left w:val="nil"/>
              <w:bottom w:val="single" w:sz="4" w:space="0" w:color="auto"/>
              <w:right w:val="single" w:sz="8" w:space="0" w:color="auto"/>
            </w:tcBorders>
            <w:shd w:val="clear" w:color="auto" w:fill="auto"/>
            <w:noWrap/>
            <w:vAlign w:val="center"/>
            <w:hideMark/>
          </w:tcPr>
          <w:p w14:paraId="7787F062" w14:textId="77777777" w:rsidR="00C723F4" w:rsidRPr="00752204" w:rsidRDefault="00C723F4" w:rsidP="00F845CA">
            <w:pPr>
              <w:spacing w:before="0" w:after="0"/>
              <w:jc w:val="center"/>
              <w:rPr>
                <w:rFonts w:ascii="Calibri" w:eastAsia="Times New Roman" w:hAnsi="Calibri" w:cs="Calibri"/>
                <w:color w:val="000000"/>
                <w:sz w:val="18"/>
                <w:lang w:val="en-US" w:eastAsia="fr-FR"/>
              </w:rPr>
            </w:pPr>
            <w:r w:rsidRPr="00752204">
              <w:rPr>
                <w:rFonts w:ascii="Calibri" w:eastAsia="Times New Roman" w:hAnsi="Calibri" w:cs="Calibri"/>
                <w:color w:val="000000"/>
                <w:sz w:val="18"/>
                <w:lang w:val="en-US" w:eastAsia="fr-FR"/>
              </w:rPr>
              <w:t>-</w:t>
            </w:r>
          </w:p>
        </w:tc>
        <w:tc>
          <w:tcPr>
            <w:tcW w:w="0" w:type="auto"/>
            <w:tcBorders>
              <w:top w:val="nil"/>
              <w:left w:val="nil"/>
              <w:bottom w:val="single" w:sz="4" w:space="0" w:color="auto"/>
              <w:right w:val="single" w:sz="8" w:space="0" w:color="auto"/>
            </w:tcBorders>
            <w:shd w:val="clear" w:color="auto" w:fill="auto"/>
            <w:noWrap/>
            <w:vAlign w:val="center"/>
            <w:hideMark/>
          </w:tcPr>
          <w:p w14:paraId="351DE413" w14:textId="77777777" w:rsidR="00C723F4" w:rsidRPr="00752204" w:rsidRDefault="00C723F4" w:rsidP="00F845CA">
            <w:pPr>
              <w:spacing w:before="0" w:after="0"/>
              <w:jc w:val="center"/>
              <w:rPr>
                <w:rFonts w:ascii="Calibri" w:eastAsia="Times New Roman" w:hAnsi="Calibri" w:cs="Calibri"/>
                <w:color w:val="000000"/>
                <w:sz w:val="18"/>
                <w:lang w:val="en-US" w:eastAsia="fr-FR"/>
              </w:rPr>
            </w:pPr>
            <w:r w:rsidRPr="00752204">
              <w:rPr>
                <w:rFonts w:ascii="Calibri" w:eastAsia="Times New Roman" w:hAnsi="Calibri" w:cs="Calibri"/>
                <w:color w:val="000000"/>
                <w:sz w:val="18"/>
                <w:lang w:val="en-US" w:eastAsia="fr-FR"/>
              </w:rPr>
              <w:t>-</w:t>
            </w:r>
          </w:p>
        </w:tc>
        <w:tc>
          <w:tcPr>
            <w:tcW w:w="0" w:type="auto"/>
            <w:tcBorders>
              <w:top w:val="nil"/>
              <w:left w:val="nil"/>
              <w:bottom w:val="single" w:sz="8" w:space="0" w:color="auto"/>
              <w:right w:val="single" w:sz="8" w:space="0" w:color="auto"/>
            </w:tcBorders>
            <w:shd w:val="clear" w:color="auto" w:fill="auto"/>
            <w:noWrap/>
            <w:vAlign w:val="center"/>
            <w:hideMark/>
          </w:tcPr>
          <w:p w14:paraId="56C38C23" w14:textId="77777777" w:rsidR="00C723F4" w:rsidRPr="00752204" w:rsidRDefault="00C723F4" w:rsidP="00F845CA">
            <w:pPr>
              <w:spacing w:before="0" w:after="0"/>
              <w:jc w:val="center"/>
              <w:rPr>
                <w:rFonts w:ascii="Calibri" w:eastAsia="Times New Roman" w:hAnsi="Calibri" w:cs="Calibri"/>
                <w:color w:val="000000"/>
                <w:sz w:val="18"/>
                <w:lang w:val="en-US" w:eastAsia="fr-FR"/>
              </w:rPr>
            </w:pPr>
            <w:r w:rsidRPr="00752204">
              <w:rPr>
                <w:rFonts w:ascii="Calibri" w:eastAsia="Times New Roman" w:hAnsi="Calibri" w:cs="Calibri"/>
                <w:color w:val="000000"/>
                <w:sz w:val="18"/>
                <w:lang w:val="en-US" w:eastAsia="fr-FR"/>
              </w:rPr>
              <w:t>-103,00</w:t>
            </w:r>
          </w:p>
        </w:tc>
        <w:tc>
          <w:tcPr>
            <w:tcW w:w="0" w:type="auto"/>
            <w:tcBorders>
              <w:top w:val="nil"/>
              <w:left w:val="nil"/>
              <w:bottom w:val="single" w:sz="8" w:space="0" w:color="auto"/>
              <w:right w:val="single" w:sz="8" w:space="0" w:color="auto"/>
            </w:tcBorders>
            <w:shd w:val="clear" w:color="auto" w:fill="auto"/>
            <w:noWrap/>
            <w:vAlign w:val="center"/>
            <w:hideMark/>
          </w:tcPr>
          <w:p w14:paraId="26E3EF63" w14:textId="77777777" w:rsidR="00C723F4" w:rsidRPr="00752204" w:rsidRDefault="00C723F4" w:rsidP="00F845CA">
            <w:pPr>
              <w:spacing w:before="0" w:after="0"/>
              <w:jc w:val="center"/>
              <w:rPr>
                <w:rFonts w:ascii="Calibri" w:eastAsia="Times New Roman" w:hAnsi="Calibri" w:cs="Calibri"/>
                <w:color w:val="000000"/>
                <w:sz w:val="18"/>
                <w:lang w:val="en-US" w:eastAsia="fr-FR"/>
              </w:rPr>
            </w:pPr>
            <w:r w:rsidRPr="00752204">
              <w:rPr>
                <w:rFonts w:ascii="Calibri" w:eastAsia="Times New Roman" w:hAnsi="Calibri" w:cs="Calibri"/>
                <w:color w:val="000000"/>
                <w:sz w:val="18"/>
                <w:lang w:val="en-US" w:eastAsia="fr-FR"/>
              </w:rPr>
              <w:t>-103,00</w:t>
            </w:r>
          </w:p>
        </w:tc>
        <w:tc>
          <w:tcPr>
            <w:tcW w:w="0" w:type="auto"/>
            <w:tcBorders>
              <w:top w:val="nil"/>
              <w:left w:val="nil"/>
              <w:bottom w:val="single" w:sz="8" w:space="0" w:color="auto"/>
              <w:right w:val="single" w:sz="8" w:space="0" w:color="auto"/>
            </w:tcBorders>
            <w:shd w:val="clear" w:color="auto" w:fill="auto"/>
            <w:noWrap/>
            <w:vAlign w:val="center"/>
            <w:hideMark/>
          </w:tcPr>
          <w:p w14:paraId="1163662F" w14:textId="77777777" w:rsidR="00C723F4" w:rsidRPr="00752204" w:rsidRDefault="00C723F4" w:rsidP="00F845CA">
            <w:pPr>
              <w:spacing w:before="0" w:after="0"/>
              <w:jc w:val="center"/>
              <w:rPr>
                <w:rFonts w:ascii="Calibri" w:eastAsia="Times New Roman" w:hAnsi="Calibri" w:cs="Calibri"/>
                <w:color w:val="000000"/>
                <w:sz w:val="18"/>
                <w:lang w:val="en-US" w:eastAsia="fr-FR"/>
              </w:rPr>
            </w:pPr>
            <w:r w:rsidRPr="00752204">
              <w:rPr>
                <w:rFonts w:ascii="Calibri" w:eastAsia="Times New Roman" w:hAnsi="Calibri" w:cs="Calibri"/>
                <w:color w:val="000000"/>
                <w:sz w:val="18"/>
                <w:lang w:val="en-US" w:eastAsia="fr-FR"/>
              </w:rPr>
              <w:t>-103,00</w:t>
            </w:r>
          </w:p>
        </w:tc>
        <w:tc>
          <w:tcPr>
            <w:tcW w:w="0" w:type="auto"/>
            <w:tcBorders>
              <w:top w:val="nil"/>
              <w:left w:val="nil"/>
              <w:bottom w:val="single" w:sz="8" w:space="0" w:color="auto"/>
              <w:right w:val="single" w:sz="8" w:space="0" w:color="auto"/>
            </w:tcBorders>
            <w:shd w:val="clear" w:color="auto" w:fill="auto"/>
            <w:noWrap/>
            <w:vAlign w:val="center"/>
            <w:hideMark/>
          </w:tcPr>
          <w:p w14:paraId="2D53DBE9" w14:textId="77777777" w:rsidR="00C723F4" w:rsidRPr="00752204" w:rsidRDefault="00C723F4" w:rsidP="00F845CA">
            <w:pPr>
              <w:spacing w:before="0" w:after="0"/>
              <w:jc w:val="center"/>
              <w:rPr>
                <w:rFonts w:ascii="Calibri" w:eastAsia="Times New Roman" w:hAnsi="Calibri" w:cs="Calibri"/>
                <w:color w:val="000000"/>
                <w:sz w:val="18"/>
                <w:lang w:val="en-US" w:eastAsia="fr-FR"/>
              </w:rPr>
            </w:pPr>
            <w:r w:rsidRPr="00752204">
              <w:rPr>
                <w:rFonts w:ascii="Calibri" w:eastAsia="Times New Roman" w:hAnsi="Calibri" w:cs="Calibri"/>
                <w:color w:val="000000"/>
                <w:sz w:val="18"/>
                <w:lang w:val="en-US" w:eastAsia="fr-FR"/>
              </w:rPr>
              <w:t>-</w:t>
            </w:r>
          </w:p>
        </w:tc>
      </w:tr>
    </w:tbl>
    <w:p w14:paraId="773A0C2A" w14:textId="77777777" w:rsidR="00C723F4" w:rsidRPr="00752204" w:rsidRDefault="00C723F4" w:rsidP="00763623">
      <w:pPr>
        <w:pStyle w:val="Heading2"/>
        <w:rPr>
          <w:rStyle w:val="ECCParagraph"/>
          <w:lang w:val="en-US"/>
        </w:rPr>
      </w:pPr>
      <w:r w:rsidRPr="00752204">
        <w:rPr>
          <w:rStyle w:val="ECCParagraph"/>
          <w:lang w:val="en-US"/>
        </w:rPr>
        <w:t>Application of the Safety margin</w:t>
      </w:r>
    </w:p>
    <w:p w14:paraId="08F19BED" w14:textId="77777777" w:rsidR="00C723F4" w:rsidRPr="00752204" w:rsidRDefault="00C723F4" w:rsidP="00CA5CF5">
      <w:pPr>
        <w:rPr>
          <w:lang w:val="en-US"/>
        </w:rPr>
      </w:pPr>
      <w:r w:rsidRPr="00752204">
        <w:rPr>
          <w:lang w:val="en-US"/>
        </w:rPr>
        <w:t>Radio altimeters are used for safety aeronautical application. ICAO (DOC 9718) defines an aeronautical safety margin and recommends including it into any study as followed:</w:t>
      </w:r>
    </w:p>
    <w:p w14:paraId="37F77F88" w14:textId="77777777" w:rsidR="00C723F4" w:rsidRPr="00752204" w:rsidRDefault="00C723F4" w:rsidP="00CA5CF5">
      <w:pPr>
        <w:rPr>
          <w:lang w:val="en-US"/>
        </w:rPr>
      </w:pPr>
      <w:r w:rsidRPr="00752204">
        <w:rPr>
          <w:lang w:val="en-US"/>
        </w:rPr>
        <w:t>“Aeronautical safety applications are required to have continued operation through worst case interference, so all factors which contribute to harmful interference should be considered in analyses involving those applications. An aviation safety margin is included to address the risk that some such factors cannot be foreseen (for example impacts of differing modulation schemes). This margin is applied to the system protection criteria to increase the operational assurances to the required level. Traditionally for aviation systems/scenarios an aviation safety margin of 6–10 dB is applied. Until established on the basis of further study on a case-by-case basis, an aviation safety margin of not less than 6 dB should be applied.”</w:t>
      </w:r>
    </w:p>
    <w:p w14:paraId="2CE4533B" w14:textId="77777777" w:rsidR="00C723F4" w:rsidRPr="00752204" w:rsidRDefault="00C723F4" w:rsidP="00BE1698">
      <w:pPr>
        <w:rPr>
          <w:lang w:val="en-US"/>
        </w:rPr>
      </w:pPr>
      <w:r>
        <w:rPr>
          <w:lang w:val="en-US"/>
        </w:rPr>
        <w:t xml:space="preserve">As a result, given the safety implications, </w:t>
      </w:r>
      <w:r w:rsidRPr="00752204">
        <w:rPr>
          <w:lang w:val="en-US"/>
        </w:rPr>
        <w:t xml:space="preserve">ICAO recommends using the aeronautical safety margin when assessing </w:t>
      </w:r>
      <w:r>
        <w:rPr>
          <w:lang w:val="en-US"/>
        </w:rPr>
        <w:t>impacts to</w:t>
      </w:r>
      <w:r w:rsidRPr="00752204">
        <w:rPr>
          <w:lang w:val="en-US"/>
        </w:rPr>
        <w:t xml:space="preserve"> the radio altimeter.</w:t>
      </w:r>
    </w:p>
    <w:p w14:paraId="4E59DB92" w14:textId="77777777" w:rsidR="00C723F4" w:rsidRPr="00752204" w:rsidRDefault="00C723F4" w:rsidP="00231A0F">
      <w:pPr>
        <w:pStyle w:val="Heading1"/>
        <w:rPr>
          <w:rStyle w:val="ECCParagraph"/>
          <w:lang w:val="en-US"/>
        </w:rPr>
      </w:pPr>
      <w:r w:rsidRPr="00752204">
        <w:rPr>
          <w:rStyle w:val="ECCParagraph"/>
          <w:lang w:val="en-US"/>
        </w:rPr>
        <w:t>Relevant scenario to consider</w:t>
      </w:r>
    </w:p>
    <w:p w14:paraId="68494169" w14:textId="77777777" w:rsidR="00C723F4" w:rsidRPr="00752204" w:rsidRDefault="00C723F4" w:rsidP="00674AB2">
      <w:pPr>
        <w:rPr>
          <w:lang w:val="en-US"/>
        </w:rPr>
      </w:pPr>
      <w:r w:rsidRPr="00752204">
        <w:rPr>
          <w:lang w:val="en-US"/>
        </w:rPr>
        <w:t>For each of the scenarios that follow, ICAO recommends the following parameters be taken into account when performing studies:</w:t>
      </w:r>
    </w:p>
    <w:p w14:paraId="5D5F3D06" w14:textId="77777777" w:rsidR="00C723F4" w:rsidRPr="00752204" w:rsidRDefault="00C723F4" w:rsidP="00515004">
      <w:pPr>
        <w:pStyle w:val="ListParagraph"/>
        <w:numPr>
          <w:ilvl w:val="0"/>
          <w:numId w:val="15"/>
        </w:numPr>
        <w:rPr>
          <w:lang w:val="en-US"/>
        </w:rPr>
      </w:pPr>
      <w:r w:rsidRPr="00752204">
        <w:rPr>
          <w:lang w:val="en-US"/>
        </w:rPr>
        <w:t>The aircraft can have a maximum roll of up to +/-30 degrees from the horizontal in all directions,</w:t>
      </w:r>
    </w:p>
    <w:p w14:paraId="29B4EDE4" w14:textId="77777777" w:rsidR="00C723F4" w:rsidRPr="000967E6" w:rsidRDefault="00C723F4" w:rsidP="00515004">
      <w:pPr>
        <w:pStyle w:val="ListParagraph"/>
        <w:numPr>
          <w:ilvl w:val="0"/>
          <w:numId w:val="15"/>
        </w:numPr>
        <w:rPr>
          <w:lang w:val="en-US"/>
        </w:rPr>
      </w:pPr>
      <w:r w:rsidRPr="00752204">
        <w:rPr>
          <w:lang w:val="en-US"/>
        </w:rPr>
        <w:t>The air to ground propagation model (</w:t>
      </w:r>
      <w:r>
        <w:rPr>
          <w:lang w:val="en-US"/>
        </w:rPr>
        <w:t xml:space="preserve">Recommendation </w:t>
      </w:r>
      <w:r w:rsidRPr="00752204">
        <w:rPr>
          <w:lang w:val="en-US"/>
        </w:rPr>
        <w:t>ITU-R P.</w:t>
      </w:r>
      <w:r w:rsidRPr="000967E6">
        <w:rPr>
          <w:lang w:val="en-US"/>
        </w:rPr>
        <w:t>528-4</w:t>
      </w:r>
      <w:r>
        <w:rPr>
          <w:rStyle w:val="FootnoteReference"/>
          <w:lang w:val="en-US"/>
        </w:rPr>
        <w:footnoteReference w:id="3"/>
      </w:r>
      <w:r w:rsidRPr="000967E6">
        <w:rPr>
          <w:lang w:val="en-US"/>
        </w:rPr>
        <w:t xml:space="preserve">) </w:t>
      </w:r>
      <w:r>
        <w:rPr>
          <w:lang w:val="en-US"/>
        </w:rPr>
        <w:t xml:space="preserve">with a minimum time percentage </w:t>
      </w:r>
      <w:r w:rsidRPr="000967E6">
        <w:rPr>
          <w:lang w:val="en-US"/>
        </w:rPr>
        <w:t xml:space="preserve">should be used. </w:t>
      </w:r>
      <w:r>
        <w:rPr>
          <w:lang w:val="en-US"/>
        </w:rPr>
        <w:t xml:space="preserve">It should be noted that Rule of Procedure on RR 5.441B was adopted by the ITU Radio Regulatory Board and proposes to use this Recommendation with a time percentage of 1% for calculation of IMT interference into non-safety aircraft applications. As a result, for safety applications such as radio altimeters a percentage value less than 1% should be </w:t>
      </w:r>
      <w:r>
        <w:rPr>
          <w:lang w:val="en-US"/>
        </w:rPr>
        <w:lastRenderedPageBreak/>
        <w:t>considered. If the Recommendation is not capable of calculating path losses with time percentage less than 1%, then 1% should be used and appropriate margins added.</w:t>
      </w:r>
    </w:p>
    <w:p w14:paraId="1D170E16" w14:textId="77777777" w:rsidR="00C723F4" w:rsidRDefault="00C723F4" w:rsidP="00EB7462">
      <w:pPr>
        <w:pStyle w:val="ListParagraph"/>
        <w:ind w:left="1440"/>
        <w:rPr>
          <w:lang w:val="en-US"/>
        </w:rPr>
      </w:pPr>
    </w:p>
    <w:p w14:paraId="188415B2" w14:textId="77777777" w:rsidR="00C723F4" w:rsidRPr="00752204" w:rsidRDefault="00C723F4" w:rsidP="00342996">
      <w:pPr>
        <w:pStyle w:val="Heading2"/>
        <w:rPr>
          <w:rStyle w:val="ECCParagraph"/>
          <w:lang w:val="en-US"/>
        </w:rPr>
      </w:pPr>
      <w:r w:rsidRPr="00752204">
        <w:rPr>
          <w:rStyle w:val="ECCParagraph"/>
          <w:lang w:val="en-US"/>
        </w:rPr>
        <w:t>Base Station Scenario</w:t>
      </w:r>
    </w:p>
    <w:p w14:paraId="1E410DE1" w14:textId="12450C5F" w:rsidR="00C723F4" w:rsidRPr="00752204" w:rsidRDefault="00C723F4" w:rsidP="00EB7462">
      <w:pPr>
        <w:rPr>
          <w:lang w:val="en-US"/>
        </w:rPr>
      </w:pPr>
      <w:r w:rsidRPr="00752204">
        <w:rPr>
          <w:lang w:val="en-US"/>
        </w:rPr>
        <w:t xml:space="preserve">There is not a single scenario that </w:t>
      </w:r>
      <w:r>
        <w:rPr>
          <w:lang w:val="en-US"/>
        </w:rPr>
        <w:t xml:space="preserve">provides all the necessary parameters and protection for radio altimeters, especially </w:t>
      </w:r>
      <w:r w:rsidRPr="00752204">
        <w:rPr>
          <w:lang w:val="en-US"/>
        </w:rPr>
        <w:t xml:space="preserve">given the variation of aviation operations and aircraft types. While more work is ongoing to develop these scenarios, </w:t>
      </w:r>
      <w:r>
        <w:rPr>
          <w:lang w:val="en-US"/>
        </w:rPr>
        <w:t xml:space="preserve">ICAO recommends </w:t>
      </w:r>
      <w:r w:rsidRPr="00752204">
        <w:rPr>
          <w:lang w:val="en-US"/>
        </w:rPr>
        <w:t>the below preliminary scenarios should be considered.</w:t>
      </w:r>
    </w:p>
    <w:p w14:paraId="40BE3DC4" w14:textId="77777777" w:rsidR="00C723F4" w:rsidRPr="00752204" w:rsidRDefault="00C723F4" w:rsidP="00515004">
      <w:pPr>
        <w:pStyle w:val="Heading3"/>
        <w:rPr>
          <w:lang w:val="en-US"/>
        </w:rPr>
      </w:pPr>
      <w:r w:rsidRPr="00752204">
        <w:rPr>
          <w:lang w:val="en-US"/>
        </w:rPr>
        <w:t>General Aircraft Scenario</w:t>
      </w:r>
    </w:p>
    <w:p w14:paraId="5D54578D" w14:textId="77777777" w:rsidR="00C723F4" w:rsidRPr="00752204" w:rsidRDefault="00C723F4" w:rsidP="00E4103C">
      <w:pPr>
        <w:rPr>
          <w:rStyle w:val="ECCParagraph"/>
          <w:lang w:val="en-US"/>
        </w:rPr>
      </w:pPr>
      <w:r w:rsidRPr="00752204">
        <w:rPr>
          <w:rStyle w:val="ECCParagraph"/>
          <w:lang w:val="en-US"/>
        </w:rPr>
        <w:t>A simple scenario can be considered</w:t>
      </w:r>
      <w:r>
        <w:rPr>
          <w:rStyle w:val="ECCParagraph"/>
          <w:lang w:val="en-US"/>
        </w:rPr>
        <w:t xml:space="preserve"> as an initial step</w:t>
      </w:r>
      <w:r w:rsidRPr="00752204">
        <w:rPr>
          <w:rStyle w:val="ECCParagraph"/>
          <w:lang w:val="en-US"/>
        </w:rPr>
        <w:t>. A single base station is considered</w:t>
      </w:r>
      <w:r>
        <w:rPr>
          <w:rStyle w:val="ECCParagraph"/>
          <w:lang w:val="en-US"/>
        </w:rPr>
        <w:t>,</w:t>
      </w:r>
      <w:r w:rsidRPr="00752204">
        <w:rPr>
          <w:rStyle w:val="ECCParagraph"/>
          <w:lang w:val="en-US"/>
        </w:rPr>
        <w:t xml:space="preserve"> and it is checked whether the protection criteria are met for an airplane flying at different heights </w:t>
      </w:r>
      <w:r>
        <w:rPr>
          <w:rStyle w:val="ECCParagraph"/>
          <w:lang w:val="en-US"/>
        </w:rPr>
        <w:t>(</w:t>
      </w:r>
      <w:r w:rsidRPr="00752204">
        <w:rPr>
          <w:lang w:val="en-US"/>
        </w:rPr>
        <w:t>50, 200 and 2000 ft (15, 61 and 610 meters)</w:t>
      </w:r>
      <w:r>
        <w:rPr>
          <w:rStyle w:val="ECCParagraph"/>
          <w:lang w:val="en-US"/>
        </w:rPr>
        <w:t xml:space="preserve">) </w:t>
      </w:r>
      <w:r w:rsidRPr="00752204">
        <w:rPr>
          <w:rStyle w:val="ECCParagraph"/>
          <w:lang w:val="en-US"/>
        </w:rPr>
        <w:t xml:space="preserve">above the base station. The figure below shows the geometry of the scenario. </w:t>
      </w:r>
    </w:p>
    <w:p w14:paraId="07AFA3C7" w14:textId="77777777" w:rsidR="00C723F4" w:rsidRPr="00752204" w:rsidRDefault="00C723F4" w:rsidP="00515004">
      <w:pPr>
        <w:jc w:val="center"/>
        <w:rPr>
          <w:rStyle w:val="ECCParagraph"/>
          <w:lang w:val="en-US"/>
        </w:rPr>
      </w:pPr>
      <w:r w:rsidRPr="00752204">
        <w:rPr>
          <w:noProof/>
          <w:lang w:val="fr-FR" w:eastAsia="fr-FR"/>
        </w:rPr>
        <w:drawing>
          <wp:inline distT="0" distB="0" distL="0" distR="0" wp14:anchorId="1DA7D2A5" wp14:editId="4A48C654">
            <wp:extent cx="2727960" cy="2964180"/>
            <wp:effectExtent l="0" t="0" r="0" b="762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2727960" cy="2964180"/>
                    </a:xfrm>
                    <a:prstGeom prst="rect">
                      <a:avLst/>
                    </a:prstGeom>
                  </pic:spPr>
                </pic:pic>
              </a:graphicData>
            </a:graphic>
          </wp:inline>
        </w:drawing>
      </w:r>
    </w:p>
    <w:p w14:paraId="782ABDD1" w14:textId="77777777" w:rsidR="00C723F4" w:rsidRPr="00752204" w:rsidRDefault="00C723F4" w:rsidP="00515004">
      <w:pPr>
        <w:spacing w:before="120"/>
        <w:ind w:left="1134"/>
        <w:jc w:val="left"/>
        <w:rPr>
          <w:rStyle w:val="ECCParagraph"/>
          <w:lang w:val="en-US"/>
        </w:rPr>
      </w:pPr>
      <w:r w:rsidRPr="00752204">
        <w:rPr>
          <w:rStyle w:val="ECCParagraph"/>
          <w:lang w:val="en-US"/>
        </w:rPr>
        <w:t xml:space="preserve">With reference to the coordinate systems in this figure: </w:t>
      </w:r>
    </w:p>
    <w:p w14:paraId="1AC0E16E" w14:textId="77777777" w:rsidR="00C723F4" w:rsidRPr="00752204" w:rsidRDefault="00C723F4" w:rsidP="00515004">
      <w:pPr>
        <w:pStyle w:val="ListParagraph"/>
        <w:numPr>
          <w:ilvl w:val="0"/>
          <w:numId w:val="16"/>
        </w:numPr>
        <w:spacing w:before="120"/>
        <w:ind w:left="1559" w:hanging="425"/>
        <w:jc w:val="left"/>
        <w:rPr>
          <w:rStyle w:val="ECCParagraph"/>
          <w:lang w:val="en-US"/>
        </w:rPr>
      </w:pPr>
      <w:r w:rsidRPr="00752204">
        <w:rPr>
          <w:rStyle w:val="ECCParagraph"/>
          <w:lang w:val="en-US"/>
        </w:rPr>
        <w:t>The base station is located at (0,0,0);</w:t>
      </w:r>
    </w:p>
    <w:p w14:paraId="7494FF04" w14:textId="77777777" w:rsidR="00C723F4" w:rsidRPr="00752204" w:rsidRDefault="00C723F4" w:rsidP="00515004">
      <w:pPr>
        <w:pStyle w:val="ListParagraph"/>
        <w:numPr>
          <w:ilvl w:val="0"/>
          <w:numId w:val="16"/>
        </w:numPr>
        <w:spacing w:before="120"/>
        <w:ind w:left="1559" w:hanging="425"/>
        <w:jc w:val="left"/>
        <w:rPr>
          <w:rStyle w:val="ECCParagraph"/>
          <w:lang w:val="en-US"/>
        </w:rPr>
      </w:pPr>
      <w:r w:rsidRPr="00752204">
        <w:rPr>
          <w:rStyle w:val="ECCParagraph"/>
          <w:lang w:val="en-US"/>
        </w:rPr>
        <w:t>The aircraft is flying along a horizontal path defined by the coordinates (</w:t>
      </w:r>
      <w:proofErr w:type="gramStart"/>
      <w:r w:rsidRPr="00752204">
        <w:rPr>
          <w:rStyle w:val="ECCParagraph"/>
          <w:lang w:val="en-US"/>
        </w:rPr>
        <w:t>0,ya</w:t>
      </w:r>
      <w:proofErr w:type="gramEnd"/>
      <w:r w:rsidRPr="00752204">
        <w:rPr>
          <w:rStyle w:val="ECCParagraph"/>
          <w:lang w:val="en-US"/>
        </w:rPr>
        <w:t>,ha). The altitude ha of the aircraft is fixed, so that his position varies along the axis y only;</w:t>
      </w:r>
    </w:p>
    <w:p w14:paraId="1308364A" w14:textId="77777777" w:rsidR="00C723F4" w:rsidRPr="00752204" w:rsidRDefault="00C723F4" w:rsidP="00515004">
      <w:pPr>
        <w:pStyle w:val="ListParagraph"/>
        <w:numPr>
          <w:ilvl w:val="0"/>
          <w:numId w:val="16"/>
        </w:numPr>
        <w:spacing w:before="120"/>
        <w:ind w:left="1559" w:hanging="425"/>
        <w:jc w:val="left"/>
        <w:rPr>
          <w:rStyle w:val="ECCParagraph"/>
          <w:lang w:val="en-US"/>
        </w:rPr>
      </w:pPr>
      <w:r w:rsidRPr="00752204">
        <w:rPr>
          <w:rStyle w:val="ECCParagraph"/>
          <w:lang w:val="en-US"/>
        </w:rPr>
        <w:t>The radio-altimeter antenna beam is modelled with §2.3.</w:t>
      </w:r>
    </w:p>
    <w:p w14:paraId="3D1775D9" w14:textId="77777777" w:rsidR="00C723F4" w:rsidRPr="00752204" w:rsidRDefault="00C723F4" w:rsidP="00E4103C">
      <w:pPr>
        <w:rPr>
          <w:rStyle w:val="ECCParagraph"/>
          <w:lang w:val="en-US"/>
        </w:rPr>
      </w:pPr>
      <w:r w:rsidRPr="00752204">
        <w:rPr>
          <w:rStyle w:val="ECCParagraph"/>
          <w:lang w:val="en-US"/>
        </w:rPr>
        <w:t xml:space="preserve">The rationale of </w:t>
      </w:r>
      <w:r>
        <w:rPr>
          <w:rStyle w:val="ECCParagraph"/>
          <w:lang w:val="en-US"/>
        </w:rPr>
        <w:t xml:space="preserve">initially </w:t>
      </w:r>
      <w:r w:rsidRPr="00752204">
        <w:rPr>
          <w:rStyle w:val="ECCParagraph"/>
          <w:lang w:val="en-US"/>
        </w:rPr>
        <w:t xml:space="preserve">considering one single </w:t>
      </w:r>
      <w:r>
        <w:rPr>
          <w:rStyle w:val="ECCParagraph"/>
          <w:lang w:val="en-US"/>
        </w:rPr>
        <w:t xml:space="preserve">base station </w:t>
      </w:r>
      <w:r w:rsidRPr="00752204">
        <w:rPr>
          <w:rStyle w:val="ECCParagraph"/>
          <w:lang w:val="en-US"/>
        </w:rPr>
        <w:t xml:space="preserve">is to make a sanity check to verify whether this scenario can pose a threat to the aeronautical systems in the band (for simplicity the aircraft can have zero roll and pitch); If a single base station </w:t>
      </w:r>
      <w:r>
        <w:rPr>
          <w:rStyle w:val="ECCParagraph"/>
          <w:lang w:val="en-US"/>
        </w:rPr>
        <w:t>is predicted to</w:t>
      </w:r>
      <w:r w:rsidRPr="00752204">
        <w:rPr>
          <w:rStyle w:val="ECCParagraph"/>
          <w:lang w:val="en-US"/>
        </w:rPr>
        <w:t xml:space="preserve"> not cause interference, the analysis should be expanded to consider the aggregation of multiple interferers and the roll and pitch of the aircraft. </w:t>
      </w:r>
    </w:p>
    <w:p w14:paraId="4810CBD1" w14:textId="77777777" w:rsidR="00C723F4" w:rsidRPr="00752204" w:rsidRDefault="00C723F4" w:rsidP="00515004">
      <w:pPr>
        <w:pStyle w:val="Heading3"/>
        <w:rPr>
          <w:lang w:val="en-US"/>
        </w:rPr>
      </w:pPr>
      <w:r w:rsidRPr="00752204">
        <w:rPr>
          <w:lang w:val="en-US"/>
        </w:rPr>
        <w:t>Commercial Aircraft Landing Scenario</w:t>
      </w:r>
    </w:p>
    <w:p w14:paraId="4767DD6D" w14:textId="624BAE9D" w:rsidR="00C723F4" w:rsidRDefault="00C12229" w:rsidP="00F02DE1">
      <w:pPr>
        <w:rPr>
          <w:lang w:val="en-US"/>
        </w:rPr>
      </w:pPr>
      <w:r>
        <w:rPr>
          <w:lang w:val="en-US"/>
        </w:rPr>
        <w:t>This is a</w:t>
      </w:r>
      <w:r w:rsidR="00C723F4" w:rsidRPr="00752204">
        <w:rPr>
          <w:lang w:val="en-US"/>
        </w:rPr>
        <w:t xml:space="preserve"> commercial aircraft landing scenario at a</w:t>
      </w:r>
      <w:r w:rsidR="00C723F4">
        <w:rPr>
          <w:lang w:val="en-US"/>
        </w:rPr>
        <w:t>n</w:t>
      </w:r>
      <w:r w:rsidR="00C723F4" w:rsidRPr="00752204">
        <w:rPr>
          <w:lang w:val="en-US"/>
        </w:rPr>
        <w:t xml:space="preserve"> airport with a</w:t>
      </w:r>
      <w:r w:rsidR="00C723F4">
        <w:rPr>
          <w:lang w:val="en-US"/>
        </w:rPr>
        <w:t>n</w:t>
      </w:r>
      <w:r w:rsidR="00C723F4" w:rsidRPr="00752204">
        <w:rPr>
          <w:lang w:val="en-US"/>
        </w:rPr>
        <w:t xml:space="preserve"> </w:t>
      </w:r>
      <w:r w:rsidR="00C723F4">
        <w:rPr>
          <w:lang w:val="en-US"/>
        </w:rPr>
        <w:t>IMT</w:t>
      </w:r>
      <w:r w:rsidR="00C723F4" w:rsidRPr="00752204">
        <w:rPr>
          <w:lang w:val="en-US"/>
        </w:rPr>
        <w:t xml:space="preserve"> network active at the same location.  </w:t>
      </w:r>
    </w:p>
    <w:p w14:paraId="65789AF9" w14:textId="77777777" w:rsidR="00C12229" w:rsidRDefault="00C12229" w:rsidP="00C12229">
      <w:pPr>
        <w:rPr>
          <w:lang w:val="en-US"/>
        </w:rPr>
      </w:pPr>
      <w:r w:rsidRPr="00365CCA">
        <w:rPr>
          <w:lang w:val="en-US"/>
        </w:rPr>
        <w:t>To simulate an assumed worst case scenario, a model was produced of an aircraft on final approach in a Cat III landing.  The approach path passes directly overhead of a B</w:t>
      </w:r>
      <w:r>
        <w:rPr>
          <w:lang w:val="en-US"/>
        </w:rPr>
        <w:t>ase station (BS)</w:t>
      </w:r>
      <w:r w:rsidRPr="00365CCA">
        <w:rPr>
          <w:lang w:val="en-US"/>
        </w:rPr>
        <w:t>. This would present the minimum possible distance between the aircraft and base station while the altimeter is providing height information to the autopilot during landing.</w:t>
      </w:r>
    </w:p>
    <w:p w14:paraId="5EDE22F7" w14:textId="77777777" w:rsidR="00C12229" w:rsidRDefault="00C12229" w:rsidP="00C12229">
      <w:pPr>
        <w:jc w:val="center"/>
        <w:rPr>
          <w:lang w:val="en-US"/>
        </w:rPr>
      </w:pPr>
      <w:r w:rsidRPr="00796E4E">
        <w:rPr>
          <w:noProof/>
          <w:lang w:val="fr-FR" w:eastAsia="fr-FR"/>
        </w:rPr>
        <w:lastRenderedPageBreak/>
        <w:drawing>
          <wp:inline distT="0" distB="0" distL="0" distR="0" wp14:anchorId="00F93A0B" wp14:editId="74345969">
            <wp:extent cx="4871085" cy="2288540"/>
            <wp:effectExtent l="0" t="0" r="5715" b="0"/>
            <wp:docPr id="7" name="Picture 7" descr="Figure 1: Study geomet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Capture.png"/>
                    <pic:cNvPicPr/>
                  </pic:nvPicPr>
                  <pic:blipFill>
                    <a:blip r:embed="rId19"/>
                    <a:stretch>
                      <a:fillRect/>
                    </a:stretch>
                  </pic:blipFill>
                  <pic:spPr>
                    <a:xfrm>
                      <a:off x="0" y="0"/>
                      <a:ext cx="4871085" cy="2288540"/>
                    </a:xfrm>
                    <a:prstGeom prst="rect">
                      <a:avLst/>
                    </a:prstGeom>
                  </pic:spPr>
                </pic:pic>
              </a:graphicData>
            </a:graphic>
          </wp:inline>
        </w:drawing>
      </w:r>
    </w:p>
    <w:p w14:paraId="0AF035C6" w14:textId="77777777" w:rsidR="00C12229" w:rsidRDefault="00C12229" w:rsidP="00C12229">
      <w:pPr>
        <w:jc w:val="center"/>
        <w:rPr>
          <w:lang w:val="en-US"/>
        </w:rPr>
      </w:pPr>
    </w:p>
    <w:p w14:paraId="3C4BB0D1" w14:textId="77777777" w:rsidR="00C12229" w:rsidRPr="00365CCA" w:rsidRDefault="00C12229" w:rsidP="00C12229">
      <w:pPr>
        <w:jc w:val="left"/>
        <w:rPr>
          <w:lang w:val="en-US"/>
        </w:rPr>
      </w:pPr>
      <w:r w:rsidRPr="00365CCA">
        <w:rPr>
          <w:lang w:val="en-US"/>
        </w:rPr>
        <w:t xml:space="preserve">A base station (BS) is set at the minimum distance within the ICAO limit of obstruction height for the height of the BS. For the macro suburban case this is 1600 m from the touchdown point, and for the small cell case </w:t>
      </w:r>
      <w:r>
        <w:rPr>
          <w:lang w:val="en-US"/>
        </w:rPr>
        <w:t xml:space="preserve">this </w:t>
      </w:r>
      <w:r w:rsidRPr="00365CCA">
        <w:rPr>
          <w:lang w:val="en-US"/>
        </w:rPr>
        <w:t>is 650 m from the touchdown point</w:t>
      </w:r>
      <w:r>
        <w:rPr>
          <w:lang w:val="en-US"/>
        </w:rPr>
        <w:t>.</w:t>
      </w:r>
    </w:p>
    <w:p w14:paraId="3ECB0B22" w14:textId="77777777" w:rsidR="00C12229" w:rsidRPr="00365CCA" w:rsidRDefault="00C12229" w:rsidP="00C12229">
      <w:pPr>
        <w:jc w:val="left"/>
        <w:rPr>
          <w:lang w:val="en-US"/>
        </w:rPr>
      </w:pPr>
      <w:r w:rsidRPr="00365CCA">
        <w:rPr>
          <w:lang w:val="en-US"/>
        </w:rPr>
        <w:t xml:space="preserve">An aircraft on approach is set to a 3-degree glideslope, with a 2-degree pitch, </w:t>
      </w:r>
      <w:r>
        <w:rPr>
          <w:lang w:val="en-US"/>
        </w:rPr>
        <w:t xml:space="preserve">and a </w:t>
      </w:r>
      <w:r w:rsidRPr="00752204">
        <w:rPr>
          <w:lang w:val="en-US"/>
        </w:rPr>
        <w:t>roll of up to +/-30 degrees</w:t>
      </w:r>
      <w:r w:rsidRPr="00365CCA">
        <w:rPr>
          <w:lang w:val="en-US"/>
        </w:rPr>
        <w:t>.</w:t>
      </w:r>
    </w:p>
    <w:p w14:paraId="0E76DC97" w14:textId="77777777" w:rsidR="00C12229" w:rsidRPr="00752204" w:rsidRDefault="00C12229" w:rsidP="00C12229">
      <w:pPr>
        <w:jc w:val="left"/>
        <w:rPr>
          <w:lang w:val="en-US"/>
        </w:rPr>
      </w:pPr>
      <w:r w:rsidRPr="00365CCA">
        <w:rPr>
          <w:lang w:val="en-US"/>
        </w:rPr>
        <w:t xml:space="preserve">For the study, it is assumed that the aircraft approaches to land directly over the BS. This may not necessarily represent the worst-case geometry for potential interference but </w:t>
      </w:r>
      <w:r>
        <w:rPr>
          <w:lang w:val="en-US"/>
        </w:rPr>
        <w:t xml:space="preserve">it </w:t>
      </w:r>
      <w:r w:rsidRPr="00365CCA">
        <w:rPr>
          <w:lang w:val="en-US"/>
        </w:rPr>
        <w:t xml:space="preserve">is </w:t>
      </w:r>
      <w:r>
        <w:rPr>
          <w:lang w:val="en-US"/>
        </w:rPr>
        <w:t xml:space="preserve">a straightforward </w:t>
      </w:r>
      <w:r w:rsidRPr="00365CCA">
        <w:rPr>
          <w:lang w:val="en-US"/>
        </w:rPr>
        <w:t>analyze.</w:t>
      </w:r>
    </w:p>
    <w:p w14:paraId="76A689E4" w14:textId="77777777" w:rsidR="00C723F4" w:rsidRPr="00752204" w:rsidRDefault="00C723F4" w:rsidP="00AE633C">
      <w:pPr>
        <w:pStyle w:val="Heading3"/>
        <w:rPr>
          <w:lang w:val="en-US"/>
        </w:rPr>
      </w:pPr>
      <w:r w:rsidRPr="00752204">
        <w:rPr>
          <w:lang w:val="en-US"/>
        </w:rPr>
        <w:t>Helicopter Landing Scenario</w:t>
      </w:r>
    </w:p>
    <w:p w14:paraId="6E04F439" w14:textId="05DB7CE3" w:rsidR="00C723F4" w:rsidRPr="00752204" w:rsidRDefault="00C723F4" w:rsidP="00AE633C">
      <w:pPr>
        <w:rPr>
          <w:lang w:val="en-US"/>
        </w:rPr>
      </w:pPr>
      <w:r w:rsidRPr="00752204">
        <w:rPr>
          <w:lang w:val="en-US"/>
        </w:rPr>
        <w:t xml:space="preserve">A helicopter </w:t>
      </w:r>
      <w:r>
        <w:rPr>
          <w:lang w:val="en-US"/>
        </w:rPr>
        <w:t>(e.g., medevac</w:t>
      </w:r>
      <w:r w:rsidR="00C12229">
        <w:rPr>
          <w:rStyle w:val="FootnoteReference"/>
          <w:lang w:val="en-US"/>
        </w:rPr>
        <w:footnoteReference w:id="4"/>
      </w:r>
      <w:r>
        <w:rPr>
          <w:lang w:val="en-US"/>
        </w:rPr>
        <w:t xml:space="preserve">) </w:t>
      </w:r>
      <w:r w:rsidRPr="00752204">
        <w:rPr>
          <w:lang w:val="en-US"/>
        </w:rPr>
        <w:t xml:space="preserve">landing on a rooftop helipad in close proximity to </w:t>
      </w:r>
      <w:r>
        <w:rPr>
          <w:lang w:val="en-US"/>
        </w:rPr>
        <w:t>IMT</w:t>
      </w:r>
      <w:r w:rsidRPr="00752204">
        <w:rPr>
          <w:lang w:val="en-US"/>
        </w:rPr>
        <w:t xml:space="preserve"> towers on neighboring buildings.  The </w:t>
      </w:r>
      <w:r>
        <w:rPr>
          <w:lang w:val="en-US"/>
        </w:rPr>
        <w:t xml:space="preserve">aircraft </w:t>
      </w:r>
      <w:r w:rsidRPr="00752204">
        <w:rPr>
          <w:lang w:val="en-US"/>
        </w:rPr>
        <w:t xml:space="preserve">parameters </w:t>
      </w:r>
      <w:r>
        <w:rPr>
          <w:lang w:val="en-US"/>
        </w:rPr>
        <w:t xml:space="preserve">for this scenario are under development and will be provided as soon as they are defined </w:t>
      </w:r>
    </w:p>
    <w:p w14:paraId="4F1A2D69" w14:textId="77777777" w:rsidR="00C723F4" w:rsidRPr="00752204" w:rsidRDefault="00C723F4" w:rsidP="005E748B">
      <w:pPr>
        <w:pStyle w:val="Heading2"/>
        <w:rPr>
          <w:lang w:val="en-US"/>
        </w:rPr>
      </w:pPr>
      <w:r w:rsidRPr="00752204">
        <w:rPr>
          <w:lang w:val="en-US"/>
        </w:rPr>
        <w:t>USER EQUIPMENT SCENARIO</w:t>
      </w:r>
    </w:p>
    <w:p w14:paraId="3A4CF4FA" w14:textId="77777777" w:rsidR="00C723F4" w:rsidRPr="005E748B" w:rsidRDefault="00C723F4" w:rsidP="005E748B"/>
    <w:p w14:paraId="355F00E0" w14:textId="77777777" w:rsidR="00C723F4" w:rsidRPr="00752204" w:rsidRDefault="00C723F4" w:rsidP="00515004">
      <w:pPr>
        <w:pStyle w:val="Heading3"/>
        <w:rPr>
          <w:lang w:val="en-US"/>
        </w:rPr>
      </w:pPr>
      <w:r w:rsidRPr="00752204">
        <w:rPr>
          <w:lang w:val="en-US"/>
        </w:rPr>
        <w:t>General Aircraft Scenario</w:t>
      </w:r>
    </w:p>
    <w:p w14:paraId="18B153FD" w14:textId="45890AD3" w:rsidR="00C723F4" w:rsidRPr="005E748B" w:rsidRDefault="00C723F4" w:rsidP="005E748B">
      <w:pPr>
        <w:rPr>
          <w:lang w:val="en-US"/>
        </w:rPr>
      </w:pPr>
      <w:r w:rsidRPr="00752204">
        <w:rPr>
          <w:lang w:val="en-US"/>
        </w:rPr>
        <w:t>The same aircraft parameters should be used as the general aircraft scenario for base stations</w:t>
      </w:r>
      <w:r>
        <w:rPr>
          <w:lang w:val="en-US"/>
        </w:rPr>
        <w:t xml:space="preserve"> (section 4.1.</w:t>
      </w:r>
      <w:r w:rsidR="00C12229">
        <w:rPr>
          <w:lang w:val="en-US"/>
        </w:rPr>
        <w:t>2</w:t>
      </w:r>
      <w:r>
        <w:rPr>
          <w:lang w:val="en-US"/>
        </w:rPr>
        <w:t>)</w:t>
      </w:r>
      <w:r w:rsidRPr="00752204">
        <w:rPr>
          <w:lang w:val="en-US"/>
        </w:rPr>
        <w:t xml:space="preserve">, and user equipment numbers should be </w:t>
      </w:r>
      <w:r>
        <w:rPr>
          <w:lang w:val="en-US"/>
        </w:rPr>
        <w:t>spaced consistent with applicable IMT deployments under worst-case conditions</w:t>
      </w:r>
      <w:r w:rsidRPr="00752204">
        <w:rPr>
          <w:lang w:val="en-US"/>
        </w:rPr>
        <w:t xml:space="preserve">.  </w:t>
      </w:r>
    </w:p>
    <w:p w14:paraId="65EFD6BE" w14:textId="77777777" w:rsidR="00C723F4" w:rsidRPr="00752204" w:rsidRDefault="00C723F4" w:rsidP="00515004">
      <w:pPr>
        <w:pStyle w:val="Heading3"/>
        <w:rPr>
          <w:lang w:val="en-US"/>
        </w:rPr>
      </w:pPr>
      <w:r w:rsidRPr="00752204">
        <w:rPr>
          <w:lang w:val="en-US"/>
        </w:rPr>
        <w:t xml:space="preserve"> Inside the cabin of an aircraft</w:t>
      </w:r>
    </w:p>
    <w:p w14:paraId="3D0E1BF4" w14:textId="35710A73" w:rsidR="00C723F4" w:rsidRPr="00752204" w:rsidRDefault="00C723F4" w:rsidP="00CF4EB9">
      <w:pPr>
        <w:rPr>
          <w:lang w:val="en-US"/>
        </w:rPr>
      </w:pPr>
      <w:r>
        <w:rPr>
          <w:lang w:val="en-US"/>
        </w:rPr>
        <w:t>A number of</w:t>
      </w:r>
      <w:r w:rsidRPr="00752204">
        <w:rPr>
          <w:lang w:val="en-US"/>
        </w:rPr>
        <w:t xml:space="preserve"> user equipment </w:t>
      </w:r>
      <w:r w:rsidR="00C12229">
        <w:rPr>
          <w:lang w:val="en-US"/>
        </w:rPr>
        <w:t>is</w:t>
      </w:r>
      <w:r>
        <w:rPr>
          <w:lang w:val="en-US"/>
        </w:rPr>
        <w:t xml:space="preserve"> expected to be transmitting </w:t>
      </w:r>
      <w:r w:rsidRPr="00752204">
        <w:rPr>
          <w:lang w:val="en-US"/>
        </w:rPr>
        <w:t>inside the cabin of an aircraft</w:t>
      </w:r>
      <w:r>
        <w:rPr>
          <w:lang w:val="en-US"/>
        </w:rPr>
        <w:t xml:space="preserve"> while the radio altimeter is operational.  </w:t>
      </w:r>
      <w:r w:rsidRPr="00752204">
        <w:rPr>
          <w:lang w:val="en-US"/>
        </w:rPr>
        <w:t>In order to help ECC PT1, ICAO notes that</w:t>
      </w:r>
      <w:r>
        <w:rPr>
          <w:lang w:val="en-US"/>
        </w:rPr>
        <w:t xml:space="preserve"> </w:t>
      </w:r>
      <w:r w:rsidRPr="00752204">
        <w:rPr>
          <w:lang w:val="en-US"/>
        </w:rPr>
        <w:t>experiments on an A321 aircraft have measured a minimum Interference Path Loss</w:t>
      </w:r>
      <w:r>
        <w:rPr>
          <w:lang w:val="en-US"/>
        </w:rPr>
        <w:t xml:space="preserve"> (IPL)</w:t>
      </w:r>
      <w:r w:rsidRPr="00752204">
        <w:rPr>
          <w:lang w:val="en-US"/>
        </w:rPr>
        <w:t xml:space="preserve"> of 74.4 dB for signals from inside the cabin coupling into the radio altimeter receive antenna</w:t>
      </w:r>
      <w:r>
        <w:rPr>
          <w:lang w:val="en-US"/>
        </w:rPr>
        <w:t xml:space="preserve">. </w:t>
      </w:r>
      <w:r w:rsidRPr="00752204">
        <w:rPr>
          <w:lang w:val="en-US"/>
        </w:rPr>
        <w:t xml:space="preserve">Recent </w:t>
      </w:r>
      <w:r>
        <w:rPr>
          <w:lang w:val="en-US"/>
        </w:rPr>
        <w:t xml:space="preserve">preliminary </w:t>
      </w:r>
      <w:r w:rsidRPr="00752204">
        <w:rPr>
          <w:lang w:val="en-US"/>
        </w:rPr>
        <w:t>measurements by an ICAO member state indicated an IPL of 72.8 dB for a Beechcraft B300 (King Air B350)</w:t>
      </w:r>
      <w:r>
        <w:rPr>
          <w:lang w:val="en-US"/>
        </w:rPr>
        <w:t xml:space="preserve">. Finally, measurements reported to an aviation </w:t>
      </w:r>
      <w:r>
        <w:rPr>
          <w:lang w:val="en-US"/>
        </w:rPr>
        <w:lastRenderedPageBreak/>
        <w:t>standards organization have indicated IPLs on the order of 57 dB for smaller aircraft such as helicopters, but this is subject to further confirmation.</w:t>
      </w:r>
    </w:p>
    <w:p w14:paraId="61532CD1" w14:textId="77777777" w:rsidR="00C723F4" w:rsidRPr="00752204" w:rsidRDefault="00C723F4" w:rsidP="00CF4EB9">
      <w:pPr>
        <w:rPr>
          <w:lang w:val="en-US"/>
        </w:rPr>
      </w:pPr>
      <w:r w:rsidRPr="00752204">
        <w:rPr>
          <w:lang w:val="en-US"/>
        </w:rPr>
        <w:t xml:space="preserve">ICAO would ask this information </w:t>
      </w:r>
      <w:r>
        <w:rPr>
          <w:lang w:val="en-US"/>
        </w:rPr>
        <w:t xml:space="preserve">to </w:t>
      </w:r>
      <w:r w:rsidRPr="00752204">
        <w:rPr>
          <w:lang w:val="en-US"/>
        </w:rPr>
        <w:t xml:space="preserve">be considered in the ECC studies. </w:t>
      </w:r>
    </w:p>
    <w:p w14:paraId="4EEB2B36" w14:textId="77777777" w:rsidR="00C723F4" w:rsidRPr="00752204" w:rsidRDefault="00C723F4" w:rsidP="00515004">
      <w:pPr>
        <w:jc w:val="center"/>
        <w:rPr>
          <w:lang w:val="en-US"/>
        </w:rPr>
      </w:pPr>
      <w:r w:rsidRPr="000967E6">
        <w:rPr>
          <w:noProof/>
          <w:lang w:val="fr-FR" w:eastAsia="fr-FR"/>
        </w:rPr>
        <w:drawing>
          <wp:inline distT="0" distB="0" distL="0" distR="0" wp14:anchorId="64ED5BCE" wp14:editId="00E7DF22">
            <wp:extent cx="6120765" cy="2003044"/>
            <wp:effectExtent l="0" t="0" r="0" b="0"/>
            <wp:docPr id="4" name="Picture 4" descr="C:\Users\Michael Biggs\Downloads\thumbnail_kldaonbmhepbhje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Michael Biggs\Downloads\thumbnail_kldaonbmhepbhjeb.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120765" cy="2003044"/>
                    </a:xfrm>
                    <a:prstGeom prst="rect">
                      <a:avLst/>
                    </a:prstGeom>
                    <a:noFill/>
                    <a:ln>
                      <a:noFill/>
                    </a:ln>
                  </pic:spPr>
                </pic:pic>
              </a:graphicData>
            </a:graphic>
          </wp:inline>
        </w:drawing>
      </w:r>
    </w:p>
    <w:p w14:paraId="2EE595ED" w14:textId="77777777" w:rsidR="00C723F4" w:rsidRPr="00752204" w:rsidRDefault="00C723F4" w:rsidP="00CF4EB9">
      <w:pPr>
        <w:rPr>
          <w:lang w:val="en-US"/>
        </w:rPr>
      </w:pPr>
      <w:r w:rsidRPr="00752204">
        <w:rPr>
          <w:lang w:val="en-US"/>
        </w:rPr>
        <w:t>It should be noted that in all cases the interference p</w:t>
      </w:r>
      <w:r>
        <w:rPr>
          <w:lang w:val="en-US"/>
        </w:rPr>
        <w:t>ath</w:t>
      </w:r>
      <w:r w:rsidRPr="00752204">
        <w:rPr>
          <w:lang w:val="en-US"/>
        </w:rPr>
        <w:t xml:space="preserve"> loss measurement took into account the antenna gain of an assumed standard dipole transmit antenna, the fuselage attenuation of the aircraft, the path loss attenuation (between the transmitter and the receiver) and finally the antenna gain of the radio altimeter receiver. </w:t>
      </w:r>
      <w:r>
        <w:rPr>
          <w:lang w:val="en-US"/>
        </w:rPr>
        <w:t>No additional losses should be added to these parameters to ensure an accurate worst case model.</w:t>
      </w:r>
    </w:p>
    <w:p w14:paraId="38B580BC" w14:textId="77777777" w:rsidR="00C723F4" w:rsidRPr="00752204" w:rsidRDefault="00C723F4" w:rsidP="00CF4EB9">
      <w:pPr>
        <w:rPr>
          <w:lang w:val="en-US"/>
        </w:rPr>
      </w:pPr>
    </w:p>
    <w:p w14:paraId="26188BC2" w14:textId="77777777" w:rsidR="00C723F4" w:rsidRPr="00752204" w:rsidRDefault="00C723F4" w:rsidP="001B0583">
      <w:pPr>
        <w:pStyle w:val="ECCTablenote"/>
        <w:rPr>
          <w:rStyle w:val="ECCParagraph"/>
          <w:lang w:val="en-US"/>
        </w:rPr>
      </w:pPr>
    </w:p>
    <w:p w14:paraId="16B654B1" w14:textId="77777777" w:rsidR="00C723F4" w:rsidRPr="000967E6" w:rsidRDefault="00C723F4" w:rsidP="00C512DE">
      <w:pPr>
        <w:rPr>
          <w:rStyle w:val="ECCParagraph"/>
          <w:rFonts w:eastAsia="Times New Roman"/>
          <w:szCs w:val="16"/>
          <w:lang w:val="en-US"/>
        </w:rPr>
      </w:pPr>
    </w:p>
    <w:p w14:paraId="4D5508C8" w14:textId="52D8F622" w:rsidR="00231A0F" w:rsidRPr="00E2036B" w:rsidRDefault="00231A0F">
      <w:pPr>
        <w:rPr>
          <w:rStyle w:val="ECCParagraph"/>
          <w:lang w:val="en-US"/>
        </w:rPr>
      </w:pPr>
    </w:p>
    <w:sectPr w:rsidR="00231A0F" w:rsidRPr="00E2036B" w:rsidSect="00783DAF">
      <w:headerReference w:type="even" r:id="rId21"/>
      <w:headerReference w:type="default" r:id="rId22"/>
      <w:pgSz w:w="11907" w:h="16840" w:code="9"/>
      <w:pgMar w:top="1440" w:right="1134" w:bottom="1440"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6ED736" w14:textId="77777777" w:rsidR="00643E39" w:rsidRDefault="00643E39" w:rsidP="00DB17F9">
      <w:r>
        <w:separator/>
      </w:r>
    </w:p>
    <w:p w14:paraId="454312AD" w14:textId="77777777" w:rsidR="00643E39" w:rsidRDefault="00643E39"/>
  </w:endnote>
  <w:endnote w:type="continuationSeparator" w:id="0">
    <w:p w14:paraId="0CCB0AAA" w14:textId="77777777" w:rsidR="00643E39" w:rsidRDefault="00643E39" w:rsidP="00DB17F9">
      <w:r>
        <w:continuationSeparator/>
      </w:r>
    </w:p>
    <w:p w14:paraId="6464E2B7" w14:textId="77777777" w:rsidR="00643E39" w:rsidRDefault="00643E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Lucida Grande">
    <w:altName w:val="Arial"/>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D077B7" w14:textId="77777777" w:rsidR="00643E39" w:rsidRPr="00F51BD6" w:rsidRDefault="00643E39" w:rsidP="00CD07E7">
      <w:pPr>
        <w:spacing w:before="120" w:after="0"/>
      </w:pPr>
      <w:r>
        <w:separator/>
      </w:r>
    </w:p>
  </w:footnote>
  <w:footnote w:type="continuationSeparator" w:id="0">
    <w:p w14:paraId="03565093" w14:textId="77777777" w:rsidR="00643E39" w:rsidRDefault="00643E39" w:rsidP="00CD07E7">
      <w:pPr>
        <w:spacing w:before="120" w:after="0"/>
      </w:pPr>
      <w:r>
        <w:continuationSeparator/>
      </w:r>
    </w:p>
  </w:footnote>
  <w:footnote w:type="continuationNotice" w:id="1">
    <w:p w14:paraId="28BDEE92" w14:textId="77777777" w:rsidR="00643E39" w:rsidRPr="00CD07E7" w:rsidRDefault="00643E39" w:rsidP="00CD07E7">
      <w:pPr>
        <w:spacing w:before="120" w:after="0"/>
      </w:pPr>
    </w:p>
  </w:footnote>
  <w:footnote w:id="2">
    <w:p w14:paraId="5A67C10A" w14:textId="77777777" w:rsidR="00C723F4" w:rsidRPr="00DC11A3" w:rsidRDefault="00C723F4">
      <w:pPr>
        <w:pStyle w:val="FootnoteText"/>
        <w:rPr>
          <w:lang w:val="en-US"/>
        </w:rPr>
      </w:pPr>
      <w:r>
        <w:rPr>
          <w:rStyle w:val="FootnoteReference"/>
        </w:rPr>
        <w:footnoteRef/>
      </w:r>
      <w:r w:rsidRPr="0081321E">
        <w:rPr>
          <w:lang w:val="en-CA"/>
        </w:rPr>
        <w:t xml:space="preserve"> </w:t>
      </w:r>
      <w:r>
        <w:rPr>
          <w:lang w:val="en-US"/>
        </w:rPr>
        <w:t xml:space="preserve">However, see section 4 on possible changes in orientation of aircraft.  </w:t>
      </w:r>
    </w:p>
  </w:footnote>
  <w:footnote w:id="3">
    <w:p w14:paraId="5965847C" w14:textId="77777777" w:rsidR="00C723F4" w:rsidRPr="00065057" w:rsidRDefault="00C723F4">
      <w:pPr>
        <w:pStyle w:val="FootnoteText"/>
        <w:rPr>
          <w:lang w:val="en-US"/>
        </w:rPr>
      </w:pPr>
      <w:r>
        <w:rPr>
          <w:rStyle w:val="FootnoteReference"/>
        </w:rPr>
        <w:footnoteRef/>
      </w:r>
      <w:r w:rsidRPr="0081321E">
        <w:rPr>
          <w:lang w:val="en-CA"/>
        </w:rPr>
        <w:t xml:space="preserve"> </w:t>
      </w:r>
      <w:r>
        <w:rPr>
          <w:lang w:val="en-US"/>
        </w:rPr>
        <w:t xml:space="preserve">Software to compute the P.528-4 model can be found at </w:t>
      </w:r>
      <w:hyperlink r:id="rId1" w:tgtFrame="_blank" w:history="1">
        <w:r w:rsidRPr="00A26359">
          <w:rPr>
            <w:rStyle w:val="Hyperlink"/>
            <w:lang w:val="en-GB"/>
          </w:rPr>
          <w:t>https://github.com/NTIA/p528-gui/releases</w:t>
        </w:r>
      </w:hyperlink>
    </w:p>
  </w:footnote>
  <w:footnote w:id="4">
    <w:p w14:paraId="5052D121" w14:textId="20F97AFF" w:rsidR="00C12229" w:rsidRPr="0081321E" w:rsidRDefault="00C12229">
      <w:pPr>
        <w:pStyle w:val="FootnoteText"/>
        <w:rPr>
          <w:lang w:val="fr-FR"/>
        </w:rPr>
      </w:pPr>
      <w:r>
        <w:rPr>
          <w:rStyle w:val="FootnoteReference"/>
        </w:rPr>
        <w:footnoteRef/>
      </w:r>
      <w:r>
        <w:t xml:space="preserve"> </w:t>
      </w:r>
      <w:r w:rsidRPr="0081321E">
        <w:rPr>
          <w:lang w:val="en-US"/>
        </w:rPr>
        <w:t>Medical</w:t>
      </w:r>
      <w:r>
        <w:rPr>
          <w:lang w:val="fr-FR"/>
        </w:rPr>
        <w:t xml:space="preserve"> Evacuation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D3D183" w14:textId="77777777" w:rsidR="00EF1DAB" w:rsidRPr="00AD1BE1" w:rsidRDefault="00EF1DAB" w:rsidP="00AD1BE1">
    <w:pPr>
      <w:pStyle w:val="ECCpageHeader"/>
    </w:pPr>
    <w:r w:rsidRPr="00AD1BE1">
      <w:t xml:space="preserve">ECC REPORT &lt;No&gt; - Page </w:t>
    </w:r>
    <w:r w:rsidRPr="00AD1BE1">
      <w:fldChar w:fldCharType="begin"/>
    </w:r>
    <w:r w:rsidRPr="00AD1BE1">
      <w:instrText xml:space="preserve"> PAGE  \* Arabic  \* MERGEFORMAT </w:instrText>
    </w:r>
    <w:r w:rsidRPr="00AD1BE1">
      <w:fldChar w:fldCharType="separate"/>
    </w:r>
    <w:r>
      <w:rPr>
        <w:noProof/>
      </w:rPr>
      <w:t>1</w:t>
    </w:r>
    <w:r w:rsidRPr="00AD1BE1">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46BB75" w14:textId="77777777" w:rsidR="00EF1DAB" w:rsidRPr="00714F0F" w:rsidRDefault="00EF1DAB" w:rsidP="00714F0F">
    <w:pPr>
      <w:pStyle w:val="ECCpageHeader"/>
    </w:pPr>
    <w:r w:rsidRPr="00714F0F">
      <w:tab/>
      <w:t xml:space="preserve">Page </w:t>
    </w:r>
    <w:r w:rsidRPr="00714F0F">
      <w:fldChar w:fldCharType="begin"/>
    </w:r>
    <w:r w:rsidRPr="00714F0F">
      <w:instrText xml:space="preserve"> PAGE  \* Arabic  \* MERGEFORMAT </w:instrText>
    </w:r>
    <w:r w:rsidRPr="00714F0F">
      <w:fldChar w:fldCharType="separate"/>
    </w:r>
    <w:r w:rsidR="00C12229">
      <w:rPr>
        <w:noProof/>
      </w:rPr>
      <w:t>9</w:t>
    </w:r>
    <w:r w:rsidRPr="00714F0F">
      <w:fldChar w:fldCharType="end"/>
    </w:r>
  </w:p>
  <w:p w14:paraId="1192243D" w14:textId="77777777" w:rsidR="00EF1DAB" w:rsidRDefault="00EF1DA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7D2B2B"/>
    <w:multiLevelType w:val="hybridMultilevel"/>
    <w:tmpl w:val="872041E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AC317D0"/>
    <w:multiLevelType w:val="hybridMultilevel"/>
    <w:tmpl w:val="88EE9EF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FEB4A7C"/>
    <w:multiLevelType w:val="hybridMultilevel"/>
    <w:tmpl w:val="B96CE56A"/>
    <w:lvl w:ilvl="0" w:tplc="91C4760E">
      <w:start w:val="1"/>
      <w:numFmt w:val="bullet"/>
      <w:pStyle w:val="ECCBulletsLv1"/>
      <w:lvlText w:val=""/>
      <w:lvlJc w:val="left"/>
      <w:pPr>
        <w:ind w:left="360" w:hanging="360"/>
      </w:pPr>
      <w:rPr>
        <w:rFonts w:ascii="Wingdings" w:hAnsi="Wingdings" w:hint="default"/>
        <w:color w:val="D2232A"/>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8191A79"/>
    <w:multiLevelType w:val="hybridMultilevel"/>
    <w:tmpl w:val="76F408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BCA578D"/>
    <w:multiLevelType w:val="hybridMultilevel"/>
    <w:tmpl w:val="E754469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12F4188"/>
    <w:multiLevelType w:val="multilevel"/>
    <w:tmpl w:val="F1FACA8E"/>
    <w:lvl w:ilvl="0">
      <w:start w:val="1"/>
      <w:numFmt w:val="decimal"/>
      <w:pStyle w:val="ECCAnnexheading1"/>
      <w:suff w:val="space"/>
      <w:lvlText w:val="ANNEX %1:"/>
      <w:lvlJc w:val="left"/>
      <w:pPr>
        <w:ind w:left="0" w:firstLine="0"/>
      </w:pPr>
      <w:rPr>
        <w:rFonts w:ascii="Arial" w:hAnsi="Arial" w:hint="default"/>
        <w:b/>
        <w:bCs w:val="0"/>
        <w:i w:val="0"/>
        <w:iCs w:val="0"/>
        <w:smallCaps w:val="0"/>
        <w:strike w:val="0"/>
        <w:dstrike w:val="0"/>
        <w:vanish w:val="0"/>
        <w:color w:val="D2232A"/>
        <w:spacing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ECCAnnexheading2"/>
      <w:suff w:val="space"/>
      <w:lvlText w:val="A%1.%2"/>
      <w:lvlJc w:val="left"/>
      <w:pPr>
        <w:ind w:left="576" w:hanging="576"/>
      </w:pPr>
      <w:rPr>
        <w:rFonts w:hint="default"/>
      </w:rPr>
    </w:lvl>
    <w:lvl w:ilvl="2">
      <w:start w:val="1"/>
      <w:numFmt w:val="decimal"/>
      <w:pStyle w:val="ECCAnnexheading3"/>
      <w:lvlText w:val="A%1.%2.%3"/>
      <w:lvlJc w:val="left"/>
      <w:pPr>
        <w:tabs>
          <w:tab w:val="num" w:pos="720"/>
        </w:tabs>
        <w:ind w:left="720" w:hanging="720"/>
      </w:pPr>
      <w:rPr>
        <w:rFonts w:hint="default"/>
      </w:rPr>
    </w:lvl>
    <w:lvl w:ilvl="3">
      <w:start w:val="1"/>
      <w:numFmt w:val="decimal"/>
      <w:pStyle w:val="ECCAnnexheading4"/>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2A0A7C33"/>
    <w:multiLevelType w:val="hybridMultilevel"/>
    <w:tmpl w:val="81E804EC"/>
    <w:lvl w:ilvl="0" w:tplc="F3F6E784">
      <w:start w:val="1"/>
      <w:numFmt w:val="decimal"/>
      <w:pStyle w:val="ECCEditorsNote"/>
      <w:lvlText w:val="Editor's Note %1:"/>
      <w:lvlJc w:val="left"/>
      <w:pPr>
        <w:tabs>
          <w:tab w:val="num" w:pos="1559"/>
        </w:tabs>
        <w:ind w:left="1559" w:hanging="1559"/>
      </w:pPr>
      <w:rPr>
        <w:rFonts w:hint="default"/>
        <w:caps w:val="0"/>
        <w:strike w:val="0"/>
        <w:dstrike w:val="0"/>
        <w:vanish w:val="0"/>
        <w:color w:val="auto"/>
        <w:u w:color="FFFF00"/>
        <w:vertAlign w:val="baseli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331D2CAF"/>
    <w:multiLevelType w:val="multilevel"/>
    <w:tmpl w:val="C960DCD2"/>
    <w:lvl w:ilvl="0">
      <w:start w:val="1"/>
      <w:numFmt w:val="decimal"/>
      <w:pStyle w:val="ECCNumberedList"/>
      <w:lvlText w:val="%1"/>
      <w:lvlJc w:val="left"/>
      <w:pPr>
        <w:ind w:left="360" w:hanging="360"/>
      </w:pPr>
      <w:rPr>
        <w:rFonts w:hint="default"/>
        <w:b w:val="0"/>
        <w:i w:val="0"/>
        <w:color w:val="D2232A"/>
        <w:sz w:val="20"/>
      </w:rPr>
    </w:lvl>
    <w:lvl w:ilvl="1">
      <w:start w:val="1"/>
      <w:numFmt w:val="bullet"/>
      <w:lvlText w:val=""/>
      <w:lvlJc w:val="left"/>
      <w:pPr>
        <w:tabs>
          <w:tab w:val="num" w:pos="680"/>
        </w:tabs>
        <w:ind w:left="680" w:hanging="340"/>
      </w:pPr>
      <w:rPr>
        <w:rFonts w:ascii="Wingdings" w:hAnsi="Wingdings" w:hint="default"/>
        <w:color w:val="D2232A"/>
      </w:rPr>
    </w:lvl>
    <w:lvl w:ilvl="2">
      <w:start w:val="1"/>
      <w:numFmt w:val="bullet"/>
      <w:lvlText w:val=""/>
      <w:lvlJc w:val="left"/>
      <w:pPr>
        <w:tabs>
          <w:tab w:val="num" w:pos="1021"/>
        </w:tabs>
        <w:ind w:left="1021" w:hanging="341"/>
      </w:pPr>
      <w:rPr>
        <w:rFonts w:ascii="Wingdings" w:hAnsi="Wingdings" w:hint="default"/>
        <w:color w:val="D2232A"/>
      </w:rPr>
    </w:lvl>
    <w:lvl w:ilvl="3">
      <w:start w:val="1"/>
      <w:numFmt w:val="decimal"/>
      <w:lvlText w:val="(%4)"/>
      <w:lvlJc w:val="left"/>
      <w:pPr>
        <w:ind w:left="1043" w:hanging="360"/>
      </w:pPr>
      <w:rPr>
        <w:rFonts w:hint="default"/>
      </w:rPr>
    </w:lvl>
    <w:lvl w:ilvl="4">
      <w:start w:val="1"/>
      <w:numFmt w:val="lowerLetter"/>
      <w:lvlText w:val="(%5)"/>
      <w:lvlJc w:val="left"/>
      <w:pPr>
        <w:ind w:left="1403" w:hanging="360"/>
      </w:pPr>
      <w:rPr>
        <w:rFonts w:hint="default"/>
      </w:rPr>
    </w:lvl>
    <w:lvl w:ilvl="5">
      <w:start w:val="1"/>
      <w:numFmt w:val="lowerRoman"/>
      <w:lvlText w:val="(%6)"/>
      <w:lvlJc w:val="left"/>
      <w:pPr>
        <w:ind w:left="1763" w:hanging="360"/>
      </w:pPr>
      <w:rPr>
        <w:rFonts w:hint="default"/>
      </w:rPr>
    </w:lvl>
    <w:lvl w:ilvl="6">
      <w:start w:val="1"/>
      <w:numFmt w:val="decimal"/>
      <w:lvlText w:val="%7."/>
      <w:lvlJc w:val="left"/>
      <w:pPr>
        <w:ind w:left="2123" w:hanging="360"/>
      </w:pPr>
      <w:rPr>
        <w:rFonts w:hint="default"/>
      </w:rPr>
    </w:lvl>
    <w:lvl w:ilvl="7">
      <w:start w:val="1"/>
      <w:numFmt w:val="lowerLetter"/>
      <w:lvlText w:val="%8."/>
      <w:lvlJc w:val="left"/>
      <w:pPr>
        <w:ind w:left="2483" w:hanging="360"/>
      </w:pPr>
      <w:rPr>
        <w:rFonts w:hint="default"/>
      </w:rPr>
    </w:lvl>
    <w:lvl w:ilvl="8">
      <w:start w:val="1"/>
      <w:numFmt w:val="lowerRoman"/>
      <w:lvlText w:val="%9."/>
      <w:lvlJc w:val="left"/>
      <w:pPr>
        <w:ind w:left="2843" w:hanging="360"/>
      </w:pPr>
      <w:rPr>
        <w:rFonts w:hint="default"/>
      </w:rPr>
    </w:lvl>
  </w:abstractNum>
  <w:abstractNum w:abstractNumId="8" w15:restartNumberingAfterBreak="0">
    <w:nsid w:val="3D163F7A"/>
    <w:multiLevelType w:val="multilevel"/>
    <w:tmpl w:val="C51432D8"/>
    <w:lvl w:ilvl="0">
      <w:start w:val="1"/>
      <w:numFmt w:val="decimal"/>
      <w:pStyle w:val="Heading1"/>
      <w:lvlText w:val="%1"/>
      <w:lvlJc w:val="left"/>
      <w:pPr>
        <w:tabs>
          <w:tab w:val="num" w:pos="432"/>
        </w:tabs>
        <w:ind w:left="432" w:hanging="432"/>
      </w:pPr>
      <w:rPr>
        <w:rFonts w:ascii="Arial" w:hAnsi="Arial" w:hint="default"/>
        <w:b/>
        <w:i w:val="0"/>
        <w:color w:val="D2232A"/>
        <w:sz w:val="20"/>
        <w:szCs w:val="20"/>
      </w:rPr>
    </w:lvl>
    <w:lvl w:ilvl="1">
      <w:start w:val="1"/>
      <w:numFmt w:val="decimal"/>
      <w:pStyle w:val="Heading2"/>
      <w:lvlText w:val="%1.%2"/>
      <w:lvlJc w:val="left"/>
      <w:pPr>
        <w:tabs>
          <w:tab w:val="num" w:pos="576"/>
        </w:tabs>
        <w:ind w:left="576" w:hanging="576"/>
      </w:pPr>
      <w:rPr>
        <w:rFonts w:ascii="Arial" w:hAnsi="Arial" w:hint="default"/>
        <w:b/>
        <w:i w:val="0"/>
        <w:sz w:val="20"/>
      </w:rPr>
    </w:lvl>
    <w:lvl w:ilvl="2">
      <w:start w:val="1"/>
      <w:numFmt w:val="decimal"/>
      <w:pStyle w:val="Heading3"/>
      <w:lvlText w:val="%1.%2.%3"/>
      <w:lvlJc w:val="left"/>
      <w:pPr>
        <w:tabs>
          <w:tab w:val="num" w:pos="720"/>
        </w:tabs>
        <w:ind w:left="720" w:hanging="720"/>
      </w:pPr>
      <w:rPr>
        <w:rFonts w:ascii="Arial" w:hAnsi="Arial" w:hint="default"/>
        <w:b/>
        <w:i w:val="0"/>
        <w:caps w:val="0"/>
        <w:sz w:val="20"/>
        <w:szCs w:val="20"/>
      </w:rPr>
    </w:lvl>
    <w:lvl w:ilvl="3">
      <w:start w:val="1"/>
      <w:numFmt w:val="decimal"/>
      <w:pStyle w:val="Heading4"/>
      <w:lvlText w:val="%1.%2.%3.%4"/>
      <w:lvlJc w:val="left"/>
      <w:pPr>
        <w:tabs>
          <w:tab w:val="num" w:pos="864"/>
        </w:tabs>
        <w:ind w:left="864" w:hanging="864"/>
      </w:pPr>
      <w:rPr>
        <w:rFonts w:ascii="Arial" w:hAnsi="Arial" w:hint="default"/>
        <w:b w:val="0"/>
        <w:i/>
        <w:sz w:val="20"/>
      </w:rPr>
    </w:lvl>
    <w:lvl w:ilvl="4">
      <w:start w:val="1"/>
      <w:numFmt w:val="decimal"/>
      <w:pStyle w:val="Heading5"/>
      <w:lvlText w:val="%1.%2.%3.%4.%5"/>
      <w:lvlJc w:val="left"/>
      <w:pPr>
        <w:tabs>
          <w:tab w:val="num" w:pos="1008"/>
        </w:tabs>
        <w:ind w:left="1008" w:hanging="1008"/>
      </w:pPr>
      <w:rPr>
        <w:rFonts w:hint="default"/>
        <w:sz w:val="24"/>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9" w15:restartNumberingAfterBreak="0">
    <w:nsid w:val="46E6242A"/>
    <w:multiLevelType w:val="hybridMultilevel"/>
    <w:tmpl w:val="9146C086"/>
    <w:lvl w:ilvl="0" w:tplc="5D1C976A">
      <w:start w:val="1"/>
      <w:numFmt w:val="decimal"/>
      <w:pStyle w:val="ECCReference"/>
      <w:lvlText w:val="[%1]"/>
      <w:lvlJc w:val="left"/>
      <w:pPr>
        <w:tabs>
          <w:tab w:val="num" w:pos="397"/>
        </w:tabs>
        <w:ind w:left="397" w:hanging="397"/>
      </w:pPr>
      <w:rPr>
        <w:rFonts w:ascii="Arial" w:hAnsi="Arial" w:hint="default"/>
        <w:b w:val="0"/>
        <w:i w:val="0"/>
        <w:color w:val="D2232A"/>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7D6127E"/>
    <w:multiLevelType w:val="hybridMultilevel"/>
    <w:tmpl w:val="3064D4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8E532EA"/>
    <w:multiLevelType w:val="hybridMultilevel"/>
    <w:tmpl w:val="5810E2A4"/>
    <w:lvl w:ilvl="0" w:tplc="20B4FF9A">
      <w:start w:val="1"/>
      <w:numFmt w:val="bullet"/>
      <w:lvlText w:val=""/>
      <w:lvlJc w:val="left"/>
      <w:pPr>
        <w:tabs>
          <w:tab w:val="num" w:pos="1559"/>
        </w:tabs>
        <w:ind w:left="1559" w:hanging="1559"/>
      </w:pPr>
      <w:rPr>
        <w:rFonts w:ascii="Symbol" w:hAnsi="Symbol" w:hint="default"/>
        <w:b w:val="0"/>
        <w:bCs w:val="0"/>
        <w:i w:val="0"/>
        <w:iCs w:val="0"/>
        <w:caps w:val="0"/>
        <w:smallCaps w:val="0"/>
        <w:strike w:val="0"/>
        <w:dstrike w:val="0"/>
        <w:vanish w:val="0"/>
        <w:color w:val="auto"/>
        <w:spacing w:val="0"/>
        <w:kern w:val="0"/>
        <w:position w:val="0"/>
        <w:u w:val="none" w:color="FFFF00"/>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49BE4C9A"/>
    <w:multiLevelType w:val="multilevel"/>
    <w:tmpl w:val="8FA093E4"/>
    <w:lvl w:ilvl="0">
      <w:start w:val="1"/>
      <w:numFmt w:val="decimal"/>
      <w:lvlText w:val="%1."/>
      <w:lvlJc w:val="left"/>
      <w:pPr>
        <w:tabs>
          <w:tab w:val="num" w:pos="340"/>
        </w:tabs>
        <w:ind w:left="340" w:hanging="340"/>
      </w:pPr>
      <w:rPr>
        <w:rFonts w:ascii="Arial" w:hAnsi="Arial" w:hint="default"/>
        <w:b w:val="0"/>
        <w:i w:val="0"/>
        <w:color w:val="D2232A"/>
        <w:sz w:val="20"/>
      </w:rPr>
    </w:lvl>
    <w:lvl w:ilvl="1">
      <w:start w:val="1"/>
      <w:numFmt w:val="lowerLetter"/>
      <w:pStyle w:val="ECCLetteredList"/>
      <w:lvlText w:val="%2)"/>
      <w:lvlJc w:val="left"/>
      <w:pPr>
        <w:tabs>
          <w:tab w:val="num" w:pos="680"/>
        </w:tabs>
        <w:ind w:left="680" w:hanging="340"/>
      </w:pPr>
      <w:rPr>
        <w:rFonts w:ascii="Arial" w:hAnsi="Arial" w:hint="default"/>
        <w:b w:val="0"/>
        <w:i w:val="0"/>
        <w:color w:val="D2232A"/>
        <w:sz w:val="20"/>
      </w:rPr>
    </w:lvl>
    <w:lvl w:ilvl="2">
      <w:start w:val="1"/>
      <w:numFmt w:val="bullet"/>
      <w:lvlText w:val=""/>
      <w:lvlJc w:val="left"/>
      <w:pPr>
        <w:tabs>
          <w:tab w:val="num" w:pos="1021"/>
        </w:tabs>
        <w:ind w:left="1021" w:hanging="341"/>
      </w:pPr>
      <w:rPr>
        <w:rFonts w:ascii="Wingdings" w:hAnsi="Wingdings" w:hint="default"/>
        <w:color w:val="D2232A"/>
      </w:rPr>
    </w:lvl>
    <w:lvl w:ilvl="3">
      <w:start w:val="1"/>
      <w:numFmt w:val="none"/>
      <w:lvlText w:val=""/>
      <w:lvlJc w:val="left"/>
      <w:pPr>
        <w:tabs>
          <w:tab w:val="num" w:pos="1077"/>
        </w:tabs>
        <w:ind w:left="1728" w:hanging="648"/>
      </w:pPr>
      <w:rPr>
        <w:rFonts w:hint="default"/>
      </w:rPr>
    </w:lvl>
    <w:lvl w:ilvl="4">
      <w:start w:val="1"/>
      <w:numFmt w:val="none"/>
      <w:lvlText w:val=""/>
      <w:lvlJc w:val="left"/>
      <w:pPr>
        <w:ind w:left="2232" w:hanging="792"/>
      </w:pPr>
      <w:rPr>
        <w:rFonts w:hint="default"/>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13" w15:restartNumberingAfterBreak="0">
    <w:nsid w:val="5DCF18D3"/>
    <w:multiLevelType w:val="hybridMultilevel"/>
    <w:tmpl w:val="1D30FD4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6CF71430"/>
    <w:multiLevelType w:val="hybridMultilevel"/>
    <w:tmpl w:val="50C873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12"/>
  </w:num>
  <w:num w:numId="4">
    <w:abstractNumId w:val="7"/>
  </w:num>
  <w:num w:numId="5">
    <w:abstractNumId w:val="9"/>
  </w:num>
  <w:num w:numId="6">
    <w:abstractNumId w:val="8"/>
  </w:num>
  <w:num w:numId="7">
    <w:abstractNumId w:val="11"/>
  </w:num>
  <w:num w:numId="8">
    <w:abstractNumId w:val="6"/>
  </w:num>
  <w:num w:numId="9">
    <w:abstractNumId w:val="6"/>
  </w:num>
  <w:num w:numId="10">
    <w:abstractNumId w:val="10"/>
  </w:num>
  <w:num w:numId="11">
    <w:abstractNumId w:val="13"/>
  </w:num>
  <w:num w:numId="12">
    <w:abstractNumId w:val="3"/>
  </w:num>
  <w:num w:numId="13">
    <w:abstractNumId w:val="0"/>
  </w:num>
  <w:num w:numId="14">
    <w:abstractNumId w:val="4"/>
  </w:num>
  <w:num w:numId="15">
    <w:abstractNumId w:val="1"/>
  </w:num>
  <w:num w:numId="16">
    <w:abstractNumId w:val="14"/>
  </w:num>
  <w:num w:numId="17">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removeDateAndTime/>
  <w:proofState w:spelling="clean" w:grammar="clean"/>
  <w:stylePaneFormatFilter w:val="D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1"/>
  <w:stylePaneSortMethod w:val="0000"/>
  <w:documentProtection w:formatting="1" w:enforcement="0"/>
  <w:autoFormatOverride/>
  <w:styleLockQFSet/>
  <w:defaultTabStop w:val="567"/>
  <w:hyphenationZone w:val="425"/>
  <w:characterSpacingControl w:val="doNotCompress"/>
  <w:hdrShapeDefaults>
    <o:shapedefaults v:ext="edit" spidmax="2049"/>
  </w:hdrShapeDefaults>
  <w:footnotePr>
    <w:footnote w:id="-1"/>
    <w:footnote w:id="0"/>
    <w:footnote w:id="1"/>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65F50"/>
    <w:rsid w:val="0001112E"/>
    <w:rsid w:val="00012E3B"/>
    <w:rsid w:val="000175FE"/>
    <w:rsid w:val="00041A18"/>
    <w:rsid w:val="00045045"/>
    <w:rsid w:val="0004622B"/>
    <w:rsid w:val="00057EBF"/>
    <w:rsid w:val="00060E20"/>
    <w:rsid w:val="00067793"/>
    <w:rsid w:val="00080D4D"/>
    <w:rsid w:val="00082DD7"/>
    <w:rsid w:val="00095620"/>
    <w:rsid w:val="000A3940"/>
    <w:rsid w:val="000B0B03"/>
    <w:rsid w:val="000B6D45"/>
    <w:rsid w:val="000C028F"/>
    <w:rsid w:val="000D1710"/>
    <w:rsid w:val="000D43BB"/>
    <w:rsid w:val="000E3E4D"/>
    <w:rsid w:val="000E42F5"/>
    <w:rsid w:val="000F0594"/>
    <w:rsid w:val="000F0CA8"/>
    <w:rsid w:val="000F24F5"/>
    <w:rsid w:val="000F2ED9"/>
    <w:rsid w:val="001006CA"/>
    <w:rsid w:val="00100F8B"/>
    <w:rsid w:val="00102172"/>
    <w:rsid w:val="00110652"/>
    <w:rsid w:val="001526A2"/>
    <w:rsid w:val="00154F16"/>
    <w:rsid w:val="00156314"/>
    <w:rsid w:val="0017055A"/>
    <w:rsid w:val="00172B28"/>
    <w:rsid w:val="00183FE0"/>
    <w:rsid w:val="0018553F"/>
    <w:rsid w:val="001A01CA"/>
    <w:rsid w:val="001B0583"/>
    <w:rsid w:val="001C30A8"/>
    <w:rsid w:val="001C5B8B"/>
    <w:rsid w:val="001D4F8E"/>
    <w:rsid w:val="0020079A"/>
    <w:rsid w:val="002166EA"/>
    <w:rsid w:val="00222F9E"/>
    <w:rsid w:val="002302A9"/>
    <w:rsid w:val="00231A0F"/>
    <w:rsid w:val="00236E71"/>
    <w:rsid w:val="002413EE"/>
    <w:rsid w:val="00247B0B"/>
    <w:rsid w:val="00263FFB"/>
    <w:rsid w:val="00265F50"/>
    <w:rsid w:val="00274F84"/>
    <w:rsid w:val="0027787F"/>
    <w:rsid w:val="0028060B"/>
    <w:rsid w:val="0028120C"/>
    <w:rsid w:val="00283417"/>
    <w:rsid w:val="00293ACD"/>
    <w:rsid w:val="00295827"/>
    <w:rsid w:val="00295F16"/>
    <w:rsid w:val="00296C44"/>
    <w:rsid w:val="002A033F"/>
    <w:rsid w:val="002C6DC3"/>
    <w:rsid w:val="002D1FA9"/>
    <w:rsid w:val="002D50A3"/>
    <w:rsid w:val="002E3124"/>
    <w:rsid w:val="002F70E6"/>
    <w:rsid w:val="003007C0"/>
    <w:rsid w:val="00307A79"/>
    <w:rsid w:val="003173F5"/>
    <w:rsid w:val="003204D5"/>
    <w:rsid w:val="00320ED0"/>
    <w:rsid w:val="00322E6A"/>
    <w:rsid w:val="003314A0"/>
    <w:rsid w:val="003675F0"/>
    <w:rsid w:val="00380B97"/>
    <w:rsid w:val="00381169"/>
    <w:rsid w:val="0038287C"/>
    <w:rsid w:val="0038358E"/>
    <w:rsid w:val="00387DDE"/>
    <w:rsid w:val="00391A01"/>
    <w:rsid w:val="00393D1A"/>
    <w:rsid w:val="003A0EB5"/>
    <w:rsid w:val="003A5711"/>
    <w:rsid w:val="003C64D9"/>
    <w:rsid w:val="003E2E42"/>
    <w:rsid w:val="003E36DA"/>
    <w:rsid w:val="003E70E0"/>
    <w:rsid w:val="00403CE6"/>
    <w:rsid w:val="004110CA"/>
    <w:rsid w:val="0041160E"/>
    <w:rsid w:val="004130CF"/>
    <w:rsid w:val="0042761F"/>
    <w:rsid w:val="00430234"/>
    <w:rsid w:val="00431162"/>
    <w:rsid w:val="00441EE0"/>
    <w:rsid w:val="00443482"/>
    <w:rsid w:val="00450308"/>
    <w:rsid w:val="00457AD1"/>
    <w:rsid w:val="0046427F"/>
    <w:rsid w:val="00467234"/>
    <w:rsid w:val="00485665"/>
    <w:rsid w:val="00491901"/>
    <w:rsid w:val="00491977"/>
    <w:rsid w:val="004A1329"/>
    <w:rsid w:val="004C1A87"/>
    <w:rsid w:val="004C4A2E"/>
    <w:rsid w:val="004D4AEA"/>
    <w:rsid w:val="004E057E"/>
    <w:rsid w:val="004E44C8"/>
    <w:rsid w:val="004E53BE"/>
    <w:rsid w:val="004E7F82"/>
    <w:rsid w:val="004F3EA9"/>
    <w:rsid w:val="00501992"/>
    <w:rsid w:val="005026AC"/>
    <w:rsid w:val="0050665F"/>
    <w:rsid w:val="00510AE7"/>
    <w:rsid w:val="00512043"/>
    <w:rsid w:val="00520EFD"/>
    <w:rsid w:val="0053062A"/>
    <w:rsid w:val="00535050"/>
    <w:rsid w:val="00535723"/>
    <w:rsid w:val="00536F3C"/>
    <w:rsid w:val="0054260E"/>
    <w:rsid w:val="00542866"/>
    <w:rsid w:val="00550D79"/>
    <w:rsid w:val="005559AC"/>
    <w:rsid w:val="00555FB3"/>
    <w:rsid w:val="00557B5A"/>
    <w:rsid w:val="005611D0"/>
    <w:rsid w:val="00563F2C"/>
    <w:rsid w:val="00566BD4"/>
    <w:rsid w:val="00576411"/>
    <w:rsid w:val="00577CAF"/>
    <w:rsid w:val="00580223"/>
    <w:rsid w:val="00594186"/>
    <w:rsid w:val="005A05D1"/>
    <w:rsid w:val="005A3D6F"/>
    <w:rsid w:val="005A53B8"/>
    <w:rsid w:val="005B202B"/>
    <w:rsid w:val="005B6DEE"/>
    <w:rsid w:val="005B6F70"/>
    <w:rsid w:val="005B778B"/>
    <w:rsid w:val="005C10EB"/>
    <w:rsid w:val="005C2301"/>
    <w:rsid w:val="005C5A96"/>
    <w:rsid w:val="005D371D"/>
    <w:rsid w:val="005E489A"/>
    <w:rsid w:val="005E7495"/>
    <w:rsid w:val="005F063B"/>
    <w:rsid w:val="00621C12"/>
    <w:rsid w:val="00623E18"/>
    <w:rsid w:val="00625C5D"/>
    <w:rsid w:val="00635A22"/>
    <w:rsid w:val="00642083"/>
    <w:rsid w:val="00643E39"/>
    <w:rsid w:val="00647BD1"/>
    <w:rsid w:val="0065550D"/>
    <w:rsid w:val="00664295"/>
    <w:rsid w:val="00665364"/>
    <w:rsid w:val="00667B35"/>
    <w:rsid w:val="006713EB"/>
    <w:rsid w:val="00673A9B"/>
    <w:rsid w:val="00674AB2"/>
    <w:rsid w:val="006876A8"/>
    <w:rsid w:val="006A3B77"/>
    <w:rsid w:val="006A49E3"/>
    <w:rsid w:val="006B1EFD"/>
    <w:rsid w:val="006B5724"/>
    <w:rsid w:val="006C14E4"/>
    <w:rsid w:val="006C2843"/>
    <w:rsid w:val="006C6DA8"/>
    <w:rsid w:val="006C7F61"/>
    <w:rsid w:val="006D407F"/>
    <w:rsid w:val="006F0442"/>
    <w:rsid w:val="00714F0F"/>
    <w:rsid w:val="007160BE"/>
    <w:rsid w:val="00722F65"/>
    <w:rsid w:val="007257CD"/>
    <w:rsid w:val="00734A4F"/>
    <w:rsid w:val="007414C6"/>
    <w:rsid w:val="00762BCC"/>
    <w:rsid w:val="00763623"/>
    <w:rsid w:val="00763BA3"/>
    <w:rsid w:val="00765B66"/>
    <w:rsid w:val="00767BB2"/>
    <w:rsid w:val="0077159C"/>
    <w:rsid w:val="00776D23"/>
    <w:rsid w:val="00780376"/>
    <w:rsid w:val="00780ED7"/>
    <w:rsid w:val="00780EE3"/>
    <w:rsid w:val="00783DAF"/>
    <w:rsid w:val="00791AAC"/>
    <w:rsid w:val="00797D4C"/>
    <w:rsid w:val="00797DEE"/>
    <w:rsid w:val="007C0E7E"/>
    <w:rsid w:val="007C2A17"/>
    <w:rsid w:val="007C4098"/>
    <w:rsid w:val="007D17C5"/>
    <w:rsid w:val="007D52EC"/>
    <w:rsid w:val="007E1A57"/>
    <w:rsid w:val="007E3F5F"/>
    <w:rsid w:val="007F1CEE"/>
    <w:rsid w:val="007F5023"/>
    <w:rsid w:val="00803419"/>
    <w:rsid w:val="0080526D"/>
    <w:rsid w:val="00807C77"/>
    <w:rsid w:val="0081321E"/>
    <w:rsid w:val="008149E5"/>
    <w:rsid w:val="00837537"/>
    <w:rsid w:val="00842766"/>
    <w:rsid w:val="00854EBF"/>
    <w:rsid w:val="0086094D"/>
    <w:rsid w:val="0086731C"/>
    <w:rsid w:val="00872382"/>
    <w:rsid w:val="008807A9"/>
    <w:rsid w:val="00886906"/>
    <w:rsid w:val="008912FE"/>
    <w:rsid w:val="008A245D"/>
    <w:rsid w:val="008A54FC"/>
    <w:rsid w:val="008B70CD"/>
    <w:rsid w:val="008C5CD4"/>
    <w:rsid w:val="008D141C"/>
    <w:rsid w:val="008D2C13"/>
    <w:rsid w:val="008E6109"/>
    <w:rsid w:val="008F47AB"/>
    <w:rsid w:val="00907A34"/>
    <w:rsid w:val="009170EA"/>
    <w:rsid w:val="0092076F"/>
    <w:rsid w:val="00930439"/>
    <w:rsid w:val="00937AEB"/>
    <w:rsid w:val="009662E3"/>
    <w:rsid w:val="00966DD9"/>
    <w:rsid w:val="00986677"/>
    <w:rsid w:val="0099421C"/>
    <w:rsid w:val="0099568F"/>
    <w:rsid w:val="00997E34"/>
    <w:rsid w:val="009A2F3A"/>
    <w:rsid w:val="009A7A45"/>
    <w:rsid w:val="009B1A9E"/>
    <w:rsid w:val="009C3803"/>
    <w:rsid w:val="009D2C13"/>
    <w:rsid w:val="009D3BA5"/>
    <w:rsid w:val="009D4BA1"/>
    <w:rsid w:val="009D7D5A"/>
    <w:rsid w:val="009E47EB"/>
    <w:rsid w:val="009F3A37"/>
    <w:rsid w:val="009F6EA2"/>
    <w:rsid w:val="009F7F31"/>
    <w:rsid w:val="00A02090"/>
    <w:rsid w:val="00A03731"/>
    <w:rsid w:val="00A061CE"/>
    <w:rsid w:val="00A076B5"/>
    <w:rsid w:val="00A17F69"/>
    <w:rsid w:val="00A21678"/>
    <w:rsid w:val="00A23870"/>
    <w:rsid w:val="00A274DB"/>
    <w:rsid w:val="00A41E1E"/>
    <w:rsid w:val="00A6411D"/>
    <w:rsid w:val="00A673EB"/>
    <w:rsid w:val="00A73298"/>
    <w:rsid w:val="00A751C0"/>
    <w:rsid w:val="00A95ACB"/>
    <w:rsid w:val="00A97942"/>
    <w:rsid w:val="00AA079B"/>
    <w:rsid w:val="00AA086A"/>
    <w:rsid w:val="00AC0EA5"/>
    <w:rsid w:val="00AC2686"/>
    <w:rsid w:val="00AD1BE1"/>
    <w:rsid w:val="00AD7257"/>
    <w:rsid w:val="00AF0889"/>
    <w:rsid w:val="00AF2D0C"/>
    <w:rsid w:val="00AF4C0E"/>
    <w:rsid w:val="00B0502F"/>
    <w:rsid w:val="00B14CA8"/>
    <w:rsid w:val="00B14E5E"/>
    <w:rsid w:val="00B25910"/>
    <w:rsid w:val="00B26973"/>
    <w:rsid w:val="00B30D3B"/>
    <w:rsid w:val="00B33119"/>
    <w:rsid w:val="00B34752"/>
    <w:rsid w:val="00B432D4"/>
    <w:rsid w:val="00B5315C"/>
    <w:rsid w:val="00B576D7"/>
    <w:rsid w:val="00B70961"/>
    <w:rsid w:val="00B80892"/>
    <w:rsid w:val="00B82735"/>
    <w:rsid w:val="00B92306"/>
    <w:rsid w:val="00B92861"/>
    <w:rsid w:val="00B95331"/>
    <w:rsid w:val="00BA7A69"/>
    <w:rsid w:val="00BB15E2"/>
    <w:rsid w:val="00BD28DF"/>
    <w:rsid w:val="00BD6876"/>
    <w:rsid w:val="00BE0B23"/>
    <w:rsid w:val="00BE1698"/>
    <w:rsid w:val="00BE2864"/>
    <w:rsid w:val="00C00565"/>
    <w:rsid w:val="00C076BF"/>
    <w:rsid w:val="00C12229"/>
    <w:rsid w:val="00C212B5"/>
    <w:rsid w:val="00C25F81"/>
    <w:rsid w:val="00C27F02"/>
    <w:rsid w:val="00C32C20"/>
    <w:rsid w:val="00C44908"/>
    <w:rsid w:val="00C504F4"/>
    <w:rsid w:val="00C512DE"/>
    <w:rsid w:val="00C57E85"/>
    <w:rsid w:val="00C65BB4"/>
    <w:rsid w:val="00C723F4"/>
    <w:rsid w:val="00C74C33"/>
    <w:rsid w:val="00C8071C"/>
    <w:rsid w:val="00C816CB"/>
    <w:rsid w:val="00C82461"/>
    <w:rsid w:val="00C91E3B"/>
    <w:rsid w:val="00CA07CC"/>
    <w:rsid w:val="00CA25B5"/>
    <w:rsid w:val="00CA4FCE"/>
    <w:rsid w:val="00CA5CF5"/>
    <w:rsid w:val="00CA5F8F"/>
    <w:rsid w:val="00CC5A6F"/>
    <w:rsid w:val="00CD07E7"/>
    <w:rsid w:val="00CE271A"/>
    <w:rsid w:val="00CE6FF5"/>
    <w:rsid w:val="00CF4EB9"/>
    <w:rsid w:val="00CF5245"/>
    <w:rsid w:val="00D06683"/>
    <w:rsid w:val="00D07B1A"/>
    <w:rsid w:val="00D1101B"/>
    <w:rsid w:val="00D1167E"/>
    <w:rsid w:val="00D11FD1"/>
    <w:rsid w:val="00D21DD7"/>
    <w:rsid w:val="00D234E7"/>
    <w:rsid w:val="00D30E46"/>
    <w:rsid w:val="00D3663D"/>
    <w:rsid w:val="00D4349F"/>
    <w:rsid w:val="00D47EF6"/>
    <w:rsid w:val="00D50AC8"/>
    <w:rsid w:val="00D60A44"/>
    <w:rsid w:val="00D71599"/>
    <w:rsid w:val="00D7390F"/>
    <w:rsid w:val="00D74F04"/>
    <w:rsid w:val="00D90913"/>
    <w:rsid w:val="00D90B50"/>
    <w:rsid w:val="00D92BEC"/>
    <w:rsid w:val="00DA18F2"/>
    <w:rsid w:val="00DB17F9"/>
    <w:rsid w:val="00DD5136"/>
    <w:rsid w:val="00DD6973"/>
    <w:rsid w:val="00DF2C67"/>
    <w:rsid w:val="00DF3AE2"/>
    <w:rsid w:val="00DF7D21"/>
    <w:rsid w:val="00E03771"/>
    <w:rsid w:val="00E059C5"/>
    <w:rsid w:val="00E11D7E"/>
    <w:rsid w:val="00E14334"/>
    <w:rsid w:val="00E2036B"/>
    <w:rsid w:val="00E2303A"/>
    <w:rsid w:val="00E343BD"/>
    <w:rsid w:val="00E348D9"/>
    <w:rsid w:val="00E36601"/>
    <w:rsid w:val="00E4103C"/>
    <w:rsid w:val="00E42242"/>
    <w:rsid w:val="00E43711"/>
    <w:rsid w:val="00E46600"/>
    <w:rsid w:val="00E51F31"/>
    <w:rsid w:val="00E60351"/>
    <w:rsid w:val="00E668CE"/>
    <w:rsid w:val="00E709FF"/>
    <w:rsid w:val="00E71AE7"/>
    <w:rsid w:val="00E752E6"/>
    <w:rsid w:val="00EA2ED5"/>
    <w:rsid w:val="00EA6088"/>
    <w:rsid w:val="00EC1A2C"/>
    <w:rsid w:val="00ED2C10"/>
    <w:rsid w:val="00EF1DAB"/>
    <w:rsid w:val="00F11542"/>
    <w:rsid w:val="00F212EB"/>
    <w:rsid w:val="00F23D13"/>
    <w:rsid w:val="00F32DEC"/>
    <w:rsid w:val="00F43E24"/>
    <w:rsid w:val="00F45561"/>
    <w:rsid w:val="00F465D3"/>
    <w:rsid w:val="00F51BD6"/>
    <w:rsid w:val="00F56F06"/>
    <w:rsid w:val="00F56F62"/>
    <w:rsid w:val="00F57452"/>
    <w:rsid w:val="00F62D48"/>
    <w:rsid w:val="00F6520D"/>
    <w:rsid w:val="00F73815"/>
    <w:rsid w:val="00F762F4"/>
    <w:rsid w:val="00F7770D"/>
    <w:rsid w:val="00F905E7"/>
    <w:rsid w:val="00F91FDD"/>
    <w:rsid w:val="00F93115"/>
    <w:rsid w:val="00FA0C9B"/>
    <w:rsid w:val="00FA4E32"/>
    <w:rsid w:val="00FA5792"/>
    <w:rsid w:val="00FB04BE"/>
    <w:rsid w:val="00FB200D"/>
    <w:rsid w:val="00FB3571"/>
    <w:rsid w:val="00FB4F1D"/>
    <w:rsid w:val="00FE7EEC"/>
    <w:rsid w:val="00FF0E5A"/>
    <w:rsid w:val="00FF243E"/>
    <w:rsid w:val="2B5A4590"/>
    <w:rsid w:val="760C6F61"/>
  </w:rsids>
  <m:mathPr>
    <m:mathFont m:val="Cambria Math"/>
    <m:brkBin m:val="before"/>
    <m:brkBinSub m:val="--"/>
    <m:smallFrac m:val="0"/>
    <m:dispDef m:val="0"/>
    <m:lMargin m:val="0"/>
    <m:rMargin m:val="0"/>
    <m:defJc m:val="centerGroup"/>
    <m:wrapRight/>
    <m:intLim m:val="subSup"/>
    <m:naryLim m:val="subSup"/>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ADC33D3"/>
  <w15:docId w15:val="{68A6CBD2-F5B0-A44B-A27E-A95AE6A5E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imes New Roman" w:hAnsi="Arial" w:cs="Times New Roman"/>
        <w:lang w:val="da-DK" w:eastAsia="en-US" w:bidi="ar-SA"/>
      </w:rPr>
    </w:rPrDefault>
    <w:pPrDefault>
      <w:pPr>
        <w:spacing w:before="240" w:after="60"/>
        <w:jc w:val="both"/>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uiPriority="0" w:qFormat="1"/>
    <w:lsdException w:name="heading 3" w:locked="0" w:uiPriority="0" w:qFormat="1"/>
    <w:lsdException w:name="heading 4" w:locked="0"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0"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0" w:qFormat="1"/>
    <w:lsdException w:name="Emphasis" w:locked="0" w:uiPriority="1"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uiPriority="21" w:qFormat="1"/>
    <w:lsdException w:name="Subtle Reference" w:uiPriority="31" w:qFormat="1"/>
    <w:lsdException w:name="Intense Reference" w:uiPriority="0"/>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ECC Base"/>
    <w:semiHidden/>
    <w:qFormat/>
    <w:rsid w:val="00714F0F"/>
    <w:rPr>
      <w:rFonts w:eastAsia="Calibri"/>
      <w:szCs w:val="22"/>
      <w:lang w:val="en-GB"/>
    </w:rPr>
  </w:style>
  <w:style w:type="paragraph" w:styleId="Heading1">
    <w:name w:val="heading 1"/>
    <w:aliases w:val="ECC Heading 1"/>
    <w:next w:val="Normal"/>
    <w:qFormat/>
    <w:rsid w:val="00A751C0"/>
    <w:pPr>
      <w:keepNext/>
      <w:numPr>
        <w:numId w:val="6"/>
      </w:numPr>
      <w:spacing w:before="600"/>
      <w:ind w:left="431" w:hanging="431"/>
      <w:outlineLvl w:val="0"/>
    </w:pPr>
    <w:rPr>
      <w:rFonts w:cs="Arial"/>
      <w:b/>
      <w:bCs/>
      <w:caps/>
      <w:color w:val="D2232A"/>
      <w:kern w:val="32"/>
      <w:szCs w:val="32"/>
    </w:rPr>
  </w:style>
  <w:style w:type="paragraph" w:styleId="Heading2">
    <w:name w:val="heading 2"/>
    <w:aliases w:val="ECC Heading 2"/>
    <w:next w:val="Normal"/>
    <w:qFormat/>
    <w:rsid w:val="00F51BD6"/>
    <w:pPr>
      <w:keepNext/>
      <w:numPr>
        <w:ilvl w:val="1"/>
        <w:numId w:val="6"/>
      </w:numPr>
      <w:spacing w:before="480"/>
      <w:ind w:left="578" w:hanging="578"/>
      <w:outlineLvl w:val="1"/>
    </w:pPr>
    <w:rPr>
      <w:rFonts w:cs="Arial"/>
      <w:b/>
      <w:bCs/>
      <w:iCs/>
      <w:caps/>
      <w:szCs w:val="28"/>
    </w:rPr>
  </w:style>
  <w:style w:type="paragraph" w:styleId="Heading3">
    <w:name w:val="heading 3"/>
    <w:aliases w:val="ECC Heading 3"/>
    <w:next w:val="Normal"/>
    <w:link w:val="Heading3Char"/>
    <w:qFormat/>
    <w:rsid w:val="00E2303A"/>
    <w:pPr>
      <w:keepNext/>
      <w:numPr>
        <w:ilvl w:val="2"/>
        <w:numId w:val="6"/>
      </w:numPr>
      <w:spacing w:before="360"/>
      <w:outlineLvl w:val="2"/>
    </w:pPr>
    <w:rPr>
      <w:rFonts w:cs="Arial"/>
      <w:b/>
      <w:bCs/>
      <w:szCs w:val="26"/>
    </w:rPr>
  </w:style>
  <w:style w:type="paragraph" w:styleId="Heading4">
    <w:name w:val="heading 4"/>
    <w:aliases w:val="ECC Heading 4"/>
    <w:next w:val="Normal"/>
    <w:qFormat/>
    <w:rsid w:val="00F51BD6"/>
    <w:pPr>
      <w:numPr>
        <w:ilvl w:val="3"/>
        <w:numId w:val="6"/>
      </w:numPr>
      <w:spacing w:before="360"/>
      <w:ind w:left="862" w:hanging="862"/>
      <w:outlineLvl w:val="3"/>
    </w:pPr>
    <w:rPr>
      <w:rFonts w:cs="Arial"/>
      <w:bCs/>
      <w:i/>
      <w:color w:val="D2232A"/>
      <w:szCs w:val="26"/>
    </w:rPr>
  </w:style>
  <w:style w:type="paragraph" w:styleId="Heading5">
    <w:name w:val="heading 5"/>
    <w:basedOn w:val="Normal"/>
    <w:next w:val="Normal"/>
    <w:semiHidden/>
    <w:qFormat/>
    <w:locked/>
    <w:rsid w:val="009E47EB"/>
    <w:pPr>
      <w:numPr>
        <w:ilvl w:val="4"/>
        <w:numId w:val="6"/>
      </w:numPr>
      <w:outlineLvl w:val="4"/>
    </w:pPr>
    <w:rPr>
      <w:b/>
      <w:bCs/>
      <w:i/>
      <w:iCs/>
      <w:sz w:val="26"/>
      <w:szCs w:val="26"/>
    </w:rPr>
  </w:style>
  <w:style w:type="paragraph" w:styleId="Heading6">
    <w:name w:val="heading 6"/>
    <w:basedOn w:val="Normal"/>
    <w:next w:val="Normal"/>
    <w:semiHidden/>
    <w:qFormat/>
    <w:locked/>
    <w:rsid w:val="009E47EB"/>
    <w:pPr>
      <w:numPr>
        <w:ilvl w:val="5"/>
        <w:numId w:val="6"/>
      </w:numPr>
      <w:outlineLvl w:val="5"/>
    </w:pPr>
    <w:rPr>
      <w:b/>
      <w:bCs/>
      <w:sz w:val="22"/>
    </w:rPr>
  </w:style>
  <w:style w:type="paragraph" w:styleId="Heading7">
    <w:name w:val="heading 7"/>
    <w:basedOn w:val="Normal"/>
    <w:next w:val="Normal"/>
    <w:semiHidden/>
    <w:qFormat/>
    <w:locked/>
    <w:rsid w:val="009E47EB"/>
    <w:pPr>
      <w:numPr>
        <w:ilvl w:val="6"/>
        <w:numId w:val="6"/>
      </w:numPr>
      <w:outlineLvl w:val="6"/>
    </w:pPr>
    <w:rPr>
      <w:sz w:val="24"/>
    </w:rPr>
  </w:style>
  <w:style w:type="paragraph" w:styleId="Heading8">
    <w:name w:val="heading 8"/>
    <w:basedOn w:val="Normal"/>
    <w:next w:val="Normal"/>
    <w:semiHidden/>
    <w:qFormat/>
    <w:locked/>
    <w:rsid w:val="009E47EB"/>
    <w:pPr>
      <w:numPr>
        <w:ilvl w:val="7"/>
        <w:numId w:val="6"/>
      </w:numPr>
      <w:outlineLvl w:val="7"/>
    </w:pPr>
    <w:rPr>
      <w:i/>
      <w:iCs/>
      <w:sz w:val="24"/>
    </w:rPr>
  </w:style>
  <w:style w:type="paragraph" w:styleId="Heading9">
    <w:name w:val="heading 9"/>
    <w:basedOn w:val="Normal"/>
    <w:next w:val="Normal"/>
    <w:semiHidden/>
    <w:qFormat/>
    <w:locked/>
    <w:rsid w:val="009E47EB"/>
    <w:pPr>
      <w:numPr>
        <w:ilvl w:val="8"/>
        <w:numId w:val="6"/>
      </w:numPr>
      <w:outlineLvl w:val="8"/>
    </w:pPr>
    <w:rPr>
      <w:rFonts w:cs="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CBulletsLv1">
    <w:name w:val="ECC Bullets Lv1"/>
    <w:basedOn w:val="Normal"/>
    <w:rsid w:val="00714F0F"/>
    <w:pPr>
      <w:numPr>
        <w:numId w:val="2"/>
      </w:numPr>
      <w:tabs>
        <w:tab w:val="left" w:pos="340"/>
      </w:tabs>
      <w:spacing w:before="60" w:after="0" w:line="288" w:lineRule="auto"/>
      <w:ind w:left="340" w:hanging="340"/>
      <w:contextualSpacing/>
    </w:pPr>
  </w:style>
  <w:style w:type="paragraph" w:styleId="Header">
    <w:name w:val="header"/>
    <w:basedOn w:val="Normal"/>
    <w:semiHidden/>
    <w:locked/>
    <w:rsid w:val="00C95C7C"/>
    <w:pPr>
      <w:tabs>
        <w:tab w:val="center" w:pos="4320"/>
        <w:tab w:val="right" w:pos="8640"/>
      </w:tabs>
    </w:pPr>
    <w:rPr>
      <w:b/>
      <w:sz w:val="16"/>
    </w:rPr>
  </w:style>
  <w:style w:type="paragraph" w:customStyle="1" w:styleId="ECCBox">
    <w:name w:val="ECC Box"/>
    <w:link w:val="ECCBoxZchn"/>
    <w:uiPriority w:val="99"/>
    <w:rsid w:val="0042761F"/>
    <w:pPr>
      <w:keepLines/>
      <w:pBdr>
        <w:top w:val="single" w:sz="12" w:space="4" w:color="auto"/>
        <w:left w:val="single" w:sz="12" w:space="4" w:color="auto"/>
        <w:bottom w:val="single" w:sz="12" w:space="4" w:color="auto"/>
        <w:right w:val="single" w:sz="12" w:space="4" w:color="auto"/>
      </w:pBdr>
      <w:spacing w:before="60"/>
    </w:pPr>
    <w:rPr>
      <w:lang w:eastAsia="de-DE"/>
    </w:rPr>
  </w:style>
  <w:style w:type="paragraph" w:customStyle="1" w:styleId="ECCAnnexheading1">
    <w:name w:val="ECC Annex heading1"/>
    <w:next w:val="Normal"/>
    <w:rsid w:val="00E2303A"/>
    <w:pPr>
      <w:keepNext/>
      <w:pageBreakBefore/>
      <w:numPr>
        <w:numId w:val="1"/>
      </w:numPr>
    </w:pPr>
    <w:rPr>
      <w:b/>
      <w:caps/>
      <w:color w:val="D2232A"/>
    </w:rPr>
  </w:style>
  <w:style w:type="paragraph" w:styleId="TOC1">
    <w:name w:val="toc 1"/>
    <w:aliases w:val="ECC Index 1"/>
    <w:basedOn w:val="Normal"/>
    <w:link w:val="TOC1Char"/>
    <w:uiPriority w:val="39"/>
    <w:semiHidden/>
    <w:qFormat/>
    <w:rsid w:val="0038287C"/>
    <w:pPr>
      <w:tabs>
        <w:tab w:val="left" w:pos="425"/>
        <w:tab w:val="right" w:leader="dot" w:pos="9639"/>
      </w:tabs>
      <w:spacing w:after="0"/>
      <w:ind w:left="425" w:hanging="425"/>
    </w:pPr>
    <w:rPr>
      <w:b/>
      <w:noProof/>
      <w:szCs w:val="20"/>
      <w:lang w:val="da-DK"/>
    </w:rPr>
  </w:style>
  <w:style w:type="paragraph" w:styleId="FootnoteText">
    <w:name w:val="footnote text"/>
    <w:aliases w:val="ECC Footnote"/>
    <w:basedOn w:val="Normal"/>
    <w:link w:val="FootnoteTextChar"/>
    <w:rsid w:val="001526A2"/>
    <w:pPr>
      <w:widowControl w:val="0"/>
      <w:tabs>
        <w:tab w:val="left" w:pos="284"/>
      </w:tabs>
      <w:spacing w:after="0"/>
      <w:ind w:left="284" w:hanging="284"/>
    </w:pPr>
    <w:rPr>
      <w:sz w:val="16"/>
      <w:szCs w:val="16"/>
      <w:lang w:val="da-DK"/>
      <w14:cntxtAlts/>
    </w:rPr>
  </w:style>
  <w:style w:type="paragraph" w:styleId="TOC2">
    <w:name w:val="toc 2"/>
    <w:aliases w:val="ECC Index 2"/>
    <w:basedOn w:val="Normal"/>
    <w:uiPriority w:val="39"/>
    <w:semiHidden/>
    <w:qFormat/>
    <w:rsid w:val="0038287C"/>
    <w:pPr>
      <w:tabs>
        <w:tab w:val="left" w:pos="993"/>
        <w:tab w:val="right" w:leader="dot" w:pos="9639"/>
      </w:tabs>
      <w:spacing w:before="0" w:after="0"/>
      <w:ind w:left="992" w:hanging="567"/>
    </w:pPr>
    <w:rPr>
      <w:noProof/>
      <w:szCs w:val="20"/>
      <w:lang w:val="da-DK"/>
    </w:rPr>
  </w:style>
  <w:style w:type="paragraph" w:styleId="TOC3">
    <w:name w:val="toc 3"/>
    <w:aliases w:val="ECC Index 3"/>
    <w:basedOn w:val="Normal"/>
    <w:uiPriority w:val="39"/>
    <w:semiHidden/>
    <w:qFormat/>
    <w:rsid w:val="0038287C"/>
    <w:pPr>
      <w:tabs>
        <w:tab w:val="left" w:pos="1701"/>
        <w:tab w:val="right" w:leader="dot" w:pos="9639"/>
      </w:tabs>
      <w:spacing w:before="0" w:after="0"/>
      <w:ind w:left="1701" w:hanging="709"/>
    </w:pPr>
    <w:rPr>
      <w:noProof/>
      <w:szCs w:val="20"/>
      <w:lang w:val="da-DK"/>
    </w:rPr>
  </w:style>
  <w:style w:type="paragraph" w:styleId="TOC4">
    <w:name w:val="toc 4"/>
    <w:aliases w:val="ECC Index 4"/>
    <w:basedOn w:val="Normal"/>
    <w:uiPriority w:val="39"/>
    <w:semiHidden/>
    <w:rsid w:val="0038287C"/>
    <w:pPr>
      <w:tabs>
        <w:tab w:val="left" w:pos="2552"/>
        <w:tab w:val="right" w:leader="dot" w:pos="9639"/>
      </w:tabs>
      <w:spacing w:before="0" w:after="0"/>
      <w:ind w:left="2552" w:hanging="851"/>
    </w:pPr>
    <w:rPr>
      <w:noProof/>
      <w:szCs w:val="20"/>
      <w:lang w:val="da-DK"/>
    </w:rPr>
  </w:style>
  <w:style w:type="character" w:customStyle="1" w:styleId="ECCHLgreen">
    <w:name w:val="ECC HL green"/>
    <w:basedOn w:val="DefaultParagraphFont"/>
    <w:uiPriority w:val="1"/>
    <w:qFormat/>
    <w:rsid w:val="0038287C"/>
    <w:rPr>
      <w:bdr w:val="none" w:sz="0" w:space="0" w:color="auto"/>
      <w:shd w:val="solid" w:color="92D050" w:fill="auto"/>
      <w:lang w:val="en-GB"/>
    </w:rPr>
  </w:style>
  <w:style w:type="character" w:customStyle="1" w:styleId="FootnoteTextChar">
    <w:name w:val="Footnote Text Char"/>
    <w:aliases w:val="ECC Footnote Char"/>
    <w:basedOn w:val="DefaultParagraphFont"/>
    <w:link w:val="FootnoteText"/>
    <w:rsid w:val="001526A2"/>
    <w:rPr>
      <w:rFonts w:eastAsia="Calibri"/>
      <w:sz w:val="16"/>
      <w:szCs w:val="16"/>
      <w14:cntxtAlts/>
    </w:rPr>
  </w:style>
  <w:style w:type="character" w:styleId="FootnoteReference">
    <w:name w:val="footnote reference"/>
    <w:aliases w:val="ECC Footnote number"/>
    <w:basedOn w:val="DefaultParagraphFont"/>
    <w:rsid w:val="00DB17F9"/>
    <w:rPr>
      <w:rFonts w:ascii="Arial" w:hAnsi="Arial"/>
      <w:sz w:val="20"/>
      <w:vertAlign w:val="superscript"/>
    </w:rPr>
  </w:style>
  <w:style w:type="paragraph" w:styleId="Caption">
    <w:name w:val="caption"/>
    <w:aliases w:val="ECC Caption"/>
    <w:next w:val="Normal"/>
    <w:qFormat/>
    <w:rsid w:val="0038287C"/>
    <w:pPr>
      <w:keepLines/>
      <w:tabs>
        <w:tab w:val="left" w:pos="0"/>
        <w:tab w:val="center" w:pos="4820"/>
        <w:tab w:val="right" w:pos="9639"/>
      </w:tabs>
      <w:spacing w:after="240"/>
      <w:contextualSpacing/>
      <w:jc w:val="center"/>
    </w:pPr>
    <w:rPr>
      <w:b/>
      <w:bCs/>
      <w:color w:val="D2232A"/>
    </w:rPr>
  </w:style>
  <w:style w:type="paragraph" w:customStyle="1" w:styleId="ECCTablenote">
    <w:name w:val="ECC Table note"/>
    <w:qFormat/>
    <w:rsid w:val="00714F0F"/>
    <w:pPr>
      <w:spacing w:before="0"/>
      <w:ind w:left="284" w:hanging="284"/>
    </w:pPr>
    <w:rPr>
      <w:sz w:val="16"/>
      <w:szCs w:val="16"/>
      <w:lang w:val="en-GB"/>
    </w:rPr>
  </w:style>
  <w:style w:type="paragraph" w:customStyle="1" w:styleId="ECCBulletsLv2">
    <w:name w:val="ECC Bullets Lv2"/>
    <w:basedOn w:val="ECCBulletsLv1"/>
    <w:rsid w:val="00E36601"/>
    <w:pPr>
      <w:tabs>
        <w:tab w:val="clear" w:pos="340"/>
        <w:tab w:val="left" w:pos="680"/>
      </w:tabs>
      <w:ind w:left="680"/>
    </w:pPr>
  </w:style>
  <w:style w:type="paragraph" w:customStyle="1" w:styleId="ECCAnnexheading2">
    <w:name w:val="ECC Annex heading2"/>
    <w:next w:val="Normal"/>
    <w:rsid w:val="00E2303A"/>
    <w:pPr>
      <w:numPr>
        <w:ilvl w:val="1"/>
        <w:numId w:val="1"/>
      </w:numPr>
      <w:overflowPunct w:val="0"/>
      <w:autoSpaceDE w:val="0"/>
      <w:autoSpaceDN w:val="0"/>
      <w:adjustRightInd w:val="0"/>
      <w:spacing w:before="480" w:after="240"/>
      <w:textAlignment w:val="baseline"/>
    </w:pPr>
    <w:rPr>
      <w:b/>
      <w:caps/>
    </w:rPr>
  </w:style>
  <w:style w:type="paragraph" w:customStyle="1" w:styleId="ECCAnnexheading3">
    <w:name w:val="ECC Annex heading3"/>
    <w:next w:val="Normal"/>
    <w:rsid w:val="0001112E"/>
    <w:pPr>
      <w:numPr>
        <w:ilvl w:val="2"/>
        <w:numId w:val="1"/>
      </w:numPr>
      <w:overflowPunct w:val="0"/>
      <w:autoSpaceDE w:val="0"/>
      <w:autoSpaceDN w:val="0"/>
      <w:adjustRightInd w:val="0"/>
      <w:spacing w:before="360"/>
      <w:textAlignment w:val="baseline"/>
    </w:pPr>
    <w:rPr>
      <w:b/>
    </w:rPr>
  </w:style>
  <w:style w:type="paragraph" w:customStyle="1" w:styleId="ECCAnnexheading4">
    <w:name w:val="ECC Annex heading4"/>
    <w:next w:val="Normal"/>
    <w:rsid w:val="00E2303A"/>
    <w:pPr>
      <w:numPr>
        <w:ilvl w:val="3"/>
        <w:numId w:val="1"/>
      </w:numPr>
      <w:overflowPunct w:val="0"/>
      <w:autoSpaceDE w:val="0"/>
      <w:autoSpaceDN w:val="0"/>
      <w:adjustRightInd w:val="0"/>
      <w:spacing w:before="360"/>
      <w:textAlignment w:val="baseline"/>
    </w:pPr>
    <w:rPr>
      <w:i/>
      <w:color w:val="D2232A"/>
    </w:rPr>
  </w:style>
  <w:style w:type="paragraph" w:customStyle="1" w:styleId="ECCBulletsLv3">
    <w:name w:val="ECC Bullets Lv3"/>
    <w:basedOn w:val="ECCBulletsLv1"/>
    <w:rsid w:val="00E36601"/>
    <w:pPr>
      <w:tabs>
        <w:tab w:val="clear" w:pos="340"/>
        <w:tab w:val="left" w:pos="1021"/>
      </w:tabs>
      <w:ind w:left="1020"/>
    </w:pPr>
  </w:style>
  <w:style w:type="paragraph" w:customStyle="1" w:styleId="ECCStatement">
    <w:name w:val="ECC Statement"/>
    <w:basedOn w:val="Normal"/>
    <w:rsid w:val="0038287C"/>
    <w:rPr>
      <w:i/>
    </w:rPr>
  </w:style>
  <w:style w:type="paragraph" w:customStyle="1" w:styleId="ECCLetteredList">
    <w:name w:val="ECC Lettered List"/>
    <w:rsid w:val="00F51BD6"/>
    <w:pPr>
      <w:numPr>
        <w:ilvl w:val="1"/>
        <w:numId w:val="3"/>
      </w:numPr>
      <w:spacing w:after="0"/>
    </w:pPr>
  </w:style>
  <w:style w:type="paragraph" w:customStyle="1" w:styleId="ECCNumberedList">
    <w:name w:val="ECC Numbered List"/>
    <w:basedOn w:val="Normal"/>
    <w:rsid w:val="00714F0F"/>
    <w:pPr>
      <w:numPr>
        <w:numId w:val="4"/>
      </w:numPr>
      <w:spacing w:after="0"/>
    </w:pPr>
    <w:rPr>
      <w:szCs w:val="20"/>
    </w:rPr>
  </w:style>
  <w:style w:type="paragraph" w:customStyle="1" w:styleId="ECCReference">
    <w:name w:val="ECC Reference"/>
    <w:basedOn w:val="Normal"/>
    <w:rsid w:val="0038287C"/>
    <w:pPr>
      <w:numPr>
        <w:numId w:val="5"/>
      </w:numPr>
      <w:spacing w:before="0" w:after="0"/>
    </w:pPr>
    <w:rPr>
      <w:lang w:eastAsia="ja-JP"/>
    </w:rPr>
  </w:style>
  <w:style w:type="paragraph" w:styleId="BalloonText">
    <w:name w:val="Balloon Text"/>
    <w:basedOn w:val="Normal"/>
    <w:link w:val="BalloonTextChar"/>
    <w:uiPriority w:val="99"/>
    <w:semiHidden/>
    <w:unhideWhenUsed/>
    <w:locked/>
    <w:rsid w:val="009E47E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E47EB"/>
    <w:rPr>
      <w:rFonts w:ascii="Lucida Grande" w:hAnsi="Lucida Grande" w:cs="Lucida Grande"/>
      <w:sz w:val="18"/>
      <w:szCs w:val="18"/>
      <w:lang w:val="en-US"/>
    </w:rPr>
  </w:style>
  <w:style w:type="paragraph" w:customStyle="1" w:styleId="ECCEditorsNote">
    <w:name w:val="ECC Editor's Note"/>
    <w:next w:val="Normal"/>
    <w:rsid w:val="00C512DE"/>
    <w:pPr>
      <w:numPr>
        <w:numId w:val="9"/>
      </w:numPr>
      <w:shd w:val="solid" w:color="FFFF00" w:fill="auto"/>
      <w:spacing w:before="120"/>
    </w:pPr>
    <w:rPr>
      <w:rFonts w:eastAsia="Calibri"/>
      <w:szCs w:val="22"/>
      <w:lang w:eastAsia="de-DE"/>
    </w:rPr>
  </w:style>
  <w:style w:type="paragraph" w:customStyle="1" w:styleId="ECCpageHeader">
    <w:name w:val="ECC page Header"/>
    <w:rsid w:val="00E36601"/>
    <w:pPr>
      <w:tabs>
        <w:tab w:val="left" w:pos="0"/>
        <w:tab w:val="center" w:pos="4820"/>
        <w:tab w:val="right" w:pos="9639"/>
      </w:tabs>
      <w:spacing w:before="0" w:after="0"/>
    </w:pPr>
    <w:rPr>
      <w:b/>
      <w:sz w:val="16"/>
    </w:rPr>
  </w:style>
  <w:style w:type="paragraph" w:customStyle="1" w:styleId="ECCFiguregraphcentered">
    <w:name w:val="ECC Figure/graph centered"/>
    <w:next w:val="Normal"/>
    <w:rsid w:val="00283417"/>
    <w:pPr>
      <w:spacing w:after="240"/>
      <w:jc w:val="center"/>
    </w:pPr>
    <w:rPr>
      <w:noProof/>
      <w:lang w:val="de-DE" w:eastAsia="de-DE"/>
      <w14:cntxtAlts/>
    </w:rPr>
  </w:style>
  <w:style w:type="paragraph" w:customStyle="1" w:styleId="ECCLetterHead">
    <w:name w:val="ECC Letter Head"/>
    <w:basedOn w:val="Normal"/>
    <w:link w:val="ECCLetterHeadZchn"/>
    <w:qFormat/>
    <w:rsid w:val="0038287C"/>
    <w:pPr>
      <w:tabs>
        <w:tab w:val="right" w:pos="4750"/>
      </w:tabs>
      <w:spacing w:before="120"/>
    </w:pPr>
    <w:rPr>
      <w:b/>
      <w:sz w:val="22"/>
      <w:szCs w:val="20"/>
    </w:rPr>
  </w:style>
  <w:style w:type="character" w:customStyle="1" w:styleId="ECCHLyellow">
    <w:name w:val="ECC HL yellow"/>
    <w:basedOn w:val="DefaultParagraphFont"/>
    <w:uiPriority w:val="1"/>
    <w:qFormat/>
    <w:rsid w:val="0038287C"/>
    <w:rPr>
      <w:rFonts w:eastAsia="Calibri"/>
      <w:i w:val="0"/>
      <w:szCs w:val="22"/>
      <w:bdr w:val="none" w:sz="0" w:space="0" w:color="auto"/>
      <w:shd w:val="solid" w:color="FFFF00" w:fill="auto"/>
      <w:lang w:val="en-GB"/>
    </w:rPr>
  </w:style>
  <w:style w:type="paragraph" w:customStyle="1" w:styleId="ECCTableHeaderwhitefont">
    <w:name w:val="ECC Table Header white font"/>
    <w:basedOn w:val="ECCTableHeaderredfont"/>
    <w:qFormat/>
    <w:rsid w:val="0038287C"/>
    <w:pPr>
      <w:spacing w:after="120"/>
      <w:jc w:val="center"/>
    </w:pPr>
    <w:rPr>
      <w:color w:val="FFFFFF" w:themeColor="background1"/>
    </w:rPr>
  </w:style>
  <w:style w:type="paragraph" w:customStyle="1" w:styleId="ECCTabletext">
    <w:name w:val="ECC Table text"/>
    <w:basedOn w:val="Normal"/>
    <w:qFormat/>
    <w:rsid w:val="00714F0F"/>
    <w:pPr>
      <w:spacing w:before="60"/>
    </w:pPr>
  </w:style>
  <w:style w:type="paragraph" w:styleId="Signature">
    <w:name w:val="Signature"/>
    <w:basedOn w:val="Normal"/>
    <w:link w:val="SignatureChar"/>
    <w:uiPriority w:val="99"/>
    <w:semiHidden/>
    <w:unhideWhenUsed/>
    <w:locked/>
    <w:rsid w:val="007D52EC"/>
    <w:pPr>
      <w:spacing w:before="0" w:after="0"/>
      <w:ind w:left="4252"/>
    </w:pPr>
  </w:style>
  <w:style w:type="paragraph" w:customStyle="1" w:styleId="ECCTableHeaderredfont">
    <w:name w:val="ECC Table Header red font"/>
    <w:qFormat/>
    <w:rsid w:val="0038287C"/>
    <w:pPr>
      <w:spacing w:before="120"/>
    </w:pPr>
    <w:rPr>
      <w:bCs/>
      <w:color w:val="D2232A"/>
      <w:lang w:val="en-GB"/>
    </w:rPr>
  </w:style>
  <w:style w:type="character" w:customStyle="1" w:styleId="SignatureChar">
    <w:name w:val="Signature Char"/>
    <w:basedOn w:val="DefaultParagraphFont"/>
    <w:link w:val="Signature"/>
    <w:uiPriority w:val="99"/>
    <w:semiHidden/>
    <w:rsid w:val="007D52EC"/>
  </w:style>
  <w:style w:type="paragraph" w:customStyle="1" w:styleId="ECCpageFooter">
    <w:name w:val="ECC page Footer"/>
    <w:rsid w:val="00E36601"/>
    <w:pPr>
      <w:tabs>
        <w:tab w:val="left" w:pos="0"/>
        <w:tab w:val="center" w:pos="4820"/>
        <w:tab w:val="right" w:pos="9639"/>
      </w:tabs>
      <w:spacing w:before="0" w:after="0"/>
    </w:pPr>
    <w:rPr>
      <w:b/>
      <w:sz w:val="16"/>
      <w:szCs w:val="22"/>
      <w:lang w:val="de-DE" w:eastAsia="de-DE"/>
    </w:rPr>
  </w:style>
  <w:style w:type="character" w:customStyle="1" w:styleId="ECCBoxZchn">
    <w:name w:val="ECC Box Zchn"/>
    <w:link w:val="ECCBox"/>
    <w:uiPriority w:val="99"/>
    <w:rsid w:val="0042761F"/>
    <w:rPr>
      <w:szCs w:val="22"/>
      <w:lang w:val="en-GB" w:eastAsia="de-DE"/>
    </w:rPr>
  </w:style>
  <w:style w:type="character" w:customStyle="1" w:styleId="ECCHLbold">
    <w:name w:val="ECC HL bold"/>
    <w:basedOn w:val="Strong"/>
    <w:uiPriority w:val="1"/>
    <w:qFormat/>
    <w:rsid w:val="0038287C"/>
    <w:rPr>
      <w:b/>
      <w:bCs/>
    </w:rPr>
  </w:style>
  <w:style w:type="character" w:styleId="Emphasis">
    <w:name w:val="Emphasis"/>
    <w:aliases w:val="ECC HL italics"/>
    <w:basedOn w:val="DefaultParagraphFont"/>
    <w:uiPriority w:val="1"/>
    <w:qFormat/>
    <w:rsid w:val="00DB17F9"/>
    <w:rPr>
      <w:i/>
    </w:rPr>
  </w:style>
  <w:style w:type="character" w:customStyle="1" w:styleId="TOC1Char">
    <w:name w:val="TOC 1 Char"/>
    <w:aliases w:val="ECC Index 1 Char"/>
    <w:basedOn w:val="DefaultParagraphFont"/>
    <w:link w:val="TOC1"/>
    <w:uiPriority w:val="39"/>
    <w:semiHidden/>
    <w:rsid w:val="00D3663D"/>
    <w:rPr>
      <w:rFonts w:eastAsia="Calibri"/>
      <w:b/>
      <w:noProof/>
    </w:rPr>
  </w:style>
  <w:style w:type="paragraph" w:styleId="TOCHeading">
    <w:name w:val="TOC Heading"/>
    <w:basedOn w:val="Heading1"/>
    <w:next w:val="Normal"/>
    <w:uiPriority w:val="39"/>
    <w:semiHidden/>
    <w:qFormat/>
    <w:locked/>
    <w:rsid w:val="003A5711"/>
    <w:pPr>
      <w:keepLines/>
      <w:numPr>
        <w:numId w:val="0"/>
      </w:numPr>
      <w:spacing w:before="480" w:after="0"/>
      <w:outlineLvl w:val="9"/>
    </w:pPr>
    <w:rPr>
      <w:rFonts w:asciiTheme="majorHAnsi" w:eastAsiaTheme="majorEastAsia" w:hAnsiTheme="majorHAnsi" w:cstheme="majorBidi"/>
      <w:caps w:val="0"/>
      <w:color w:val="365F91" w:themeColor="accent1" w:themeShade="BF"/>
      <w:kern w:val="0"/>
      <w:sz w:val="28"/>
      <w:szCs w:val="28"/>
      <w:lang w:val="en-GB"/>
    </w:rPr>
  </w:style>
  <w:style w:type="character" w:customStyle="1" w:styleId="ECCHLcyan">
    <w:name w:val="ECC HL cyan"/>
    <w:basedOn w:val="DefaultParagraphFont"/>
    <w:uiPriority w:val="1"/>
    <w:qFormat/>
    <w:rsid w:val="0038287C"/>
    <w:rPr>
      <w:iCs w:val="0"/>
      <w:bdr w:val="none" w:sz="0" w:space="0" w:color="auto"/>
      <w:shd w:val="solid" w:color="00FFFF" w:fill="auto"/>
      <w:lang w:val="en-GB"/>
    </w:rPr>
  </w:style>
  <w:style w:type="character" w:customStyle="1" w:styleId="ECCHLorange">
    <w:name w:val="ECC HL orange"/>
    <w:basedOn w:val="DefaultParagraphFont"/>
    <w:uiPriority w:val="1"/>
    <w:qFormat/>
    <w:rsid w:val="0038287C"/>
    <w:rPr>
      <w:bdr w:val="none" w:sz="0" w:space="0" w:color="auto"/>
      <w:shd w:val="solid" w:color="FFC000" w:fill="auto"/>
    </w:rPr>
  </w:style>
  <w:style w:type="character" w:customStyle="1" w:styleId="ECCHLblue">
    <w:name w:val="ECC HL blue"/>
    <w:basedOn w:val="DefaultParagraphFont"/>
    <w:uiPriority w:val="1"/>
    <w:qFormat/>
    <w:rsid w:val="0038287C"/>
    <w:rPr>
      <w:rFonts w:eastAsia="Calibri"/>
      <w:color w:val="FFFF00"/>
      <w:szCs w:val="22"/>
      <w:bdr w:val="none" w:sz="0" w:space="0" w:color="auto"/>
      <w:shd w:val="solid" w:color="4F81BD" w:themeColor="accent1" w:fill="auto"/>
      <w:lang w:val="en-GB"/>
    </w:rPr>
  </w:style>
  <w:style w:type="character" w:customStyle="1" w:styleId="ECCHLpetrol">
    <w:name w:val="ECC HL petrol"/>
    <w:basedOn w:val="DefaultParagraphFont"/>
    <w:uiPriority w:val="1"/>
    <w:qFormat/>
    <w:rsid w:val="0038287C"/>
    <w:rPr>
      <w:iCs w:val="0"/>
      <w:color w:val="FFFFFF" w:themeColor="background1"/>
      <w:bdr w:val="none" w:sz="0" w:space="0" w:color="auto"/>
      <w:shd w:val="solid" w:color="008080" w:fill="auto"/>
    </w:rPr>
  </w:style>
  <w:style w:type="paragraph" w:styleId="ListParagraph">
    <w:name w:val="List Paragraph"/>
    <w:basedOn w:val="Normal"/>
    <w:uiPriority w:val="34"/>
    <w:qFormat/>
    <w:locked/>
    <w:rsid w:val="005C5A96"/>
    <w:pPr>
      <w:ind w:left="720"/>
      <w:contextualSpacing/>
    </w:pPr>
  </w:style>
  <w:style w:type="character" w:customStyle="1" w:styleId="ECCHLsubscript">
    <w:name w:val="ECC HL subscript"/>
    <w:uiPriority w:val="1"/>
    <w:qFormat/>
    <w:rsid w:val="0038287C"/>
    <w:rPr>
      <w:vertAlign w:val="subscript"/>
    </w:rPr>
  </w:style>
  <w:style w:type="character" w:customStyle="1" w:styleId="ECCHLsuperscript">
    <w:name w:val="ECC HL superscript"/>
    <w:uiPriority w:val="1"/>
    <w:qFormat/>
    <w:rsid w:val="0038287C"/>
    <w:rPr>
      <w:vertAlign w:val="superscript"/>
    </w:rPr>
  </w:style>
  <w:style w:type="character" w:customStyle="1" w:styleId="ECCLetterHeadZchn">
    <w:name w:val="ECC Letter Head Zchn"/>
    <w:basedOn w:val="DefaultParagraphFont"/>
    <w:link w:val="ECCLetterHead"/>
    <w:rsid w:val="00263FFB"/>
    <w:rPr>
      <w:rFonts w:eastAsia="Calibri"/>
      <w:b/>
      <w:sz w:val="22"/>
      <w:lang w:val="en-GB"/>
    </w:rPr>
  </w:style>
  <w:style w:type="character" w:customStyle="1" w:styleId="ECCHLmagenta">
    <w:name w:val="ECC HL magenta"/>
    <w:basedOn w:val="DefaultParagraphFont"/>
    <w:uiPriority w:val="1"/>
    <w:qFormat/>
    <w:rsid w:val="0038287C"/>
    <w:rPr>
      <w:color w:val="auto"/>
      <w:bdr w:val="none" w:sz="0" w:space="0" w:color="auto"/>
      <w:shd w:val="solid" w:color="FF3399" w:fill="auto"/>
      <w:lang w:val="en-GB"/>
    </w:rPr>
  </w:style>
  <w:style w:type="character" w:customStyle="1" w:styleId="ECCHLbrown">
    <w:name w:val="ECC HL brown"/>
    <w:basedOn w:val="DefaultParagraphFont"/>
    <w:uiPriority w:val="1"/>
    <w:qFormat/>
    <w:rsid w:val="0038287C"/>
    <w:rPr>
      <w:color w:val="D9D9D9" w:themeColor="background1" w:themeShade="D9"/>
      <w:bdr w:val="none" w:sz="0" w:space="0" w:color="auto"/>
      <w:shd w:val="solid" w:color="B95807" w:fill="auto"/>
    </w:rPr>
  </w:style>
  <w:style w:type="character" w:styleId="Hyperlink">
    <w:name w:val="Hyperlink"/>
    <w:aliases w:val="ECC Hyperlink"/>
    <w:basedOn w:val="DefaultParagraphFont"/>
    <w:uiPriority w:val="99"/>
    <w:rsid w:val="00DB17F9"/>
    <w:rPr>
      <w:color w:val="0000FF" w:themeColor="hyperlink"/>
      <w:u w:val="single"/>
    </w:rPr>
  </w:style>
  <w:style w:type="paragraph" w:customStyle="1" w:styleId="ECCHeadingnonumbering">
    <w:name w:val="ECC Heading no numbering"/>
    <w:basedOn w:val="Heading1"/>
    <w:rsid w:val="00DB17F9"/>
    <w:pPr>
      <w:numPr>
        <w:numId w:val="0"/>
      </w:numPr>
      <w:tabs>
        <w:tab w:val="left" w:pos="0"/>
        <w:tab w:val="center" w:pos="4820"/>
        <w:tab w:val="right" w:pos="9639"/>
      </w:tabs>
    </w:pPr>
  </w:style>
  <w:style w:type="character" w:customStyle="1" w:styleId="ECCParagraph">
    <w:name w:val="ECC Paragraph"/>
    <w:basedOn w:val="DefaultParagraphFont"/>
    <w:uiPriority w:val="1"/>
    <w:qFormat/>
    <w:rsid w:val="0038287C"/>
    <w:rPr>
      <w:rFonts w:ascii="Arial" w:hAnsi="Arial"/>
      <w:noProof w:val="0"/>
      <w:sz w:val="20"/>
      <w:bdr w:val="none" w:sz="0" w:space="0" w:color="auto"/>
      <w:lang w:val="en-GB"/>
    </w:rPr>
  </w:style>
  <w:style w:type="character" w:customStyle="1" w:styleId="ECCHLunderlined">
    <w:name w:val="ECC HL underlined"/>
    <w:uiPriority w:val="1"/>
    <w:qFormat/>
    <w:rsid w:val="0038287C"/>
    <w:rPr>
      <w:u w:val="single"/>
    </w:rPr>
  </w:style>
  <w:style w:type="table" w:styleId="ColorfulGrid">
    <w:name w:val="Colorful Grid"/>
    <w:basedOn w:val="TableNormal"/>
    <w:uiPriority w:val="73"/>
    <w:locked/>
    <w:rsid w:val="00F23D13"/>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TableSimple1">
    <w:name w:val="Table Simple 1"/>
    <w:basedOn w:val="TableNormal"/>
    <w:uiPriority w:val="99"/>
    <w:semiHidden/>
    <w:unhideWhenUsed/>
    <w:locked/>
    <w:rsid w:val="00DB17F9"/>
    <w:pPr>
      <w:shd w:val="clear" w:color="FFFFFF" w:themeColor="background1" w:fill="auto"/>
      <w:spacing w:after="240"/>
      <w:textboxTightWrap w:val="lastLineOnly"/>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ColorfulGrid-Accent6">
    <w:name w:val="Colorful Grid Accent 6"/>
    <w:basedOn w:val="TableNormal"/>
    <w:uiPriority w:val="73"/>
    <w:locked/>
    <w:rsid w:val="00F23D13"/>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ECCTable-whiteheader">
    <w:name w:val="ECC Table - white header"/>
    <w:basedOn w:val="ECCTable-clean"/>
    <w:uiPriority w:val="99"/>
    <w:rsid w:val="0038287C"/>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120" w:beforeAutospacing="0" w:afterLines="0" w:after="120" w:afterAutospacing="0" w:line="240" w:lineRule="auto"/>
        <w:jc w:val="left"/>
      </w:pPr>
      <w:rPr>
        <w:rFonts w:ascii="Arial" w:hAnsi="Arial"/>
        <w:b/>
        <w:i/>
        <w:color w:val="D22A23"/>
        <w:sz w:val="20"/>
      </w:rPr>
      <w:tblPr/>
      <w:trPr>
        <w:tblHeader/>
      </w:trPr>
      <w:tcPr>
        <w:shd w:val="clear" w:color="auto" w:fill="FFFFFF" w:themeFill="background1"/>
      </w:tcPr>
    </w:tblStylePr>
    <w:tblStylePr w:type="lastRow">
      <w:rPr>
        <w:b w:val="0"/>
      </w:rPr>
    </w:tblStylePr>
  </w:style>
  <w:style w:type="table" w:customStyle="1" w:styleId="ECCTable-redheader">
    <w:name w:val="ECC Table - red header"/>
    <w:basedOn w:val="ECCTable-clean"/>
    <w:uiPriority w:val="99"/>
    <w:rsid w:val="0038287C"/>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120" w:beforeAutospacing="0" w:afterLines="0" w:after="120" w:afterAutospacing="0" w:line="240" w:lineRule="auto"/>
        <w:jc w:val="center"/>
      </w:pPr>
      <w:rPr>
        <w:b/>
        <w:i/>
        <w:color w:val="FFFFFF" w:themeColor="background1"/>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vAlign w:val="center"/>
      </w:tcPr>
    </w:tblStylePr>
  </w:style>
  <w:style w:type="table" w:customStyle="1" w:styleId="ECCTable-clean">
    <w:name w:val="ECC Table - clean"/>
    <w:uiPriority w:val="99"/>
    <w:rsid w:val="0038287C"/>
    <w:pPr>
      <w:spacing w:before="60"/>
    </w:pPr>
    <w:rPr>
      <w:rFonts w:eastAsia="Calibri"/>
      <w:lang w:val="de-DE" w:eastAsia="de-DE"/>
    </w:rPr>
    <w:tblPr>
      <w:tblStyleRowBandSize w:val="1"/>
      <w:jc w:val="center"/>
      <w:tblCellMar>
        <w:top w:w="57" w:type="dxa"/>
        <w:left w:w="108" w:type="dxa"/>
        <w:bottom w:w="0" w:type="dxa"/>
        <w:right w:w="108" w:type="dxa"/>
      </w:tblCellMar>
    </w:tblPr>
    <w:trPr>
      <w:jc w:val="center"/>
    </w:trPr>
    <w:tcPr>
      <w:vAlign w:val="center"/>
    </w:tcPr>
    <w:tblStylePr w:type="firstRow">
      <w:pPr>
        <w:wordWrap/>
        <w:spacing w:beforeLines="0" w:before="120" w:beforeAutospacing="0" w:afterLines="0" w:after="120" w:afterAutospacing="0" w:line="240" w:lineRule="auto"/>
        <w:jc w:val="left"/>
      </w:pPr>
      <w:rPr>
        <w:i/>
      </w:rPr>
      <w:tblPr/>
      <w:trPr>
        <w:tblHeader/>
      </w:trPr>
    </w:tblStylePr>
  </w:style>
  <w:style w:type="character" w:customStyle="1" w:styleId="ECCHLgrey">
    <w:name w:val="ECC HL grey"/>
    <w:uiPriority w:val="1"/>
    <w:qFormat/>
    <w:rsid w:val="0038287C"/>
    <w:rPr>
      <w:bdr w:val="none" w:sz="0" w:space="0" w:color="auto"/>
      <w:shd w:val="solid" w:color="BFBFBF" w:themeColor="background1" w:themeShade="BF" w:fill="auto"/>
    </w:rPr>
  </w:style>
  <w:style w:type="table" w:styleId="TableGrid">
    <w:name w:val="Table Grid"/>
    <w:basedOn w:val="TableNormal"/>
    <w:locked/>
    <w:rsid w:val="00D06683"/>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semiHidden/>
    <w:qFormat/>
    <w:locked/>
    <w:rsid w:val="0038287C"/>
    <w:rPr>
      <w:b/>
      <w:bCs/>
    </w:rPr>
  </w:style>
  <w:style w:type="paragraph" w:customStyle="1" w:styleId="ECCBreak">
    <w:name w:val="ECC Break"/>
    <w:link w:val="ECCBreakZchn"/>
    <w:rsid w:val="0042761F"/>
    <w:pPr>
      <w:spacing w:before="360"/>
      <w:jc w:val="left"/>
    </w:pPr>
    <w:rPr>
      <w:b/>
      <w:bCs/>
      <w:iCs/>
      <w:caps/>
      <w:szCs w:val="28"/>
    </w:rPr>
  </w:style>
  <w:style w:type="character" w:customStyle="1" w:styleId="ECCBreakZchn">
    <w:name w:val="ECC Break Zchn"/>
    <w:basedOn w:val="DefaultParagraphFont"/>
    <w:link w:val="ECCBreak"/>
    <w:rsid w:val="0042761F"/>
    <w:rPr>
      <w:b/>
      <w:bCs/>
      <w:iCs/>
      <w:caps/>
      <w:szCs w:val="28"/>
    </w:rPr>
  </w:style>
  <w:style w:type="character" w:customStyle="1" w:styleId="fontstyle01">
    <w:name w:val="fontstyle01"/>
    <w:basedOn w:val="DefaultParagraphFont"/>
    <w:rsid w:val="00E51F31"/>
    <w:rPr>
      <w:rFonts w:ascii="Cambria Math" w:hAnsi="Cambria Math" w:hint="default"/>
      <w:b w:val="0"/>
      <w:bCs w:val="0"/>
      <w:i w:val="0"/>
      <w:iCs w:val="0"/>
      <w:color w:val="000000"/>
      <w:sz w:val="24"/>
      <w:szCs w:val="24"/>
    </w:rPr>
  </w:style>
  <w:style w:type="character" w:styleId="PlaceholderText">
    <w:name w:val="Placeholder Text"/>
    <w:basedOn w:val="DefaultParagraphFont"/>
    <w:uiPriority w:val="99"/>
    <w:semiHidden/>
    <w:locked/>
    <w:rsid w:val="00E51F31"/>
    <w:rPr>
      <w:color w:val="808080"/>
    </w:rPr>
  </w:style>
  <w:style w:type="character" w:styleId="CommentReference">
    <w:name w:val="annotation reference"/>
    <w:basedOn w:val="DefaultParagraphFont"/>
    <w:uiPriority w:val="99"/>
    <w:semiHidden/>
    <w:unhideWhenUsed/>
    <w:locked/>
    <w:rsid w:val="000B0B03"/>
    <w:rPr>
      <w:sz w:val="16"/>
      <w:szCs w:val="16"/>
    </w:rPr>
  </w:style>
  <w:style w:type="paragraph" w:styleId="CommentText">
    <w:name w:val="annotation text"/>
    <w:basedOn w:val="Normal"/>
    <w:link w:val="CommentTextChar"/>
    <w:uiPriority w:val="99"/>
    <w:semiHidden/>
    <w:unhideWhenUsed/>
    <w:locked/>
    <w:rsid w:val="000B0B03"/>
    <w:rPr>
      <w:szCs w:val="20"/>
    </w:rPr>
  </w:style>
  <w:style w:type="character" w:customStyle="1" w:styleId="CommentTextChar">
    <w:name w:val="Comment Text Char"/>
    <w:basedOn w:val="DefaultParagraphFont"/>
    <w:link w:val="CommentText"/>
    <w:uiPriority w:val="99"/>
    <w:semiHidden/>
    <w:rsid w:val="000B0B03"/>
    <w:rPr>
      <w:rFonts w:eastAsia="Calibri"/>
      <w:lang w:val="en-GB"/>
    </w:rPr>
  </w:style>
  <w:style w:type="paragraph" w:styleId="CommentSubject">
    <w:name w:val="annotation subject"/>
    <w:basedOn w:val="CommentText"/>
    <w:next w:val="CommentText"/>
    <w:link w:val="CommentSubjectChar"/>
    <w:uiPriority w:val="99"/>
    <w:semiHidden/>
    <w:unhideWhenUsed/>
    <w:locked/>
    <w:rsid w:val="000B0B03"/>
    <w:rPr>
      <w:b/>
      <w:bCs/>
    </w:rPr>
  </w:style>
  <w:style w:type="character" w:customStyle="1" w:styleId="CommentSubjectChar">
    <w:name w:val="Comment Subject Char"/>
    <w:basedOn w:val="CommentTextChar"/>
    <w:link w:val="CommentSubject"/>
    <w:uiPriority w:val="99"/>
    <w:semiHidden/>
    <w:rsid w:val="000B0B03"/>
    <w:rPr>
      <w:rFonts w:eastAsia="Calibri"/>
      <w:b/>
      <w:bCs/>
      <w:lang w:val="en-GB"/>
    </w:rPr>
  </w:style>
  <w:style w:type="paragraph" w:styleId="Revision">
    <w:name w:val="Revision"/>
    <w:hidden/>
    <w:uiPriority w:val="99"/>
    <w:semiHidden/>
    <w:rsid w:val="000175FE"/>
    <w:pPr>
      <w:spacing w:before="0" w:after="0"/>
      <w:jc w:val="left"/>
    </w:pPr>
    <w:rPr>
      <w:rFonts w:eastAsia="Calibri"/>
      <w:szCs w:val="22"/>
      <w:lang w:val="en-GB"/>
    </w:rPr>
  </w:style>
  <w:style w:type="paragraph" w:styleId="Footer">
    <w:name w:val="footer"/>
    <w:basedOn w:val="Normal"/>
    <w:link w:val="FooterChar"/>
    <w:uiPriority w:val="99"/>
    <w:unhideWhenUsed/>
    <w:locked/>
    <w:rsid w:val="008807A9"/>
    <w:pPr>
      <w:tabs>
        <w:tab w:val="center" w:pos="4536"/>
        <w:tab w:val="right" w:pos="9072"/>
      </w:tabs>
      <w:spacing w:before="0" w:after="0"/>
    </w:pPr>
  </w:style>
  <w:style w:type="character" w:customStyle="1" w:styleId="FooterChar">
    <w:name w:val="Footer Char"/>
    <w:basedOn w:val="DefaultParagraphFont"/>
    <w:link w:val="Footer"/>
    <w:uiPriority w:val="99"/>
    <w:rsid w:val="008807A9"/>
    <w:rPr>
      <w:rFonts w:eastAsia="Calibri"/>
      <w:szCs w:val="22"/>
      <w:lang w:val="en-GB"/>
    </w:rPr>
  </w:style>
  <w:style w:type="character" w:customStyle="1" w:styleId="Heading3Char">
    <w:name w:val="Heading 3 Char"/>
    <w:aliases w:val="ECC Heading 3 Char"/>
    <w:basedOn w:val="DefaultParagraphFont"/>
    <w:link w:val="Heading3"/>
    <w:rsid w:val="00E2036B"/>
    <w:rPr>
      <w:rFonts w:cs="Arial"/>
      <w:b/>
      <w:bCs/>
      <w:szCs w:val="26"/>
    </w:rPr>
  </w:style>
  <w:style w:type="character" w:styleId="FollowedHyperlink">
    <w:name w:val="FollowedHyperlink"/>
    <w:basedOn w:val="DefaultParagraphFont"/>
    <w:uiPriority w:val="99"/>
    <w:semiHidden/>
    <w:unhideWhenUsed/>
    <w:locked/>
    <w:rsid w:val="00D90B5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20980171">
      <w:bodyDiv w:val="1"/>
      <w:marLeft w:val="0"/>
      <w:marRight w:val="0"/>
      <w:marTop w:val="0"/>
      <w:marBottom w:val="0"/>
      <w:divBdr>
        <w:top w:val="none" w:sz="0" w:space="0" w:color="auto"/>
        <w:left w:val="none" w:sz="0" w:space="0" w:color="auto"/>
        <w:bottom w:val="none" w:sz="0" w:space="0" w:color="auto"/>
        <w:right w:val="none" w:sz="0" w:space="0" w:color="auto"/>
      </w:divBdr>
    </w:div>
    <w:div w:id="1599606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tu.int/dms_pubrec/itu-r/rec/m/R-REC-M.2059-0-201402-I!!PDF-E.pdf" TargetMode="External"/><Relationship Id="rId18"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cept.org/Documents/ecc/59495/ecc-20-info-06_liaison-statement-from-icao-to-ecc" TargetMode="External"/><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itu.int/dms_pub/itu-r/opb/rep/R-REP-M.2319-2014-PDF-E.pdf"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6.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gcc01.safelinks.protection.outlook.com/?url=https%3A%2F%2Fgithub.com%2FNTIA%2Fp528-gui%2Freleases&amp;data=02%7C01%7Cwkozma%40ntia.gov%7Cc102dae49ef540e395e808d7007d4592%7Cd6cff1bd67dd4ce8945dd07dc775672f%7C0%7C0%7C636978410357093308&amp;sdata=7xjS%2FRk2KXjf4hGp2JgJkjfjJOBzoLCVaN%2Budkx5Qb8%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72B09A9A77C4438999FF1325BEF759" ma:contentTypeVersion="0" ma:contentTypeDescription="Create a new document." ma:contentTypeScope="" ma:versionID="65bd2d6fcaa3f4ac24b296b660148a9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4F2EC8-378C-472B-ADEF-798DF494F6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FA7756E-CCC3-48FE-B89C-25BCA64E3710}">
  <ds:schemaRefs>
    <ds:schemaRef ds:uri="http://schemas.microsoft.com/sharepoint/v3/contenttype/forms"/>
  </ds:schemaRefs>
</ds:datastoreItem>
</file>

<file path=customXml/itemProps3.xml><?xml version="1.0" encoding="utf-8"?>
<ds:datastoreItem xmlns:ds="http://schemas.openxmlformats.org/officeDocument/2006/customXml" ds:itemID="{4A234617-7E8B-4523-8A96-06FEA1516AA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D624C1C-B1EB-42FA-A86A-D44CA706E7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9</Pages>
  <Words>2759</Words>
  <Characters>15727</Characters>
  <Application>Microsoft Office Word</Application>
  <DocSecurity>0</DocSecurity>
  <Lines>131</Lines>
  <Paragraphs>36</Paragraphs>
  <ScaleCrop>false</ScaleCrop>
  <HeadingPairs>
    <vt:vector size="6" baseType="variant">
      <vt:variant>
        <vt:lpstr>Title</vt:lpstr>
      </vt:variant>
      <vt:variant>
        <vt:i4>1</vt:i4>
      </vt:variant>
      <vt:variant>
        <vt:lpstr>Titre</vt:lpstr>
      </vt:variant>
      <vt:variant>
        <vt:i4>1</vt:i4>
      </vt:variant>
      <vt:variant>
        <vt:lpstr>Titel</vt:lpstr>
      </vt:variant>
      <vt:variant>
        <vt:i4>1</vt:i4>
      </vt:variant>
    </vt:vector>
  </HeadingPairs>
  <TitlesOfParts>
    <vt:vector size="3" baseType="lpstr">
      <vt:lpstr/>
      <vt:lpstr/>
      <vt:lpstr/>
    </vt:vector>
  </TitlesOfParts>
  <Company>Bundesnetzagentur</Company>
  <LinksUpToDate>false</LinksUpToDate>
  <CharactersWithSpaces>18450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Weber</dc:creator>
  <cp:lastModifiedBy>Loftur Jonasson</cp:lastModifiedBy>
  <cp:revision>6</cp:revision>
  <cp:lastPrinted>2020-08-21T13:56:00Z</cp:lastPrinted>
  <dcterms:created xsi:type="dcterms:W3CDTF">2020-08-21T15:13:00Z</dcterms:created>
  <dcterms:modified xsi:type="dcterms:W3CDTF">2020-08-23T22:21:00Z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0x010100B372B09A9A77C4438999FF1325BEF759</vt:lpwstr>
  </property>
</Properties>
</file>