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rsidRPr="00B23D9C">
        <w:trPr>
          <w:trHeight w:val="1790"/>
        </w:trPr>
        <w:tc>
          <w:tcPr>
            <w:tcW w:w="1915" w:type="dxa"/>
            <w:shd w:val="clear" w:color="auto" w:fill="FFFFFF"/>
          </w:tcPr>
          <w:p w:rsidR="00DA52CB" w:rsidRPr="00B23D9C" w:rsidRDefault="00305BCF" w:rsidP="00E52A56">
            <w:bookmarkStart w:id="0" w:name="logo"/>
            <w:r w:rsidRPr="00B23D9C">
              <w:rPr>
                <w:noProof/>
                <w:lang w:eastAsia="zh-CN"/>
              </w:rPr>
              <w:drawing>
                <wp:inline distT="0" distB="0" distL="0" distR="0" wp14:anchorId="7BB7B9B6" wp14:editId="525C6B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2"/>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rsidR="00E52A56" w:rsidRPr="00B23D9C" w:rsidRDefault="00795803" w:rsidP="00DA52CB">
            <w:pPr>
              <w:rPr>
                <w:rFonts w:ascii="Arial" w:hAnsi="Arial" w:cs="Arial"/>
                <w:szCs w:val="22"/>
              </w:rPr>
            </w:pPr>
            <w:r w:rsidRPr="00B23D9C">
              <w:rPr>
                <w:rFonts w:ascii="Arial" w:hAnsi="Arial" w:cs="Arial"/>
                <w:noProof/>
                <w:szCs w:val="22"/>
                <w:lang w:eastAsia="zh-CN"/>
              </w:rPr>
              <mc:AlternateContent>
                <mc:Choice Requires="wps">
                  <w:drawing>
                    <wp:anchor distT="0" distB="0" distL="114300" distR="114300" simplePos="0" relativeHeight="251658240" behindDoc="0" locked="0" layoutInCell="1" allowOverlap="1" wp14:anchorId="3EA684F9" wp14:editId="15481EAC">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09D23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rsidR="00DA52CB" w:rsidRPr="00B23D9C" w:rsidRDefault="00E52A56" w:rsidP="00DA52CB">
            <w:pPr>
              <w:rPr>
                <w:rFonts w:ascii="Arial" w:hAnsi="Arial" w:cs="Arial"/>
                <w:szCs w:val="22"/>
              </w:rPr>
            </w:pPr>
            <w:r w:rsidRPr="00B23D9C">
              <w:rPr>
                <w:rFonts w:ascii="Arial" w:hAnsi="Arial" w:cs="Arial"/>
                <w:szCs w:val="22"/>
              </w:rPr>
              <w:t>International Civil Aviation Organization</w:t>
            </w:r>
          </w:p>
          <w:p w:rsidR="00E52A56" w:rsidRPr="00B23D9C" w:rsidRDefault="00E52A56" w:rsidP="00DA52CB">
            <w:pPr>
              <w:rPr>
                <w:rFonts w:ascii="Arial" w:hAnsi="Arial" w:cs="Arial"/>
                <w:szCs w:val="22"/>
              </w:rPr>
            </w:pPr>
          </w:p>
          <w:p w:rsidR="00E52A56" w:rsidRPr="00B23D9C" w:rsidRDefault="00B23D9C" w:rsidP="00486829">
            <w:pPr>
              <w:rPr>
                <w:rFonts w:ascii="Arial" w:hAnsi="Arial" w:cs="Arial"/>
                <w:b/>
                <w:sz w:val="24"/>
                <w:szCs w:val="22"/>
              </w:rPr>
            </w:pPr>
            <w:r w:rsidRPr="00B23D9C">
              <w:rPr>
                <w:rFonts w:ascii="Arial" w:hAnsi="Arial" w:cs="Arial"/>
                <w:b/>
                <w:sz w:val="24"/>
                <w:szCs w:val="22"/>
              </w:rPr>
              <w:t>INFORMATION</w:t>
            </w:r>
            <w:r w:rsidR="00E52A56" w:rsidRPr="00B23D9C">
              <w:rPr>
                <w:rFonts w:ascii="Arial" w:hAnsi="Arial" w:cs="Arial"/>
                <w:b/>
                <w:sz w:val="24"/>
                <w:szCs w:val="22"/>
              </w:rPr>
              <w:t xml:space="preserve">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77"/>
            </w:tblGrid>
            <w:tr w:rsidR="00DA52CB" w:rsidRPr="00B23D9C" w:rsidTr="00F26CCC">
              <w:trPr>
                <w:jc w:val="right"/>
              </w:trPr>
              <w:tc>
                <w:tcPr>
                  <w:tcW w:w="0" w:type="auto"/>
                </w:tcPr>
                <w:p w:rsidR="00DA52CB" w:rsidRPr="00B23D9C" w:rsidRDefault="0003526F" w:rsidP="006C22B7">
                  <w:pPr>
                    <w:framePr w:hSpace="180" w:wrap="around" w:vAnchor="text" w:hAnchor="text" w:y="1"/>
                    <w:suppressOverlap/>
                    <w:jc w:val="left"/>
                    <w:rPr>
                      <w:szCs w:val="22"/>
                    </w:rPr>
                  </w:pPr>
                  <w:bookmarkStart w:id="1" w:name="document_no"/>
                  <w:r w:rsidRPr="00B23D9C">
                    <w:rPr>
                      <w:rFonts w:eastAsia="SimSun"/>
                      <w:caps/>
                    </w:rPr>
                    <w:t>FSMP-WG/3</w:t>
                  </w:r>
                  <w:r w:rsidR="00B23D9C" w:rsidRPr="00B23D9C">
                    <w:rPr>
                      <w:rFonts w:eastAsia="SimSun"/>
                      <w:caps/>
                    </w:rPr>
                    <w:t>,</w:t>
                  </w:r>
                  <w:r w:rsidRPr="00B23D9C">
                    <w:rPr>
                      <w:szCs w:val="22"/>
                    </w:rPr>
                    <w:t xml:space="preserve"> </w:t>
                  </w:r>
                  <w:r w:rsidR="00BC0E04" w:rsidRPr="00B23D9C">
                    <w:rPr>
                      <w:szCs w:val="22"/>
                    </w:rPr>
                    <w:t>I</w:t>
                  </w:r>
                  <w:r w:rsidR="00E52A56" w:rsidRPr="00B23D9C">
                    <w:rPr>
                      <w:szCs w:val="22"/>
                    </w:rPr>
                    <w:t>P/</w:t>
                  </w:r>
                  <w:bookmarkEnd w:id="1"/>
                  <w:r w:rsidR="00E92075">
                    <w:rPr>
                      <w:szCs w:val="22"/>
                    </w:rPr>
                    <w:t>02</w:t>
                  </w:r>
                </w:p>
                <w:p w:rsidR="00A2022F" w:rsidRPr="00B23D9C" w:rsidRDefault="00E92075" w:rsidP="006C22B7">
                  <w:pPr>
                    <w:framePr w:hSpace="180" w:wrap="around" w:vAnchor="text" w:hAnchor="text" w:y="1"/>
                    <w:suppressOverlap/>
                    <w:jc w:val="left"/>
                    <w:rPr>
                      <w:b/>
                    </w:rPr>
                  </w:pPr>
                  <w:bookmarkStart w:id="2" w:name="restricted"/>
                  <w:bookmarkStart w:id="3" w:name="addendum_corrigendum_appendix"/>
                  <w:bookmarkStart w:id="4" w:name="revision_no"/>
                  <w:bookmarkStart w:id="5" w:name="revision_date"/>
                  <w:bookmarkStart w:id="6" w:name="related_to"/>
                  <w:bookmarkStart w:id="7" w:name="date"/>
                  <w:bookmarkEnd w:id="2"/>
                  <w:bookmarkEnd w:id="3"/>
                  <w:bookmarkEnd w:id="4"/>
                  <w:bookmarkEnd w:id="5"/>
                  <w:bookmarkEnd w:id="6"/>
                  <w:r>
                    <w:rPr>
                      <w:sz w:val="18"/>
                      <w:szCs w:val="18"/>
                    </w:rPr>
                    <w:t>2016-07-29</w:t>
                  </w:r>
                  <w:bookmarkEnd w:id="7"/>
                  <w:r w:rsidR="002172F3" w:rsidRPr="00B23D9C">
                    <w:rPr>
                      <w:b/>
                      <w:sz w:val="18"/>
                      <w:szCs w:val="18"/>
                    </w:rPr>
                    <w:t xml:space="preserve"> </w:t>
                  </w:r>
                  <w:bookmarkStart w:id="8" w:name="info_paper"/>
                  <w:bookmarkEnd w:id="8"/>
                </w:p>
              </w:tc>
            </w:tr>
            <w:tr w:rsidR="00DA52CB" w:rsidRPr="00B23D9C" w:rsidTr="00F26CCC">
              <w:trPr>
                <w:jc w:val="right"/>
              </w:trPr>
              <w:tc>
                <w:tcPr>
                  <w:tcW w:w="0" w:type="auto"/>
                </w:tcPr>
                <w:p w:rsidR="00DA52CB" w:rsidRPr="00B23D9C" w:rsidRDefault="00DA52CB" w:rsidP="006C22B7">
                  <w:pPr>
                    <w:framePr w:hSpace="180" w:wrap="around" w:vAnchor="text" w:hAnchor="text" w:y="1"/>
                    <w:suppressOverlap/>
                    <w:jc w:val="left"/>
                    <w:rPr>
                      <w:szCs w:val="22"/>
                    </w:rPr>
                  </w:pPr>
                  <w:bookmarkStart w:id="9" w:name="language"/>
                  <w:bookmarkEnd w:id="9"/>
                </w:p>
              </w:tc>
            </w:tr>
          </w:tbl>
          <w:p w:rsidR="00DA52CB" w:rsidRPr="00B23D9C" w:rsidRDefault="00DA52CB" w:rsidP="00DA52CB">
            <w:pPr>
              <w:tabs>
                <w:tab w:val="left" w:pos="720"/>
                <w:tab w:val="left" w:pos="1440"/>
                <w:tab w:val="left" w:pos="1800"/>
                <w:tab w:val="left" w:pos="2160"/>
                <w:tab w:val="left" w:pos="2520"/>
                <w:tab w:val="left" w:pos="2880"/>
              </w:tabs>
              <w:ind w:left="4320"/>
              <w:rPr>
                <w:b/>
                <w:sz w:val="18"/>
                <w:szCs w:val="18"/>
              </w:rPr>
            </w:pPr>
          </w:p>
        </w:tc>
      </w:tr>
    </w:tbl>
    <w:p w:rsidR="00E92075" w:rsidRPr="00DA7BC4" w:rsidRDefault="00E92075" w:rsidP="00E92075">
      <w:pPr>
        <w:spacing w:after="120"/>
        <w:jc w:val="center"/>
        <w:rPr>
          <w:b/>
          <w:sz w:val="24"/>
        </w:rPr>
      </w:pPr>
      <w:bookmarkStart w:id="10" w:name="text_above"/>
      <w:bookmarkStart w:id="11" w:name="title_below_city_from_to"/>
      <w:bookmarkEnd w:id="10"/>
      <w:bookmarkEnd w:id="11"/>
      <w:r>
        <w:rPr>
          <w:b/>
          <w:sz w:val="24"/>
          <w:lang w:val="en-US"/>
        </w:rPr>
        <w:t xml:space="preserve">FREQUENCY </w:t>
      </w:r>
      <w:r w:rsidRPr="00DA7BC4">
        <w:rPr>
          <w:b/>
          <w:sz w:val="24"/>
          <w:lang w:val="en-US"/>
        </w:rPr>
        <w:t>SPECTRUM</w:t>
      </w:r>
      <w:r w:rsidRPr="00DA7BC4">
        <w:rPr>
          <w:b/>
          <w:sz w:val="24"/>
        </w:rPr>
        <w:t xml:space="preserve"> MANGEMENT  PANEL (FSMP)</w:t>
      </w:r>
    </w:p>
    <w:p w:rsidR="00E92075" w:rsidRDefault="00E92075" w:rsidP="00E92075">
      <w:pPr>
        <w:pStyle w:val="Maintitle"/>
        <w:rPr>
          <w:sz w:val="24"/>
          <w:szCs w:val="24"/>
        </w:rPr>
      </w:pPr>
      <w:r>
        <w:rPr>
          <w:sz w:val="24"/>
          <w:szCs w:val="24"/>
        </w:rPr>
        <w:t>Third</w:t>
      </w:r>
      <w:r w:rsidRPr="00DA7BC4">
        <w:rPr>
          <w:sz w:val="24"/>
          <w:szCs w:val="24"/>
        </w:rPr>
        <w:t xml:space="preserve"> Meeting of the Working Group of </w:t>
      </w:r>
      <w:r>
        <w:rPr>
          <w:sz w:val="24"/>
          <w:szCs w:val="24"/>
        </w:rPr>
        <w:t>FSMP</w:t>
      </w:r>
    </w:p>
    <w:p w:rsidR="00E92075" w:rsidRPr="00DA7BC4" w:rsidRDefault="00E92075" w:rsidP="00E92075">
      <w:pPr>
        <w:pStyle w:val="Maintitle"/>
        <w:spacing w:after="120"/>
        <w:ind w:left="1077" w:right="1077"/>
        <w:rPr>
          <w:sz w:val="24"/>
        </w:rPr>
      </w:pPr>
      <w:r w:rsidRPr="00DA7BC4">
        <w:rPr>
          <w:sz w:val="24"/>
          <w:szCs w:val="24"/>
        </w:rPr>
        <w:t>(FSMP-WG/</w:t>
      </w:r>
      <w:r>
        <w:rPr>
          <w:sz w:val="24"/>
          <w:szCs w:val="24"/>
        </w:rPr>
        <w:t>3</w:t>
      </w:r>
      <w:r w:rsidRPr="00DA7BC4">
        <w:rPr>
          <w:sz w:val="24"/>
          <w:szCs w:val="24"/>
        </w:rPr>
        <w:t>)</w:t>
      </w:r>
      <w:r w:rsidRPr="00DA7BC4">
        <w:rPr>
          <w:sz w:val="24"/>
        </w:rPr>
        <w:tab/>
      </w:r>
    </w:p>
    <w:p w:rsidR="00E92075" w:rsidRDefault="00E92075" w:rsidP="00E92075">
      <w:pPr>
        <w:pStyle w:val="Maintitle"/>
      </w:pPr>
      <w:r>
        <w:t>Montreal, Canada, 6 – 14 September 2016</w:t>
      </w:r>
    </w:p>
    <w:p w:rsidR="003403A5" w:rsidRPr="00B23D9C" w:rsidRDefault="003403A5" w:rsidP="003403A5">
      <w:pPr>
        <w:jc w:val="center"/>
        <w:rPr>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0" w:type="dxa"/>
        </w:tblCellMar>
        <w:tblLook w:val="04A0" w:firstRow="1" w:lastRow="0" w:firstColumn="1" w:lastColumn="0" w:noHBand="0" w:noVBand="1"/>
      </w:tblPr>
      <w:tblGrid>
        <w:gridCol w:w="1267"/>
        <w:gridCol w:w="2184"/>
        <w:gridCol w:w="56"/>
      </w:tblGrid>
      <w:tr w:rsidR="003403A5" w:rsidRPr="00B23D9C" w:rsidTr="00DE384B">
        <w:tc>
          <w:tcPr>
            <w:tcW w:w="0" w:type="auto"/>
            <w:shd w:val="clear" w:color="auto" w:fill="auto"/>
            <w:noWrap/>
          </w:tcPr>
          <w:p w:rsidR="003403A5" w:rsidRPr="00B23D9C" w:rsidRDefault="003403A5" w:rsidP="00DE384B">
            <w:pPr>
              <w:rPr>
                <w:b/>
                <w:szCs w:val="22"/>
              </w:rPr>
            </w:pPr>
            <w:bookmarkStart w:id="12" w:name="agenda_item"/>
            <w:bookmarkEnd w:id="12"/>
            <w:r w:rsidRPr="00B23D9C">
              <w:rPr>
                <w:b/>
                <w:szCs w:val="22"/>
              </w:rPr>
              <w:t>Agenda Item</w:t>
            </w:r>
          </w:p>
        </w:tc>
        <w:tc>
          <w:tcPr>
            <w:tcW w:w="0" w:type="auto"/>
            <w:shd w:val="clear" w:color="auto" w:fill="auto"/>
            <w:noWrap/>
          </w:tcPr>
          <w:p w:rsidR="003403A5" w:rsidRPr="00B23D9C" w:rsidRDefault="00CD0835" w:rsidP="00DE384B">
            <w:pPr>
              <w:rPr>
                <w:b/>
                <w:szCs w:val="22"/>
              </w:rPr>
            </w:pPr>
            <w:r w:rsidRPr="00B23D9C">
              <w:rPr>
                <w:b/>
                <w:szCs w:val="22"/>
              </w:rPr>
              <w:t>10</w:t>
            </w:r>
            <w:r w:rsidR="001A3581" w:rsidRPr="00B23D9C">
              <w:rPr>
                <w:b/>
                <w:szCs w:val="22"/>
              </w:rPr>
              <w:t>: Any other business</w:t>
            </w:r>
            <w:r w:rsidR="003403A5" w:rsidRPr="00B23D9C">
              <w:rPr>
                <w:b/>
                <w:szCs w:val="22"/>
              </w:rPr>
              <w:t xml:space="preserve"> </w:t>
            </w:r>
            <w:r w:rsidR="003403A5" w:rsidRPr="00B23D9C">
              <w:t xml:space="preserve"> </w:t>
            </w:r>
          </w:p>
        </w:tc>
        <w:tc>
          <w:tcPr>
            <w:tcW w:w="0" w:type="auto"/>
            <w:shd w:val="clear" w:color="auto" w:fill="auto"/>
          </w:tcPr>
          <w:p w:rsidR="003403A5" w:rsidRPr="00B23D9C" w:rsidRDefault="003403A5" w:rsidP="00DE384B">
            <w:pPr>
              <w:rPr>
                <w:b/>
                <w:szCs w:val="22"/>
              </w:rPr>
            </w:pPr>
            <w:r w:rsidRPr="00B23D9C">
              <w:rPr>
                <w:b/>
                <w:szCs w:val="22"/>
              </w:rPr>
              <w:t xml:space="preserve"> </w:t>
            </w:r>
          </w:p>
        </w:tc>
      </w:tr>
    </w:tbl>
    <w:p w:rsidR="001A3581" w:rsidRPr="00B23D9C" w:rsidRDefault="001A3581" w:rsidP="003403A5">
      <w:pPr>
        <w:ind w:left="1080" w:right="1080"/>
        <w:jc w:val="center"/>
        <w:rPr>
          <w:lang w:eastAsia="zh-CN"/>
        </w:rPr>
      </w:pPr>
      <w:bookmarkStart w:id="13" w:name="title"/>
      <w:bookmarkStart w:id="14" w:name="presented_by"/>
      <w:bookmarkEnd w:id="13"/>
    </w:p>
    <w:p w:rsidR="009120B2" w:rsidRPr="00B23D9C" w:rsidRDefault="009120B2" w:rsidP="003403A5">
      <w:pPr>
        <w:ind w:left="1080" w:right="1080"/>
        <w:jc w:val="center"/>
        <w:rPr>
          <w:b/>
          <w:sz w:val="28"/>
          <w:lang w:eastAsia="zh-CN"/>
        </w:rPr>
      </w:pPr>
    </w:p>
    <w:p w:rsidR="00B23D9C" w:rsidRPr="00B23D9C" w:rsidRDefault="00B23D9C" w:rsidP="00B23D9C">
      <w:pPr>
        <w:pStyle w:val="Title"/>
        <w:rPr>
          <w:sz w:val="28"/>
        </w:rPr>
      </w:pPr>
      <w:r w:rsidRPr="00B23D9C">
        <w:rPr>
          <w:sz w:val="28"/>
        </w:rPr>
        <w:t>REPORT</w:t>
      </w:r>
    </w:p>
    <w:p w:rsidR="00B23D9C" w:rsidRPr="00B23D9C" w:rsidRDefault="00B23D9C" w:rsidP="00B23D9C">
      <w:pPr>
        <w:pStyle w:val="Title"/>
        <w:rPr>
          <w:sz w:val="28"/>
        </w:rPr>
      </w:pPr>
      <w:r w:rsidRPr="00B23D9C">
        <w:rPr>
          <w:sz w:val="28"/>
        </w:rPr>
        <w:t>OF THE</w:t>
      </w:r>
    </w:p>
    <w:p w:rsidR="00B23D9C" w:rsidRPr="00B23D9C" w:rsidRDefault="00B23D9C" w:rsidP="00B23D9C">
      <w:pPr>
        <w:pStyle w:val="Title"/>
        <w:rPr>
          <w:sz w:val="28"/>
        </w:rPr>
      </w:pPr>
      <w:r w:rsidRPr="00B23D9C">
        <w:rPr>
          <w:sz w:val="28"/>
        </w:rPr>
        <w:t>ICAO NSP SPECTRUM WORKING GROUP MEETING</w:t>
      </w:r>
    </w:p>
    <w:p w:rsidR="00B23D9C" w:rsidRPr="00B23D9C" w:rsidRDefault="00B23D9C" w:rsidP="00B23D9C">
      <w:pPr>
        <w:ind w:firstLine="142"/>
        <w:jc w:val="center"/>
        <w:rPr>
          <w:b/>
        </w:rPr>
      </w:pPr>
      <w:r w:rsidRPr="00B23D9C">
        <w:rPr>
          <w:b/>
        </w:rPr>
        <w:t>6</w:t>
      </w:r>
      <w:r w:rsidRPr="00B23D9C">
        <w:rPr>
          <w:b/>
          <w:vertAlign w:val="superscript"/>
        </w:rPr>
        <w:t>th</w:t>
      </w:r>
      <w:r w:rsidRPr="00B23D9C">
        <w:rPr>
          <w:b/>
        </w:rPr>
        <w:t xml:space="preserve"> to 9</w:t>
      </w:r>
      <w:r w:rsidRPr="00B23D9C">
        <w:rPr>
          <w:b/>
          <w:vertAlign w:val="superscript"/>
        </w:rPr>
        <w:t>th</w:t>
      </w:r>
      <w:r w:rsidRPr="00B23D9C">
        <w:rPr>
          <w:b/>
        </w:rPr>
        <w:t xml:space="preserve"> June 2016, ICAO Headquarters, Montreal, Canada</w:t>
      </w:r>
    </w:p>
    <w:p w:rsidR="004011F4" w:rsidRPr="00B23D9C" w:rsidRDefault="004011F4" w:rsidP="00B23D9C">
      <w:pPr>
        <w:ind w:left="1080" w:right="1080"/>
        <w:jc w:val="center"/>
        <w:rPr>
          <w:b/>
          <w:sz w:val="28"/>
          <w:lang w:eastAsia="zh-CN"/>
        </w:rPr>
      </w:pPr>
    </w:p>
    <w:p w:rsidR="004011F4" w:rsidRPr="00B23D9C" w:rsidRDefault="004011F4" w:rsidP="003403A5">
      <w:pPr>
        <w:ind w:left="1080" w:right="1080"/>
        <w:jc w:val="center"/>
        <w:rPr>
          <w:lang w:eastAsia="zh-CN"/>
        </w:rPr>
      </w:pPr>
    </w:p>
    <w:p w:rsidR="00F17194" w:rsidRPr="00B23D9C" w:rsidRDefault="003403A5" w:rsidP="003403A5">
      <w:pPr>
        <w:ind w:left="1080" w:right="1080"/>
        <w:jc w:val="center"/>
        <w:rPr>
          <w:szCs w:val="22"/>
        </w:rPr>
      </w:pPr>
      <w:r w:rsidRPr="00B23D9C">
        <w:rPr>
          <w:szCs w:val="22"/>
        </w:rPr>
        <w:t>Presented</w:t>
      </w:r>
      <w:r w:rsidR="00B23D9C" w:rsidRPr="00B23D9C">
        <w:rPr>
          <w:szCs w:val="22"/>
        </w:rPr>
        <w:t>/prepared</w:t>
      </w:r>
      <w:r w:rsidRPr="00B23D9C">
        <w:rPr>
          <w:szCs w:val="22"/>
        </w:rPr>
        <w:t xml:space="preserve"> by</w:t>
      </w:r>
      <w:bookmarkEnd w:id="14"/>
      <w:r w:rsidR="00F17194" w:rsidRPr="00B23D9C">
        <w:rPr>
          <w:szCs w:val="22"/>
        </w:rPr>
        <w:t>:</w:t>
      </w:r>
      <w:r w:rsidR="001A3581" w:rsidRPr="00B23D9C">
        <w:rPr>
          <w:szCs w:val="22"/>
        </w:rPr>
        <w:t xml:space="preserve"> </w:t>
      </w:r>
      <w:r w:rsidR="00B23D9C" w:rsidRPr="00B23D9C">
        <w:rPr>
          <w:szCs w:val="22"/>
        </w:rPr>
        <w:t>ICAO NSP SWG Rapporteur</w:t>
      </w:r>
      <w:r w:rsidR="0098086B">
        <w:rPr>
          <w:szCs w:val="22"/>
        </w:rPr>
        <w:t>,</w:t>
      </w:r>
      <w:r w:rsidR="00B23D9C" w:rsidRPr="00B23D9C">
        <w:rPr>
          <w:szCs w:val="22"/>
        </w:rPr>
        <w:t xml:space="preserve"> </w:t>
      </w:r>
      <w:r w:rsidR="001A3581" w:rsidRPr="00B23D9C">
        <w:rPr>
          <w:szCs w:val="22"/>
        </w:rPr>
        <w:t>Felix Butsch</w:t>
      </w:r>
    </w:p>
    <w:p w:rsidR="003403A5" w:rsidRPr="00B23D9C" w:rsidRDefault="003403A5" w:rsidP="003403A5">
      <w:pPr>
        <w:jc w:val="center"/>
        <w:rPr>
          <w:szCs w:val="22"/>
        </w:rPr>
      </w:pPr>
    </w:p>
    <w:p w:rsidR="009120B2" w:rsidRPr="00B23D9C" w:rsidRDefault="009120B2" w:rsidP="003403A5">
      <w:pPr>
        <w:jc w:val="center"/>
        <w:rPr>
          <w:rFonts w:ascii="Arial" w:hAnsi="Arial" w:cs="Arial"/>
          <w:b/>
          <w:szCs w:val="22"/>
        </w:rPr>
      </w:pPr>
      <w:bookmarkStart w:id="15" w:name="document_no_below_title"/>
      <w:bookmarkEnd w:id="15"/>
    </w:p>
    <w:p w:rsidR="003403A5" w:rsidRPr="00B23D9C" w:rsidRDefault="003403A5" w:rsidP="003403A5">
      <w:pPr>
        <w:jc w:val="center"/>
        <w:rPr>
          <w:b/>
          <w:szCs w:val="22"/>
        </w:rPr>
      </w:pPr>
      <w:r w:rsidRPr="00B23D9C">
        <w:rPr>
          <w:rFonts w:ascii="Arial" w:hAnsi="Arial" w:cs="Arial"/>
          <w:b/>
          <w:szCs w:val="22"/>
        </w:rPr>
        <w:t xml:space="preserve"> </w:t>
      </w:r>
    </w:p>
    <w:tbl>
      <w:tblPr>
        <w:tblStyle w:val="TableGrid"/>
        <w:tblW w:w="7380" w:type="dxa"/>
        <w:jc w:val="center"/>
        <w:tblCellMar>
          <w:top w:w="120" w:type="dxa"/>
          <w:left w:w="120" w:type="dxa"/>
          <w:right w:w="120" w:type="dxa"/>
        </w:tblCellMar>
        <w:tblLook w:val="04A0" w:firstRow="1" w:lastRow="0" w:firstColumn="1" w:lastColumn="0" w:noHBand="0" w:noVBand="1"/>
      </w:tblPr>
      <w:tblGrid>
        <w:gridCol w:w="7380"/>
      </w:tblGrid>
      <w:tr w:rsidR="003403A5" w:rsidRPr="00B23D9C" w:rsidTr="00DE384B">
        <w:trPr>
          <w:jc w:val="center"/>
        </w:trPr>
        <w:tc>
          <w:tcPr>
            <w:tcW w:w="7380" w:type="dxa"/>
            <w:tcBorders>
              <w:bottom w:val="nil"/>
            </w:tcBorders>
          </w:tcPr>
          <w:p w:rsidR="003403A5" w:rsidRPr="00B23D9C" w:rsidRDefault="003403A5" w:rsidP="00DE384B">
            <w:pPr>
              <w:jc w:val="center"/>
              <w:rPr>
                <w:b/>
                <w:szCs w:val="22"/>
              </w:rPr>
            </w:pPr>
            <w:bookmarkStart w:id="16" w:name="summary_box"/>
            <w:bookmarkEnd w:id="16"/>
            <w:r w:rsidRPr="00B23D9C">
              <w:rPr>
                <w:b/>
                <w:szCs w:val="22"/>
              </w:rPr>
              <w:t>SUMMARY</w:t>
            </w:r>
          </w:p>
        </w:tc>
      </w:tr>
      <w:tr w:rsidR="003403A5" w:rsidRPr="00B23D9C" w:rsidTr="00DE384B">
        <w:trPr>
          <w:jc w:val="center"/>
        </w:trPr>
        <w:tc>
          <w:tcPr>
            <w:tcW w:w="7380" w:type="dxa"/>
            <w:tcBorders>
              <w:top w:val="nil"/>
            </w:tcBorders>
            <w:shd w:val="clear" w:color="auto" w:fill="auto"/>
          </w:tcPr>
          <w:p w:rsidR="005D62EA" w:rsidRDefault="000F1DA4" w:rsidP="00B23D9C">
            <w:pPr>
              <w:jc w:val="left"/>
            </w:pPr>
            <w:r w:rsidRPr="00B23D9C">
              <w:rPr>
                <w:szCs w:val="22"/>
              </w:rPr>
              <w:t xml:space="preserve">This </w:t>
            </w:r>
            <w:r w:rsidR="00F5378A" w:rsidRPr="00B23D9C">
              <w:rPr>
                <w:szCs w:val="22"/>
              </w:rPr>
              <w:t xml:space="preserve">paper </w:t>
            </w:r>
            <w:r w:rsidR="000674F9" w:rsidRPr="00B23D9C">
              <w:rPr>
                <w:szCs w:val="22"/>
              </w:rPr>
              <w:t xml:space="preserve">provides </w:t>
            </w:r>
            <w:r w:rsidR="00B23D9C" w:rsidRPr="00B23D9C">
              <w:rPr>
                <w:szCs w:val="22"/>
              </w:rPr>
              <w:t xml:space="preserve">the report of the </w:t>
            </w:r>
            <w:r w:rsidR="0098086B">
              <w:rPr>
                <w:szCs w:val="22"/>
              </w:rPr>
              <w:t xml:space="preserve">recent </w:t>
            </w:r>
            <w:r w:rsidR="00B23D9C" w:rsidRPr="00B23D9C">
              <w:t>meeting of the ICAO NSP Spectrum Working Group (SWG) which was held at ICAO Headquarters, in Montreal from 6</w:t>
            </w:r>
            <w:r w:rsidR="00B23D9C" w:rsidRPr="00B23D9C">
              <w:rPr>
                <w:vertAlign w:val="superscript"/>
              </w:rPr>
              <w:t>th</w:t>
            </w:r>
            <w:r w:rsidR="00B23D9C" w:rsidRPr="00B23D9C">
              <w:t xml:space="preserve"> to 9</w:t>
            </w:r>
            <w:r w:rsidR="00B23D9C" w:rsidRPr="00B23D9C">
              <w:rPr>
                <w:vertAlign w:val="superscript"/>
              </w:rPr>
              <w:t>th</w:t>
            </w:r>
            <w:r w:rsidR="00B23D9C" w:rsidRPr="00B23D9C">
              <w:t xml:space="preserve"> June 2016.</w:t>
            </w:r>
          </w:p>
          <w:p w:rsidR="00501DCF" w:rsidRDefault="00501DCF" w:rsidP="00501DCF">
            <w:pPr>
              <w:jc w:val="left"/>
            </w:pPr>
          </w:p>
          <w:p w:rsidR="00501DCF" w:rsidRDefault="00501DCF" w:rsidP="00501DCF">
            <w:pPr>
              <w:jc w:val="left"/>
            </w:pPr>
            <w:r>
              <w:t xml:space="preserve">The </w:t>
            </w:r>
            <w:r w:rsidR="00B23D9C">
              <w:t xml:space="preserve">meeting was </w:t>
            </w:r>
            <w:r w:rsidR="00AE28ED">
              <w:t xml:space="preserve">focused on </w:t>
            </w:r>
            <w:r w:rsidR="00B23D9C">
              <w:t xml:space="preserve">the development of </w:t>
            </w:r>
            <w:r w:rsidR="00010B27">
              <w:t xml:space="preserve">mature </w:t>
            </w:r>
            <w:r w:rsidR="00B23D9C">
              <w:t xml:space="preserve">frequency coordination criteria for the </w:t>
            </w:r>
            <w:r w:rsidR="00010B27">
              <w:t xml:space="preserve">GBAS </w:t>
            </w:r>
            <w:r w:rsidR="00B23D9C">
              <w:t>VHF Data-link (VHF)</w:t>
            </w:r>
            <w:r w:rsidR="00896E8D">
              <w:t xml:space="preserve"> </w:t>
            </w:r>
            <w:r w:rsidR="00010B27">
              <w:t>ensur</w:t>
            </w:r>
            <w:r w:rsidR="00105B04">
              <w:t xml:space="preserve">ing </w:t>
            </w:r>
            <w:r w:rsidR="00010B27">
              <w:t xml:space="preserve">consistency </w:t>
            </w:r>
            <w:r w:rsidR="00896E8D">
              <w:t xml:space="preserve">with the </w:t>
            </w:r>
            <w:r w:rsidR="00010B27">
              <w:t xml:space="preserve">adjacent channel suppression requirements </w:t>
            </w:r>
            <w:r w:rsidR="0098086B">
              <w:t>for GBAS on-board receivers of</w:t>
            </w:r>
            <w:r w:rsidR="00010B27">
              <w:t xml:space="preserve"> the RTCA Minimum Operational Performance Standard (MOPS)</w:t>
            </w:r>
            <w:r w:rsidR="0098086B">
              <w:t>,</w:t>
            </w:r>
            <w:r w:rsidR="00010B27">
              <w:t xml:space="preserve"> RTCA DO-253.</w:t>
            </w:r>
          </w:p>
          <w:p w:rsidR="00105B04" w:rsidRDefault="00105B04" w:rsidP="00501DCF">
            <w:pPr>
              <w:jc w:val="left"/>
            </w:pPr>
          </w:p>
          <w:p w:rsidR="00437E25" w:rsidRPr="00105B04" w:rsidRDefault="00437E25" w:rsidP="00501DCF">
            <w:pPr>
              <w:jc w:val="left"/>
              <w:rPr>
                <w:lang w:val="en-US"/>
              </w:rPr>
            </w:pPr>
            <w:r>
              <w:t xml:space="preserve">Another important topic was </w:t>
            </w:r>
            <w:r w:rsidRPr="00B23D9C">
              <w:t xml:space="preserve">GNSS </w:t>
            </w:r>
            <w:r>
              <w:t>Radio Frequency Interference (</w:t>
            </w:r>
            <w:r w:rsidRPr="00B23D9C">
              <w:t>RFI</w:t>
            </w:r>
            <w:r>
              <w:t>)</w:t>
            </w:r>
            <w:r w:rsidR="00E06BD9">
              <w:t>,</w:t>
            </w:r>
            <w:r w:rsidRPr="00B23D9C">
              <w:t xml:space="preserve"> </w:t>
            </w:r>
            <w:r w:rsidR="00E06BD9">
              <w:t xml:space="preserve">in particular the preparation of the GNSS RFI </w:t>
            </w:r>
            <w:r w:rsidRPr="00B23D9C">
              <w:t>mitigation plan</w:t>
            </w:r>
            <w:r>
              <w:t xml:space="preserve"> to be included into the ICAO GNSS Manual ICAO </w:t>
            </w:r>
            <w:r w:rsidR="00105B04" w:rsidRPr="00105B04">
              <w:t>Doc 9849</w:t>
            </w:r>
            <w:r w:rsidR="00105B04">
              <w:t>.</w:t>
            </w:r>
          </w:p>
          <w:p w:rsidR="00010B27" w:rsidRDefault="00010B27" w:rsidP="00501DCF">
            <w:pPr>
              <w:jc w:val="left"/>
            </w:pPr>
          </w:p>
          <w:p w:rsidR="00501DCF" w:rsidRPr="00B23D9C" w:rsidRDefault="00501DCF" w:rsidP="00E43CCA">
            <w:pPr>
              <w:jc w:val="left"/>
              <w:rPr>
                <w:szCs w:val="22"/>
              </w:rPr>
            </w:pPr>
            <w:r>
              <w:t xml:space="preserve">The next meeting of the </w:t>
            </w:r>
            <w:r w:rsidR="00AE28ED" w:rsidRPr="00B23D9C">
              <w:t>ICAO NSP Spectrum Working Group</w:t>
            </w:r>
            <w:r>
              <w:t xml:space="preserve"> will take place in Montreal from the </w:t>
            </w:r>
            <w:r w:rsidR="00E43CCA">
              <w:t>28</w:t>
            </w:r>
            <w:r w:rsidR="00E43CCA" w:rsidRPr="00E43CCA">
              <w:rPr>
                <w:vertAlign w:val="superscript"/>
              </w:rPr>
              <w:t>th</w:t>
            </w:r>
            <w:r w:rsidR="00E43CCA">
              <w:t xml:space="preserve"> November to the 1</w:t>
            </w:r>
            <w:r w:rsidR="00E43CCA" w:rsidRPr="00E43CCA">
              <w:rPr>
                <w:vertAlign w:val="superscript"/>
              </w:rPr>
              <w:t>st</w:t>
            </w:r>
            <w:r w:rsidR="00E43CCA">
              <w:t xml:space="preserve"> December 2016</w:t>
            </w:r>
            <w:r w:rsidR="008F7D1B">
              <w:t xml:space="preserve"> in conjunction with the</w:t>
            </w:r>
            <w:r w:rsidR="00674B48">
              <w:t xml:space="preserve"> 3</w:t>
            </w:r>
            <w:r w:rsidR="00674B48" w:rsidRPr="00674B48">
              <w:rPr>
                <w:vertAlign w:val="superscript"/>
              </w:rPr>
              <w:t>rd</w:t>
            </w:r>
            <w:r w:rsidR="00674B48">
              <w:t xml:space="preserve"> meeting of the ICAO Navigation Systems Panel, NSP/3.</w:t>
            </w:r>
          </w:p>
        </w:tc>
      </w:tr>
    </w:tbl>
    <w:p w:rsidR="00010B27" w:rsidRDefault="00010B27">
      <w:pPr>
        <w:autoSpaceDE/>
        <w:autoSpaceDN/>
        <w:adjustRightInd/>
        <w:jc w:val="left"/>
        <w:rPr>
          <w:b/>
          <w:caps/>
          <w:szCs w:val="22"/>
        </w:rPr>
      </w:pPr>
      <w:bookmarkStart w:id="17" w:name="beginning"/>
      <w:bookmarkStart w:id="18" w:name="_GoBack"/>
      <w:bookmarkEnd w:id="17"/>
      <w:bookmarkEnd w:id="18"/>
      <w:r>
        <w:br w:type="page"/>
      </w:r>
    </w:p>
    <w:p w:rsidR="00B23D9C" w:rsidRPr="00B23D9C" w:rsidRDefault="00B23D9C" w:rsidP="00B23D9C">
      <w:pPr>
        <w:pStyle w:val="1Heading"/>
        <w:numPr>
          <w:ilvl w:val="0"/>
          <w:numId w:val="0"/>
        </w:numPr>
      </w:pPr>
      <w:r w:rsidRPr="00B23D9C">
        <w:lastRenderedPageBreak/>
        <w:t>I. Introduction</w:t>
      </w:r>
    </w:p>
    <w:p w:rsidR="00B23D9C" w:rsidRPr="00B23D9C" w:rsidRDefault="00B23D9C" w:rsidP="00B23D9C">
      <w:r w:rsidRPr="00B23D9C">
        <w:t>The meeting of the ICAO NSP Spectrum Working Group (SWG) was held at ICAO Headquarters, Montreal from 6</w:t>
      </w:r>
      <w:r w:rsidRPr="00B23D9C">
        <w:rPr>
          <w:vertAlign w:val="superscript"/>
        </w:rPr>
        <w:t>th</w:t>
      </w:r>
      <w:r w:rsidRPr="00B23D9C">
        <w:t xml:space="preserve"> to 9</w:t>
      </w:r>
      <w:r w:rsidRPr="00B23D9C">
        <w:rPr>
          <w:vertAlign w:val="superscript"/>
        </w:rPr>
        <w:t>th</w:t>
      </w:r>
      <w:r w:rsidRPr="00B23D9C">
        <w:t xml:space="preserve"> June 2016. Mr. Felix Butsch, the rapporteur of the SWG, chaired the meeting. </w:t>
      </w:r>
    </w:p>
    <w:p w:rsidR="00B23D9C" w:rsidRPr="00B23D9C" w:rsidRDefault="00B23D9C" w:rsidP="00B23D9C"/>
    <w:p w:rsidR="00B23D9C" w:rsidRPr="00B23D9C" w:rsidRDefault="00B23D9C" w:rsidP="00B23D9C">
      <w:r w:rsidRPr="00B23D9C">
        <w:t>Attachment A contains a list of action items and actionees. Attachment B provides a list of participants. The following table contains an overview of agenda items with corresponding working and infor</w:t>
      </w:r>
      <w:r w:rsidRPr="00B23D9C">
        <w:softHyphen/>
        <w:t>mation papers, which were discussed by the Spectrum Working Group:</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670"/>
        <w:gridCol w:w="2127"/>
      </w:tblGrid>
      <w:tr w:rsidR="00B23D9C" w:rsidRPr="00B23D9C" w:rsidTr="008A3B9F">
        <w:tc>
          <w:tcPr>
            <w:tcW w:w="1134" w:type="dxa"/>
          </w:tcPr>
          <w:p w:rsidR="00B23D9C" w:rsidRPr="00B23D9C" w:rsidRDefault="00B23D9C" w:rsidP="008A3B9F">
            <w:pPr>
              <w:rPr>
                <w:b/>
                <w:bCs/>
                <w:sz w:val="20"/>
              </w:rPr>
            </w:pPr>
            <w:r w:rsidRPr="00B23D9C">
              <w:rPr>
                <w:b/>
                <w:bCs/>
                <w:sz w:val="20"/>
              </w:rPr>
              <w:t xml:space="preserve">WP/IP No. </w:t>
            </w:r>
          </w:p>
        </w:tc>
        <w:tc>
          <w:tcPr>
            <w:tcW w:w="5670" w:type="dxa"/>
          </w:tcPr>
          <w:p w:rsidR="00B23D9C" w:rsidRPr="00B23D9C" w:rsidRDefault="00B23D9C" w:rsidP="008A3B9F">
            <w:pPr>
              <w:rPr>
                <w:b/>
                <w:bCs/>
                <w:sz w:val="20"/>
              </w:rPr>
            </w:pPr>
            <w:r w:rsidRPr="00B23D9C">
              <w:rPr>
                <w:b/>
                <w:bCs/>
                <w:sz w:val="20"/>
              </w:rPr>
              <w:t xml:space="preserve">Title </w:t>
            </w:r>
          </w:p>
        </w:tc>
        <w:tc>
          <w:tcPr>
            <w:tcW w:w="2127" w:type="dxa"/>
          </w:tcPr>
          <w:p w:rsidR="00B23D9C" w:rsidRPr="00B23D9C" w:rsidRDefault="00B23D9C" w:rsidP="00765548">
            <w:pPr>
              <w:jc w:val="left"/>
              <w:rPr>
                <w:b/>
                <w:bCs/>
                <w:sz w:val="20"/>
              </w:rPr>
            </w:pPr>
            <w:r w:rsidRPr="00B23D9C">
              <w:rPr>
                <w:b/>
                <w:bCs/>
                <w:sz w:val="20"/>
              </w:rPr>
              <w:t>Presented to NSP by (Presented to SWG by)</w:t>
            </w:r>
          </w:p>
        </w:tc>
      </w:tr>
      <w:tr w:rsidR="00B23D9C" w:rsidRPr="00B23D9C" w:rsidTr="008A3B9F">
        <w:tc>
          <w:tcPr>
            <w:tcW w:w="8931" w:type="dxa"/>
            <w:gridSpan w:val="3"/>
          </w:tcPr>
          <w:p w:rsidR="00B23D9C" w:rsidRPr="00B23D9C" w:rsidRDefault="00B23D9C" w:rsidP="008A3B9F">
            <w:pPr>
              <w:rPr>
                <w:b/>
              </w:rPr>
            </w:pPr>
            <w:r w:rsidRPr="00B23D9C">
              <w:rPr>
                <w:b/>
                <w:highlight w:val="green"/>
              </w:rPr>
              <w:t>Agenda Item 6a): Signal and compatibility issues in the in the band 108 to 117.975 MHz</w:t>
            </w:r>
          </w:p>
        </w:tc>
      </w:tr>
      <w:tr w:rsidR="00B23D9C" w:rsidRPr="00B23D9C" w:rsidTr="008A3B9F">
        <w:tc>
          <w:tcPr>
            <w:tcW w:w="8931" w:type="dxa"/>
            <w:gridSpan w:val="3"/>
          </w:tcPr>
          <w:p w:rsidR="00B23D9C" w:rsidRPr="00B23D9C" w:rsidRDefault="00B23D9C" w:rsidP="008A3B9F">
            <w:pPr>
              <w:rPr>
                <w:b/>
                <w:highlight w:val="green"/>
              </w:rPr>
            </w:pPr>
            <w:r w:rsidRPr="00B23D9C">
              <w:rPr>
                <w:i/>
                <w:sz w:val="20"/>
              </w:rPr>
              <w:t>Note: WP18, WP13 and IP06 have been discussed in the SWG with participation of additional GBAS experts via teleconference.</w:t>
            </w:r>
          </w:p>
        </w:tc>
      </w:tr>
      <w:tr w:rsidR="00B23D9C" w:rsidRPr="00B23D9C" w:rsidTr="008A3B9F">
        <w:tc>
          <w:tcPr>
            <w:tcW w:w="1134" w:type="dxa"/>
          </w:tcPr>
          <w:p w:rsidR="00B23D9C" w:rsidRPr="00B23D9C" w:rsidRDefault="00B23D9C" w:rsidP="008A3B9F">
            <w:pPr>
              <w:rPr>
                <w:sz w:val="20"/>
              </w:rPr>
            </w:pPr>
            <w:r w:rsidRPr="00B23D9C">
              <w:rPr>
                <w:sz w:val="20"/>
              </w:rPr>
              <w:t>WP18</w:t>
            </w:r>
          </w:p>
        </w:tc>
        <w:tc>
          <w:tcPr>
            <w:tcW w:w="5670" w:type="dxa"/>
          </w:tcPr>
          <w:p w:rsidR="00B23D9C" w:rsidRPr="00B23D9C" w:rsidRDefault="00B23D9C" w:rsidP="008A3B9F">
            <w:pPr>
              <w:rPr>
                <w:sz w:val="20"/>
              </w:rPr>
            </w:pPr>
            <w:r w:rsidRPr="00B23D9C">
              <w:rPr>
                <w:sz w:val="20"/>
              </w:rPr>
              <w:t>New results of GBAS VDB frequency planning exercise conducted by SESAR 15.03.07 project</w:t>
            </w:r>
          </w:p>
        </w:tc>
        <w:tc>
          <w:tcPr>
            <w:tcW w:w="2127" w:type="dxa"/>
          </w:tcPr>
          <w:p w:rsidR="00B23D9C" w:rsidRPr="00B23D9C" w:rsidRDefault="00B23D9C" w:rsidP="008A3B9F">
            <w:pPr>
              <w:rPr>
                <w:sz w:val="20"/>
              </w:rPr>
            </w:pPr>
            <w:r w:rsidRPr="00B23D9C">
              <w:rPr>
                <w:sz w:val="20"/>
              </w:rPr>
              <w:t>Francisco Salabert</w:t>
            </w:r>
          </w:p>
          <w:p w:rsidR="00B23D9C" w:rsidRPr="00B23D9C" w:rsidRDefault="00B23D9C" w:rsidP="008A3B9F">
            <w:pPr>
              <w:rPr>
                <w:sz w:val="20"/>
              </w:rPr>
            </w:pPr>
            <w:r w:rsidRPr="00B23D9C">
              <w:rPr>
                <w:sz w:val="20"/>
              </w:rPr>
              <w:t>(Pierre Ladoux)</w:t>
            </w:r>
          </w:p>
        </w:tc>
      </w:tr>
      <w:tr w:rsidR="00B23D9C" w:rsidRPr="00B23D9C" w:rsidTr="008A3B9F">
        <w:tc>
          <w:tcPr>
            <w:tcW w:w="1134" w:type="dxa"/>
          </w:tcPr>
          <w:p w:rsidR="00B23D9C" w:rsidRPr="00B23D9C" w:rsidRDefault="00B23D9C" w:rsidP="008A3B9F">
            <w:pPr>
              <w:rPr>
                <w:sz w:val="20"/>
              </w:rPr>
            </w:pPr>
            <w:r w:rsidRPr="00B23D9C">
              <w:rPr>
                <w:sz w:val="20"/>
              </w:rPr>
              <w:t>WP13</w:t>
            </w:r>
          </w:p>
        </w:tc>
        <w:tc>
          <w:tcPr>
            <w:tcW w:w="5670" w:type="dxa"/>
          </w:tcPr>
          <w:p w:rsidR="00B23D9C" w:rsidRPr="00B23D9C" w:rsidRDefault="00B23D9C" w:rsidP="008A3B9F">
            <w:pPr>
              <w:rPr>
                <w:sz w:val="20"/>
              </w:rPr>
            </w:pPr>
            <w:r w:rsidRPr="00B23D9C">
              <w:rPr>
                <w:sz w:val="20"/>
              </w:rPr>
              <w:t>VDB Adjacent Channel Requirements</w:t>
            </w:r>
          </w:p>
        </w:tc>
        <w:tc>
          <w:tcPr>
            <w:tcW w:w="2127" w:type="dxa"/>
          </w:tcPr>
          <w:p w:rsidR="00B23D9C" w:rsidRPr="00B23D9C" w:rsidRDefault="00B23D9C" w:rsidP="008A3B9F">
            <w:pPr>
              <w:rPr>
                <w:sz w:val="20"/>
              </w:rPr>
            </w:pPr>
            <w:r w:rsidRPr="00B23D9C">
              <w:rPr>
                <w:sz w:val="20"/>
              </w:rPr>
              <w:t>Tim Murphy</w:t>
            </w:r>
          </w:p>
          <w:p w:rsidR="00B23D9C" w:rsidRPr="00B23D9C" w:rsidRDefault="00B23D9C" w:rsidP="008A3B9F">
            <w:pPr>
              <w:rPr>
                <w:sz w:val="20"/>
              </w:rPr>
            </w:pPr>
            <w:r w:rsidRPr="00B23D9C">
              <w:rPr>
                <w:sz w:val="20"/>
              </w:rPr>
              <w:t>(Daniel Domey)</w:t>
            </w:r>
          </w:p>
        </w:tc>
      </w:tr>
      <w:tr w:rsidR="00B23D9C" w:rsidRPr="00B23D9C" w:rsidTr="008A3B9F">
        <w:tc>
          <w:tcPr>
            <w:tcW w:w="1134" w:type="dxa"/>
          </w:tcPr>
          <w:p w:rsidR="00B23D9C" w:rsidRPr="00B23D9C" w:rsidRDefault="00B23D9C" w:rsidP="008A3B9F">
            <w:pPr>
              <w:rPr>
                <w:sz w:val="20"/>
              </w:rPr>
            </w:pPr>
            <w:r w:rsidRPr="00B23D9C">
              <w:rPr>
                <w:sz w:val="20"/>
              </w:rPr>
              <w:t>IP06</w:t>
            </w:r>
          </w:p>
        </w:tc>
        <w:tc>
          <w:tcPr>
            <w:tcW w:w="5670" w:type="dxa"/>
          </w:tcPr>
          <w:p w:rsidR="00B23D9C" w:rsidRPr="00B23D9C" w:rsidRDefault="00B23D9C" w:rsidP="008A3B9F">
            <w:pPr>
              <w:rPr>
                <w:sz w:val="20"/>
              </w:rPr>
            </w:pPr>
            <w:r w:rsidRPr="00B23D9C">
              <w:rPr>
                <w:sz w:val="20"/>
              </w:rPr>
              <w:t>VDB Adjacent Channel Interference MOPS Requirements &amp;</w:t>
            </w:r>
          </w:p>
          <w:p w:rsidR="00B23D9C" w:rsidRPr="00B23D9C" w:rsidRDefault="00B23D9C" w:rsidP="008A3B9F">
            <w:pPr>
              <w:rPr>
                <w:sz w:val="20"/>
              </w:rPr>
            </w:pPr>
            <w:r w:rsidRPr="00B23D9C">
              <w:rPr>
                <w:sz w:val="20"/>
              </w:rPr>
              <w:t>Tests and Resulting Recommendations for Spectrum Planning</w:t>
            </w:r>
          </w:p>
        </w:tc>
        <w:tc>
          <w:tcPr>
            <w:tcW w:w="2127" w:type="dxa"/>
          </w:tcPr>
          <w:p w:rsidR="00B23D9C" w:rsidRPr="00B23D9C" w:rsidRDefault="00B23D9C" w:rsidP="008A3B9F">
            <w:pPr>
              <w:rPr>
                <w:sz w:val="20"/>
              </w:rPr>
            </w:pPr>
            <w:r w:rsidRPr="00B23D9C">
              <w:rPr>
                <w:sz w:val="20"/>
              </w:rPr>
              <w:t>Tim Murphy</w:t>
            </w:r>
          </w:p>
          <w:p w:rsidR="00B23D9C" w:rsidRPr="00B23D9C" w:rsidRDefault="00B23D9C" w:rsidP="008A3B9F">
            <w:pPr>
              <w:rPr>
                <w:sz w:val="20"/>
              </w:rPr>
            </w:pPr>
            <w:r w:rsidRPr="00B23D9C">
              <w:rPr>
                <w:sz w:val="20"/>
              </w:rPr>
              <w:t>(Joel Wichgers)</w:t>
            </w:r>
          </w:p>
        </w:tc>
      </w:tr>
      <w:tr w:rsidR="00B23D9C" w:rsidRPr="00B23D9C" w:rsidTr="008A3B9F">
        <w:tc>
          <w:tcPr>
            <w:tcW w:w="1134" w:type="dxa"/>
          </w:tcPr>
          <w:p w:rsidR="00B23D9C" w:rsidRPr="00B23D9C" w:rsidRDefault="00B23D9C" w:rsidP="008A3B9F">
            <w:pPr>
              <w:rPr>
                <w:sz w:val="20"/>
              </w:rPr>
            </w:pPr>
            <w:r w:rsidRPr="00B23D9C">
              <w:rPr>
                <w:sz w:val="20"/>
              </w:rPr>
              <w:t>IP24</w:t>
            </w:r>
          </w:p>
        </w:tc>
        <w:tc>
          <w:tcPr>
            <w:tcW w:w="5670" w:type="dxa"/>
          </w:tcPr>
          <w:p w:rsidR="00B23D9C" w:rsidRPr="00B23D9C" w:rsidRDefault="00B23D9C" w:rsidP="008A3B9F">
            <w:pPr>
              <w:rPr>
                <w:sz w:val="20"/>
              </w:rPr>
            </w:pPr>
            <w:r w:rsidRPr="00B23D9C">
              <w:rPr>
                <w:sz w:val="20"/>
              </w:rPr>
              <w:t>Shortcomings of ITU-R Recommendation SM.1009-1</w:t>
            </w:r>
          </w:p>
        </w:tc>
        <w:tc>
          <w:tcPr>
            <w:tcW w:w="2127" w:type="dxa"/>
          </w:tcPr>
          <w:p w:rsidR="00B23D9C" w:rsidRPr="00B23D9C" w:rsidRDefault="00B23D9C" w:rsidP="008A3B9F">
            <w:pPr>
              <w:rPr>
                <w:sz w:val="20"/>
              </w:rPr>
            </w:pPr>
            <w:r w:rsidRPr="00B23D9C">
              <w:rPr>
                <w:sz w:val="20"/>
              </w:rPr>
              <w:t>SWG-rapporteur</w:t>
            </w:r>
          </w:p>
        </w:tc>
      </w:tr>
      <w:tr w:rsidR="00B23D9C" w:rsidRPr="00B23D9C" w:rsidTr="008A3B9F">
        <w:trPr>
          <w:cantSplit/>
        </w:trPr>
        <w:tc>
          <w:tcPr>
            <w:tcW w:w="8931" w:type="dxa"/>
            <w:gridSpan w:val="3"/>
          </w:tcPr>
          <w:p w:rsidR="00B23D9C" w:rsidRPr="00B23D9C" w:rsidRDefault="00B23D9C" w:rsidP="008A3B9F">
            <w:pPr>
              <w:rPr>
                <w:sz w:val="20"/>
              </w:rPr>
            </w:pPr>
          </w:p>
        </w:tc>
      </w:tr>
      <w:tr w:rsidR="00B23D9C" w:rsidRPr="00B23D9C" w:rsidTr="008A3B9F">
        <w:tc>
          <w:tcPr>
            <w:tcW w:w="8931" w:type="dxa"/>
            <w:gridSpan w:val="3"/>
          </w:tcPr>
          <w:p w:rsidR="00B23D9C" w:rsidRPr="00B23D9C" w:rsidRDefault="00B23D9C" w:rsidP="008A3B9F">
            <w:pPr>
              <w:rPr>
                <w:sz w:val="20"/>
              </w:rPr>
            </w:pPr>
            <w:r w:rsidRPr="00B23D9C">
              <w:rPr>
                <w:b/>
                <w:highlight w:val="green"/>
              </w:rPr>
              <w:t>Agenda Item 6b): Signal and compatibility issues in the band 960 to 1215 MHz</w:t>
            </w:r>
          </w:p>
        </w:tc>
      </w:tr>
      <w:tr w:rsidR="00B23D9C" w:rsidRPr="00B23D9C" w:rsidTr="008A3B9F">
        <w:tc>
          <w:tcPr>
            <w:tcW w:w="1134" w:type="dxa"/>
          </w:tcPr>
          <w:p w:rsidR="00B23D9C" w:rsidRPr="00B23D9C" w:rsidRDefault="00B23D9C" w:rsidP="008A3B9F">
            <w:pPr>
              <w:rPr>
                <w:sz w:val="20"/>
              </w:rPr>
            </w:pPr>
            <w:r w:rsidRPr="00B23D9C">
              <w:rPr>
                <w:sz w:val="20"/>
              </w:rPr>
              <w:t>IP12</w:t>
            </w:r>
          </w:p>
        </w:tc>
        <w:tc>
          <w:tcPr>
            <w:tcW w:w="5670" w:type="dxa"/>
          </w:tcPr>
          <w:p w:rsidR="00B23D9C" w:rsidRPr="00B23D9C" w:rsidRDefault="00B23D9C" w:rsidP="008A3B9F">
            <w:pPr>
              <w:rPr>
                <w:sz w:val="20"/>
              </w:rPr>
            </w:pPr>
            <w:r w:rsidRPr="00B23D9C">
              <w:rPr>
                <w:sz w:val="20"/>
              </w:rPr>
              <w:t>A-PNT Status in Europe</w:t>
            </w:r>
          </w:p>
        </w:tc>
        <w:tc>
          <w:tcPr>
            <w:tcW w:w="2127" w:type="dxa"/>
          </w:tcPr>
          <w:p w:rsidR="00B23D9C" w:rsidRPr="00B23D9C" w:rsidRDefault="00B23D9C" w:rsidP="008A3B9F">
            <w:pPr>
              <w:rPr>
                <w:sz w:val="20"/>
              </w:rPr>
            </w:pPr>
            <w:r w:rsidRPr="00B23D9C">
              <w:rPr>
                <w:sz w:val="20"/>
              </w:rPr>
              <w:t>Francisco Salabert</w:t>
            </w:r>
          </w:p>
          <w:p w:rsidR="00B23D9C" w:rsidRPr="00B23D9C" w:rsidRDefault="00B23D9C" w:rsidP="008A3B9F">
            <w:pPr>
              <w:rPr>
                <w:sz w:val="20"/>
              </w:rPr>
            </w:pPr>
            <w:r w:rsidRPr="00B23D9C">
              <w:rPr>
                <w:sz w:val="20"/>
              </w:rPr>
              <w:t>(Gerhard Berz)</w:t>
            </w:r>
          </w:p>
        </w:tc>
      </w:tr>
      <w:tr w:rsidR="00B23D9C" w:rsidRPr="00B23D9C" w:rsidTr="008A3B9F">
        <w:trPr>
          <w:cantSplit/>
        </w:trPr>
        <w:tc>
          <w:tcPr>
            <w:tcW w:w="8931" w:type="dxa"/>
            <w:gridSpan w:val="3"/>
          </w:tcPr>
          <w:p w:rsidR="00B23D9C" w:rsidRPr="00B23D9C" w:rsidRDefault="00B23D9C" w:rsidP="008A3B9F">
            <w:pPr>
              <w:rPr>
                <w:sz w:val="20"/>
              </w:rPr>
            </w:pPr>
          </w:p>
        </w:tc>
      </w:tr>
      <w:tr w:rsidR="00B23D9C" w:rsidRPr="00B23D9C" w:rsidTr="008A3B9F">
        <w:tc>
          <w:tcPr>
            <w:tcW w:w="8931" w:type="dxa"/>
            <w:gridSpan w:val="3"/>
          </w:tcPr>
          <w:p w:rsidR="00B23D9C" w:rsidRPr="00B23D9C" w:rsidRDefault="00B23D9C" w:rsidP="008A3B9F">
            <w:pPr>
              <w:rPr>
                <w:sz w:val="20"/>
              </w:rPr>
            </w:pPr>
            <w:r w:rsidRPr="00B23D9C">
              <w:rPr>
                <w:b/>
                <w:highlight w:val="green"/>
              </w:rPr>
              <w:t>Agenda Item 6c): Signal and compatibility issues in the band 5000 to 5150 MHz</w:t>
            </w:r>
          </w:p>
        </w:tc>
      </w:tr>
      <w:tr w:rsidR="00B23D9C" w:rsidRPr="00B23D9C" w:rsidTr="008A3B9F">
        <w:tc>
          <w:tcPr>
            <w:tcW w:w="1134" w:type="dxa"/>
          </w:tcPr>
          <w:p w:rsidR="00B23D9C" w:rsidRPr="00B23D9C" w:rsidRDefault="00B23D9C" w:rsidP="008A3B9F">
            <w:pPr>
              <w:rPr>
                <w:sz w:val="20"/>
                <w:highlight w:val="yellow"/>
              </w:rPr>
            </w:pPr>
          </w:p>
        </w:tc>
        <w:tc>
          <w:tcPr>
            <w:tcW w:w="5670" w:type="dxa"/>
          </w:tcPr>
          <w:p w:rsidR="00B23D9C" w:rsidRPr="00B23D9C" w:rsidRDefault="00B23D9C" w:rsidP="008A3B9F">
            <w:pPr>
              <w:rPr>
                <w:sz w:val="20"/>
                <w:highlight w:val="yellow"/>
              </w:rPr>
            </w:pPr>
            <w:r w:rsidRPr="00B23D9C">
              <w:rPr>
                <w:i/>
                <w:iCs/>
                <w:sz w:val="20"/>
              </w:rPr>
              <w:t>Note: No papers have been presented under this agenda item.</w:t>
            </w:r>
          </w:p>
        </w:tc>
        <w:tc>
          <w:tcPr>
            <w:tcW w:w="2127" w:type="dxa"/>
          </w:tcPr>
          <w:p w:rsidR="00B23D9C" w:rsidRPr="00B23D9C" w:rsidRDefault="00B23D9C" w:rsidP="008A3B9F">
            <w:pPr>
              <w:rPr>
                <w:sz w:val="20"/>
                <w:highlight w:val="yellow"/>
              </w:rPr>
            </w:pPr>
          </w:p>
        </w:tc>
      </w:tr>
      <w:tr w:rsidR="00B23D9C" w:rsidRPr="00B23D9C" w:rsidTr="008A3B9F">
        <w:trPr>
          <w:cantSplit/>
        </w:trPr>
        <w:tc>
          <w:tcPr>
            <w:tcW w:w="8931" w:type="dxa"/>
            <w:gridSpan w:val="3"/>
          </w:tcPr>
          <w:p w:rsidR="00B23D9C" w:rsidRPr="00B23D9C" w:rsidRDefault="00B23D9C" w:rsidP="008A3B9F">
            <w:pPr>
              <w:rPr>
                <w:b/>
                <w:bCs/>
                <w:sz w:val="20"/>
              </w:rPr>
            </w:pPr>
          </w:p>
          <w:p w:rsidR="00B23D9C" w:rsidRPr="00B23D9C" w:rsidRDefault="00B23D9C" w:rsidP="008A3B9F">
            <w:pPr>
              <w:rPr>
                <w:b/>
                <w:bCs/>
                <w:sz w:val="20"/>
              </w:rPr>
            </w:pPr>
          </w:p>
        </w:tc>
      </w:tr>
      <w:tr w:rsidR="00B23D9C" w:rsidRPr="00B23D9C" w:rsidTr="008A3B9F">
        <w:tc>
          <w:tcPr>
            <w:tcW w:w="8931" w:type="dxa"/>
            <w:gridSpan w:val="3"/>
          </w:tcPr>
          <w:p w:rsidR="00B23D9C" w:rsidRPr="00B23D9C" w:rsidRDefault="00B23D9C" w:rsidP="008A3B9F">
            <w:pPr>
              <w:rPr>
                <w:sz w:val="20"/>
              </w:rPr>
            </w:pPr>
            <w:r w:rsidRPr="00B23D9C">
              <w:rPr>
                <w:b/>
                <w:highlight w:val="green"/>
              </w:rPr>
              <w:t>Agenda Item 6d): GNSS signal and interference issues</w:t>
            </w:r>
          </w:p>
        </w:tc>
      </w:tr>
      <w:tr w:rsidR="00B23D9C" w:rsidRPr="00B23D9C" w:rsidTr="008A3B9F">
        <w:tc>
          <w:tcPr>
            <w:tcW w:w="8931" w:type="dxa"/>
            <w:gridSpan w:val="3"/>
          </w:tcPr>
          <w:p w:rsidR="00B23D9C" w:rsidRPr="00B23D9C" w:rsidRDefault="00B23D9C" w:rsidP="008A3B9F">
            <w:pPr>
              <w:rPr>
                <w:b/>
                <w:highlight w:val="green"/>
              </w:rPr>
            </w:pPr>
            <w:r w:rsidRPr="00B23D9C">
              <w:rPr>
                <w:i/>
                <w:sz w:val="20"/>
              </w:rPr>
              <w:t>Note: The working and information papers covered by this agenda item were discussed by a joint meeting of GSWG, NOWG and SWG.</w:t>
            </w:r>
          </w:p>
        </w:tc>
      </w:tr>
      <w:tr w:rsidR="00B23D9C" w:rsidRPr="00B23D9C" w:rsidTr="008A3B9F">
        <w:tc>
          <w:tcPr>
            <w:tcW w:w="1134" w:type="dxa"/>
          </w:tcPr>
          <w:p w:rsidR="00B23D9C" w:rsidRPr="00B23D9C" w:rsidRDefault="00B23D9C" w:rsidP="008A3B9F">
            <w:pPr>
              <w:rPr>
                <w:sz w:val="20"/>
              </w:rPr>
            </w:pPr>
            <w:r w:rsidRPr="00B23D9C">
              <w:rPr>
                <w:sz w:val="20"/>
              </w:rPr>
              <w:t>WP19</w:t>
            </w:r>
          </w:p>
        </w:tc>
        <w:tc>
          <w:tcPr>
            <w:tcW w:w="5670" w:type="dxa"/>
          </w:tcPr>
          <w:p w:rsidR="00B23D9C" w:rsidRPr="00B23D9C" w:rsidRDefault="00B23D9C" w:rsidP="008A3B9F">
            <w:pPr>
              <w:rPr>
                <w:sz w:val="20"/>
              </w:rPr>
            </w:pPr>
            <w:r w:rsidRPr="00B23D9C">
              <w:rPr>
                <w:sz w:val="20"/>
              </w:rPr>
              <w:t>Harmful Interference to Global Navigation Satellite System (GNSS) and its impact on Flight and Air Traffic Management operations</w:t>
            </w:r>
          </w:p>
        </w:tc>
        <w:tc>
          <w:tcPr>
            <w:tcW w:w="2127" w:type="dxa"/>
          </w:tcPr>
          <w:p w:rsidR="00B23D9C" w:rsidRPr="00B23D9C" w:rsidRDefault="00B23D9C" w:rsidP="008A3B9F">
            <w:pPr>
              <w:rPr>
                <w:sz w:val="20"/>
              </w:rPr>
            </w:pPr>
            <w:r w:rsidRPr="00B23D9C">
              <w:rPr>
                <w:sz w:val="20"/>
              </w:rPr>
              <w:t>Noppadol Pringvanich</w:t>
            </w:r>
          </w:p>
          <w:p w:rsidR="00B23D9C" w:rsidRPr="00B23D9C" w:rsidRDefault="00B23D9C" w:rsidP="008A3B9F">
            <w:pPr>
              <w:rPr>
                <w:sz w:val="20"/>
              </w:rPr>
            </w:pPr>
            <w:r w:rsidRPr="00B23D9C">
              <w:rPr>
                <w:sz w:val="20"/>
              </w:rPr>
              <w:t>(Noppadol Pringvanich)</w:t>
            </w:r>
          </w:p>
        </w:tc>
      </w:tr>
      <w:tr w:rsidR="00B23D9C" w:rsidRPr="00B23D9C" w:rsidTr="008A3B9F">
        <w:tc>
          <w:tcPr>
            <w:tcW w:w="1134" w:type="dxa"/>
          </w:tcPr>
          <w:p w:rsidR="00B23D9C" w:rsidRPr="00B23D9C" w:rsidRDefault="00B23D9C" w:rsidP="008A3B9F">
            <w:pPr>
              <w:rPr>
                <w:sz w:val="20"/>
              </w:rPr>
            </w:pPr>
            <w:r w:rsidRPr="00B23D9C">
              <w:rPr>
                <w:sz w:val="20"/>
              </w:rPr>
              <w:t>WP36, rev.1</w:t>
            </w:r>
          </w:p>
        </w:tc>
        <w:tc>
          <w:tcPr>
            <w:tcW w:w="5670" w:type="dxa"/>
          </w:tcPr>
          <w:p w:rsidR="00B23D9C" w:rsidRPr="00B23D9C" w:rsidRDefault="00B23D9C" w:rsidP="008A3B9F">
            <w:pPr>
              <w:rPr>
                <w:sz w:val="20"/>
              </w:rPr>
            </w:pPr>
            <w:r w:rsidRPr="00B23D9C">
              <w:rPr>
                <w:sz w:val="20"/>
              </w:rPr>
              <w:t>Insertion of RFI Mitigation Plan into GNSS Manual</w:t>
            </w:r>
          </w:p>
        </w:tc>
        <w:tc>
          <w:tcPr>
            <w:tcW w:w="2127" w:type="dxa"/>
          </w:tcPr>
          <w:p w:rsidR="00B23D9C" w:rsidRPr="00B23D9C" w:rsidRDefault="00B23D9C" w:rsidP="008A3B9F">
            <w:pPr>
              <w:rPr>
                <w:sz w:val="20"/>
              </w:rPr>
            </w:pPr>
            <w:r w:rsidRPr="00B23D9C">
              <w:rPr>
                <w:sz w:val="20"/>
              </w:rPr>
              <w:t>Francisco Salabert</w:t>
            </w:r>
          </w:p>
          <w:p w:rsidR="00B23D9C" w:rsidRPr="00B23D9C" w:rsidRDefault="00B23D9C" w:rsidP="008A3B9F">
            <w:pPr>
              <w:rPr>
                <w:sz w:val="20"/>
              </w:rPr>
            </w:pPr>
            <w:r w:rsidRPr="00B23D9C">
              <w:rPr>
                <w:sz w:val="20"/>
              </w:rPr>
              <w:t>(Gerhard Berz)</w:t>
            </w:r>
          </w:p>
        </w:tc>
      </w:tr>
      <w:tr w:rsidR="00B23D9C" w:rsidRPr="00B23D9C" w:rsidTr="008A3B9F">
        <w:tc>
          <w:tcPr>
            <w:tcW w:w="1134" w:type="dxa"/>
          </w:tcPr>
          <w:p w:rsidR="00B23D9C" w:rsidRPr="00B23D9C" w:rsidRDefault="00B23D9C" w:rsidP="008A3B9F">
            <w:pPr>
              <w:rPr>
                <w:sz w:val="20"/>
              </w:rPr>
            </w:pPr>
            <w:r w:rsidRPr="00B23D9C">
              <w:rPr>
                <w:sz w:val="20"/>
              </w:rPr>
              <w:t>WP37,</w:t>
            </w:r>
          </w:p>
          <w:p w:rsidR="00B23D9C" w:rsidRPr="00B23D9C" w:rsidRDefault="00B23D9C" w:rsidP="008A3B9F">
            <w:pPr>
              <w:rPr>
                <w:sz w:val="20"/>
              </w:rPr>
            </w:pPr>
            <w:r w:rsidRPr="00B23D9C">
              <w:rPr>
                <w:sz w:val="20"/>
              </w:rPr>
              <w:t>rev.1</w:t>
            </w:r>
          </w:p>
        </w:tc>
        <w:tc>
          <w:tcPr>
            <w:tcW w:w="5670" w:type="dxa"/>
          </w:tcPr>
          <w:p w:rsidR="00B23D9C" w:rsidRPr="00B23D9C" w:rsidRDefault="00B23D9C" w:rsidP="008A3B9F">
            <w:pPr>
              <w:rPr>
                <w:sz w:val="20"/>
              </w:rPr>
            </w:pPr>
            <w:r w:rsidRPr="00B23D9C">
              <w:rPr>
                <w:sz w:val="20"/>
              </w:rPr>
              <w:t>ABAS receiver protection criteria</w:t>
            </w:r>
          </w:p>
        </w:tc>
        <w:tc>
          <w:tcPr>
            <w:tcW w:w="2127" w:type="dxa"/>
          </w:tcPr>
          <w:p w:rsidR="00B23D9C" w:rsidRPr="00B23D9C" w:rsidRDefault="00B23D9C" w:rsidP="008A3B9F">
            <w:pPr>
              <w:rPr>
                <w:sz w:val="20"/>
              </w:rPr>
            </w:pPr>
            <w:r w:rsidRPr="00B23D9C">
              <w:rPr>
                <w:sz w:val="20"/>
              </w:rPr>
              <w:t>Francisco Salabert</w:t>
            </w:r>
          </w:p>
          <w:p w:rsidR="00B23D9C" w:rsidRPr="00B23D9C" w:rsidRDefault="00B23D9C" w:rsidP="008A3B9F">
            <w:pPr>
              <w:rPr>
                <w:sz w:val="20"/>
              </w:rPr>
            </w:pPr>
            <w:r w:rsidRPr="00B23D9C">
              <w:rPr>
                <w:sz w:val="20"/>
              </w:rPr>
              <w:t>(Gerhard Berz)</w:t>
            </w:r>
          </w:p>
        </w:tc>
      </w:tr>
      <w:tr w:rsidR="00B23D9C" w:rsidRPr="00B23D9C" w:rsidTr="008A3B9F">
        <w:trPr>
          <w:trHeight w:val="427"/>
        </w:trPr>
        <w:tc>
          <w:tcPr>
            <w:tcW w:w="1134" w:type="dxa"/>
          </w:tcPr>
          <w:p w:rsidR="00B23D9C" w:rsidRPr="00B23D9C" w:rsidRDefault="00B23D9C" w:rsidP="008A3B9F">
            <w:pPr>
              <w:rPr>
                <w:sz w:val="20"/>
              </w:rPr>
            </w:pPr>
            <w:r w:rsidRPr="00B23D9C">
              <w:rPr>
                <w:sz w:val="20"/>
              </w:rPr>
              <w:t>IP25</w:t>
            </w:r>
          </w:p>
        </w:tc>
        <w:tc>
          <w:tcPr>
            <w:tcW w:w="5670" w:type="dxa"/>
          </w:tcPr>
          <w:p w:rsidR="00B23D9C" w:rsidRPr="00B23D9C" w:rsidRDefault="00B23D9C" w:rsidP="008A3B9F">
            <w:pPr>
              <w:rPr>
                <w:sz w:val="20"/>
              </w:rPr>
            </w:pPr>
            <w:r w:rsidRPr="00B23D9C">
              <w:rPr>
                <w:sz w:val="20"/>
              </w:rPr>
              <w:t>Resiliency Considerations for use of GPS UTC Offset (UTCO) Information</w:t>
            </w:r>
          </w:p>
        </w:tc>
        <w:tc>
          <w:tcPr>
            <w:tcW w:w="2127" w:type="dxa"/>
          </w:tcPr>
          <w:p w:rsidR="00B23D9C" w:rsidRPr="00B23D9C" w:rsidRDefault="00B23D9C" w:rsidP="008A3B9F">
            <w:pPr>
              <w:rPr>
                <w:sz w:val="20"/>
              </w:rPr>
            </w:pPr>
            <w:r w:rsidRPr="00B23D9C">
              <w:rPr>
                <w:sz w:val="20"/>
              </w:rPr>
              <w:t>Ken Alexander</w:t>
            </w:r>
          </w:p>
          <w:p w:rsidR="00B23D9C" w:rsidRPr="00B23D9C" w:rsidRDefault="00B23D9C" w:rsidP="008A3B9F">
            <w:pPr>
              <w:rPr>
                <w:sz w:val="20"/>
              </w:rPr>
            </w:pPr>
            <w:r w:rsidRPr="00B23D9C">
              <w:rPr>
                <w:sz w:val="20"/>
              </w:rPr>
              <w:t>(David Besson)</w:t>
            </w:r>
          </w:p>
        </w:tc>
      </w:tr>
      <w:tr w:rsidR="00B23D9C" w:rsidRPr="00B23D9C" w:rsidTr="008A3B9F">
        <w:trPr>
          <w:cantSplit/>
        </w:trPr>
        <w:tc>
          <w:tcPr>
            <w:tcW w:w="8931" w:type="dxa"/>
            <w:gridSpan w:val="3"/>
          </w:tcPr>
          <w:p w:rsidR="00B23D9C" w:rsidRPr="00B23D9C" w:rsidRDefault="00B23D9C" w:rsidP="008A3B9F">
            <w:pPr>
              <w:rPr>
                <w:sz w:val="20"/>
              </w:rPr>
            </w:pPr>
          </w:p>
        </w:tc>
      </w:tr>
      <w:tr w:rsidR="00B23D9C" w:rsidRPr="00B23D9C" w:rsidTr="008A3B9F">
        <w:tc>
          <w:tcPr>
            <w:tcW w:w="8931" w:type="dxa"/>
            <w:gridSpan w:val="3"/>
          </w:tcPr>
          <w:p w:rsidR="00B23D9C" w:rsidRPr="00B23D9C" w:rsidRDefault="00B23D9C" w:rsidP="008A3B9F">
            <w:pPr>
              <w:rPr>
                <w:sz w:val="20"/>
              </w:rPr>
            </w:pPr>
            <w:r w:rsidRPr="00B23D9C">
              <w:rPr>
                <w:b/>
                <w:highlight w:val="green"/>
              </w:rPr>
              <w:t>Agenda Item 6e): Open actions for the SWG from the ICAO NSP Panel meetings</w:t>
            </w:r>
          </w:p>
        </w:tc>
      </w:tr>
      <w:tr w:rsidR="00B23D9C" w:rsidRPr="00B23D9C" w:rsidTr="008A3B9F">
        <w:tc>
          <w:tcPr>
            <w:tcW w:w="1134" w:type="dxa"/>
          </w:tcPr>
          <w:p w:rsidR="00B23D9C" w:rsidRPr="00B23D9C" w:rsidRDefault="00B23D9C" w:rsidP="008A3B9F">
            <w:pPr>
              <w:rPr>
                <w:sz w:val="20"/>
              </w:rPr>
            </w:pPr>
          </w:p>
        </w:tc>
        <w:tc>
          <w:tcPr>
            <w:tcW w:w="5670" w:type="dxa"/>
          </w:tcPr>
          <w:p w:rsidR="00B23D9C" w:rsidRPr="00B23D9C" w:rsidRDefault="00B23D9C" w:rsidP="008A3B9F">
            <w:pPr>
              <w:rPr>
                <w:sz w:val="20"/>
              </w:rPr>
            </w:pPr>
            <w:r w:rsidRPr="00B23D9C">
              <w:rPr>
                <w:i/>
                <w:iCs/>
                <w:sz w:val="20"/>
              </w:rPr>
              <w:t>Note: No papers have been presented under this agenda item.</w:t>
            </w:r>
          </w:p>
        </w:tc>
        <w:tc>
          <w:tcPr>
            <w:tcW w:w="2127" w:type="dxa"/>
          </w:tcPr>
          <w:p w:rsidR="00B23D9C" w:rsidRPr="00B23D9C" w:rsidRDefault="00B23D9C" w:rsidP="008A3B9F">
            <w:pPr>
              <w:rPr>
                <w:sz w:val="20"/>
              </w:rPr>
            </w:pPr>
          </w:p>
        </w:tc>
      </w:tr>
      <w:tr w:rsidR="00B23D9C" w:rsidRPr="00B23D9C" w:rsidTr="008A3B9F">
        <w:trPr>
          <w:cantSplit/>
        </w:trPr>
        <w:tc>
          <w:tcPr>
            <w:tcW w:w="8931" w:type="dxa"/>
            <w:gridSpan w:val="3"/>
          </w:tcPr>
          <w:p w:rsidR="00B23D9C" w:rsidRPr="00B23D9C" w:rsidRDefault="00B23D9C" w:rsidP="008A3B9F">
            <w:pPr>
              <w:rPr>
                <w:sz w:val="20"/>
              </w:rPr>
            </w:pPr>
          </w:p>
        </w:tc>
      </w:tr>
      <w:tr w:rsidR="00B23D9C" w:rsidRPr="00B23D9C" w:rsidTr="008A3B9F">
        <w:tc>
          <w:tcPr>
            <w:tcW w:w="8931" w:type="dxa"/>
            <w:gridSpan w:val="3"/>
          </w:tcPr>
          <w:p w:rsidR="00B23D9C" w:rsidRPr="00B23D9C" w:rsidRDefault="00B23D9C" w:rsidP="008A3B9F">
            <w:pPr>
              <w:rPr>
                <w:sz w:val="20"/>
              </w:rPr>
            </w:pPr>
            <w:r w:rsidRPr="00B23D9C">
              <w:rPr>
                <w:b/>
                <w:highlight w:val="green"/>
              </w:rPr>
              <w:t>Agenda Item 6f): Spectrum – any other business</w:t>
            </w:r>
          </w:p>
        </w:tc>
      </w:tr>
      <w:tr w:rsidR="00B23D9C" w:rsidRPr="00B23D9C" w:rsidTr="008A3B9F">
        <w:tc>
          <w:tcPr>
            <w:tcW w:w="1134" w:type="dxa"/>
          </w:tcPr>
          <w:p w:rsidR="00B23D9C" w:rsidRPr="00B23D9C" w:rsidRDefault="00B23D9C" w:rsidP="008A3B9F">
            <w:pPr>
              <w:rPr>
                <w:sz w:val="20"/>
              </w:rPr>
            </w:pPr>
          </w:p>
        </w:tc>
        <w:tc>
          <w:tcPr>
            <w:tcW w:w="5670" w:type="dxa"/>
          </w:tcPr>
          <w:p w:rsidR="00B23D9C" w:rsidRPr="00B23D9C" w:rsidRDefault="00B23D9C" w:rsidP="008A3B9F">
            <w:pPr>
              <w:rPr>
                <w:sz w:val="20"/>
              </w:rPr>
            </w:pPr>
            <w:r w:rsidRPr="00B23D9C">
              <w:rPr>
                <w:i/>
                <w:iCs/>
                <w:sz w:val="20"/>
              </w:rPr>
              <w:t>Note: No papers have been presented under this agenda item.</w:t>
            </w:r>
          </w:p>
        </w:tc>
        <w:tc>
          <w:tcPr>
            <w:tcW w:w="2127" w:type="dxa"/>
          </w:tcPr>
          <w:p w:rsidR="00B23D9C" w:rsidRPr="00B23D9C" w:rsidRDefault="00B23D9C" w:rsidP="008A3B9F">
            <w:pPr>
              <w:rPr>
                <w:sz w:val="20"/>
              </w:rPr>
            </w:pPr>
          </w:p>
        </w:tc>
      </w:tr>
    </w:tbl>
    <w:p w:rsidR="00010B27" w:rsidRPr="00010B27" w:rsidRDefault="00010B27" w:rsidP="00010B27"/>
    <w:p w:rsidR="00010B27" w:rsidRPr="00010B27" w:rsidRDefault="00010B27" w:rsidP="00010B27">
      <w:pPr>
        <w:tabs>
          <w:tab w:val="left" w:pos="2396"/>
        </w:tabs>
      </w:pPr>
      <w:r>
        <w:tab/>
      </w:r>
    </w:p>
    <w:p w:rsidR="00010B27" w:rsidRPr="00010B27" w:rsidRDefault="00010B27" w:rsidP="00010B27"/>
    <w:p w:rsidR="00B23D9C" w:rsidRPr="00B23D9C" w:rsidRDefault="00B23D9C" w:rsidP="00B23D9C">
      <w:pPr>
        <w:pStyle w:val="1Heading"/>
        <w:numPr>
          <w:ilvl w:val="0"/>
          <w:numId w:val="0"/>
        </w:numPr>
      </w:pPr>
      <w:r w:rsidRPr="00010B27">
        <w:br w:type="page"/>
      </w:r>
      <w:r w:rsidRPr="00B23D9C">
        <w:lastRenderedPageBreak/>
        <w:t>II. Results of the Discussions</w:t>
      </w:r>
    </w:p>
    <w:p w:rsidR="00B23D9C" w:rsidRPr="00B23D9C" w:rsidRDefault="00010B27" w:rsidP="00010B27">
      <w:pPr>
        <w:tabs>
          <w:tab w:val="left" w:pos="3675"/>
        </w:tabs>
        <w:ind w:left="426" w:hanging="426"/>
      </w:pPr>
      <w:r>
        <w:tab/>
      </w:r>
      <w:r>
        <w:tab/>
      </w:r>
    </w:p>
    <w:p w:rsidR="00B23D9C" w:rsidRPr="00B23D9C" w:rsidRDefault="00B23D9C" w:rsidP="00B23D9C">
      <w:pPr>
        <w:rPr>
          <w:b/>
          <w:highlight w:val="green"/>
        </w:rPr>
      </w:pPr>
      <w:r w:rsidRPr="00B23D9C">
        <w:rPr>
          <w:b/>
          <w:highlight w:val="green"/>
        </w:rPr>
        <w:t>Agenda Item 6a): Signal and compatibility issues in the in the band 108 to 117.975 MHz</w:t>
      </w:r>
    </w:p>
    <w:p w:rsidR="00B23D9C" w:rsidRPr="00B23D9C" w:rsidRDefault="00B23D9C" w:rsidP="00B23D9C">
      <w:pPr>
        <w:rPr>
          <w:b/>
          <w:highlight w:val="green"/>
        </w:rPr>
      </w:pPr>
    </w:p>
    <w:p w:rsidR="00B23D9C" w:rsidRPr="00B23D9C" w:rsidRDefault="00B23D9C" w:rsidP="00B23D9C">
      <w:pPr>
        <w:rPr>
          <w:i/>
        </w:rPr>
      </w:pPr>
      <w:r w:rsidRPr="00B23D9C">
        <w:rPr>
          <w:i/>
        </w:rPr>
        <w:t>Note: GBAS experts participated in the discussion of the GBAS VDB-related papers (WP18, WP13 and IP06) via teleconference (WebEx). These participants are identified as “via tele-conference”-participants in the list of meeting participants contained in Attachment B of this report. The outcome of the discussion of these three papers is covered by paragraphs 6a11) and 6a12).</w:t>
      </w:r>
    </w:p>
    <w:p w:rsidR="00B23D9C" w:rsidRPr="00B23D9C" w:rsidRDefault="00B23D9C" w:rsidP="00B23D9C">
      <w:pPr>
        <w:ind w:left="426" w:hanging="426"/>
      </w:pPr>
    </w:p>
    <w:p w:rsidR="00B23D9C" w:rsidRPr="00B23D9C" w:rsidRDefault="00B23D9C" w:rsidP="00B23D9C">
      <w:r w:rsidRPr="00B23D9C">
        <w:rPr>
          <w:b/>
          <w:highlight w:val="cyan"/>
        </w:rPr>
        <w:t>WP 18 - New results of GBAS VDB frequency planning exercise conducted by SESAR 15.03.07 project</w:t>
      </w:r>
    </w:p>
    <w:p w:rsidR="00B23D9C" w:rsidRPr="00B23D9C" w:rsidRDefault="00B23D9C" w:rsidP="00B23D9C">
      <w:pPr>
        <w:ind w:left="426" w:hanging="426"/>
      </w:pPr>
      <w:r w:rsidRPr="00B23D9C">
        <w:t>6a1) This working paper presents new results of GBAS VDB frequency planning exercises conducted in the frame of the second run of the SESAR 15.03.07 project Task 011. The study tried to consider a fictitious deployment of 916 GBAS stations at European airports. The main findings were:</w:t>
      </w:r>
    </w:p>
    <w:p w:rsidR="00B23D9C" w:rsidRPr="00B23D9C" w:rsidRDefault="00B23D9C" w:rsidP="00B23D9C">
      <w:pPr>
        <w:numPr>
          <w:ilvl w:val="0"/>
          <w:numId w:val="20"/>
        </w:numPr>
        <w:ind w:firstLine="0"/>
      </w:pPr>
      <w:r w:rsidRPr="00B23D9C">
        <w:t xml:space="preserve">Desired-to-Undesired (D/U) criteria up to an unlimited frequency-offset range drastically reduces the “Assignment Success Rate”, even when assuming a fictitious required D/U = </w:t>
      </w:r>
      <w:r w:rsidRPr="00B23D9C">
        <w:noBreakHyphen/>
        <w:t xml:space="preserve">200 dB. </w:t>
      </w:r>
    </w:p>
    <w:p w:rsidR="00B23D9C" w:rsidRPr="00B23D9C" w:rsidRDefault="00B23D9C" w:rsidP="00B23D9C">
      <w:pPr>
        <w:numPr>
          <w:ilvl w:val="0"/>
          <w:numId w:val="20"/>
        </w:numPr>
        <w:ind w:firstLine="0"/>
      </w:pPr>
      <w:r w:rsidRPr="00B23D9C">
        <w:t>The effect of an antenna gain variation factor (AGVF) on the Assignment Success Rate is not completely understood.</w:t>
      </w:r>
    </w:p>
    <w:p w:rsidR="00B23D9C" w:rsidRPr="00B23D9C" w:rsidRDefault="00B23D9C" w:rsidP="00B23D9C">
      <w:pPr>
        <w:numPr>
          <w:ilvl w:val="0"/>
          <w:numId w:val="20"/>
        </w:numPr>
        <w:ind w:firstLine="0"/>
      </w:pPr>
      <w:r w:rsidRPr="00B23D9C">
        <w:t>Positioning service (DCPS) and extended service (40 NM DOC) seems not to influence the assignment success rate drastically.</w:t>
      </w:r>
    </w:p>
    <w:p w:rsidR="00B23D9C" w:rsidRPr="00B23D9C" w:rsidRDefault="00B23D9C" w:rsidP="00B23D9C">
      <w:pPr>
        <w:numPr>
          <w:ilvl w:val="0"/>
          <w:numId w:val="20"/>
        </w:numPr>
        <w:ind w:firstLine="0"/>
      </w:pPr>
      <w:r w:rsidRPr="00B23D9C">
        <w:t>FM compatibility seemed not to be a dominant factor for the assignment success rate.</w:t>
      </w:r>
    </w:p>
    <w:p w:rsidR="00B23D9C" w:rsidRPr="00B23D9C" w:rsidRDefault="00B23D9C" w:rsidP="00B23D9C">
      <w:pPr>
        <w:ind w:left="426"/>
      </w:pPr>
    </w:p>
    <w:p w:rsidR="00B23D9C" w:rsidRPr="00B23D9C" w:rsidRDefault="00B23D9C" w:rsidP="00B23D9C">
      <w:pPr>
        <w:ind w:left="426" w:hanging="426"/>
      </w:pPr>
      <w:r w:rsidRPr="00B23D9C">
        <w:t>6a2) In order to better understand the results, some further investigations were made. They revealed that an incompatibility occurs at all airports with a GBAS station AND an ILS station, if a D/U requirement for the considered frequencies is applied. Assignments could only be made assuming no restriction beyond a certain adjacent channel.</w:t>
      </w:r>
    </w:p>
    <w:p w:rsidR="00B23D9C" w:rsidRPr="00B23D9C" w:rsidRDefault="00B23D9C" w:rsidP="00B23D9C">
      <w:pPr>
        <w:ind w:left="426" w:hanging="426"/>
      </w:pPr>
    </w:p>
    <w:p w:rsidR="00B23D9C" w:rsidRPr="00B23D9C" w:rsidRDefault="00B23D9C" w:rsidP="00B23D9C">
      <w:pPr>
        <w:ind w:left="426" w:hanging="426"/>
      </w:pPr>
      <w:r w:rsidRPr="00B23D9C">
        <w:t>6a3) Additional investigations made for 3 airports (Paris CDG, Bologna and Tenerife) have shown that the absence of restrictions beyond the 20</w:t>
      </w:r>
      <w:r w:rsidRPr="00B23D9C">
        <w:rPr>
          <w:vertAlign w:val="superscript"/>
        </w:rPr>
        <w:t>th</w:t>
      </w:r>
      <w:r w:rsidRPr="00B23D9C">
        <w:t xml:space="preserve"> adjacent channel for compatibility with local ILS/VOR systems allows to regain some available frequencies. </w:t>
      </w:r>
    </w:p>
    <w:p w:rsidR="00B23D9C" w:rsidRPr="00B23D9C" w:rsidRDefault="00B23D9C" w:rsidP="00B23D9C"/>
    <w:p w:rsidR="00B23D9C" w:rsidRPr="00B23D9C" w:rsidRDefault="00B23D9C" w:rsidP="00B23D9C">
      <w:pPr>
        <w:ind w:left="426" w:hanging="426"/>
      </w:pPr>
      <w:r w:rsidRPr="00B23D9C">
        <w:t>6a4) Furthermore, it was stated in WP18, that it is expected that the incompatibility with Navaids at the same airport visible in the study results could “probably be mitigated in practice” by taking into account additional information like antenna patterns (e.g. of existing ILS and planned GBAS VDB transmitters) and real geometries (e.g. antenna heights and locations). An analysis of these local separation needs between Navaids cannot be handled by international coordination rules. It is considered not being practicable for international frequency coordination data-bases (like SAFIRE, and COM3-lists used in Europe) to collect and hold such detailed information for the analysis of frequency compatibilities between stations at the same airport. It was therefore considered by the authors of WP18 to be the task of the ATC providers at a given airport in cooperation with their national supervisory authorities to ensure the frequency compatibilities between emitters at the same airport. In the discussion the SWG agreed that there is a need to explore, what future frequency coordination rules would be needed to allow deployment of a GBAS VDB at an airport with existing ILS (Action SWG02/03).</w:t>
      </w:r>
    </w:p>
    <w:p w:rsidR="00B23D9C" w:rsidRPr="00B23D9C" w:rsidRDefault="00B23D9C" w:rsidP="00B23D9C">
      <w:pPr>
        <w:ind w:left="426" w:hanging="426"/>
      </w:pPr>
    </w:p>
    <w:p w:rsidR="00B23D9C" w:rsidRPr="00B23D9C" w:rsidRDefault="00B23D9C" w:rsidP="00B23D9C">
      <w:pPr>
        <w:ind w:left="426" w:hanging="426"/>
      </w:pPr>
    </w:p>
    <w:p w:rsidR="00B23D9C" w:rsidRPr="00B23D9C" w:rsidRDefault="00B23D9C" w:rsidP="00B23D9C">
      <w:pPr>
        <w:ind w:left="426" w:hanging="426"/>
      </w:pPr>
    </w:p>
    <w:p w:rsidR="00B23D9C" w:rsidRPr="00B23D9C" w:rsidRDefault="00B23D9C" w:rsidP="00B23D9C">
      <w:pPr>
        <w:ind w:left="426" w:hanging="426"/>
      </w:pPr>
    </w:p>
    <w:p w:rsidR="00B23D9C" w:rsidRDefault="00B23D9C" w:rsidP="00B23D9C">
      <w:pPr>
        <w:ind w:left="426" w:hanging="426"/>
      </w:pPr>
    </w:p>
    <w:p w:rsidR="00010B27" w:rsidRPr="00B23D9C" w:rsidRDefault="00010B27" w:rsidP="00B23D9C">
      <w:pPr>
        <w:ind w:left="426" w:hanging="426"/>
      </w:pPr>
    </w:p>
    <w:p w:rsidR="00B23D9C" w:rsidRPr="00B23D9C" w:rsidRDefault="00B23D9C" w:rsidP="00B23D9C">
      <w:pPr>
        <w:ind w:left="426" w:hanging="426"/>
      </w:pPr>
    </w:p>
    <w:p w:rsidR="00B23D9C" w:rsidRPr="00B23D9C" w:rsidRDefault="00B23D9C" w:rsidP="00B23D9C">
      <w:pPr>
        <w:rPr>
          <w:b/>
          <w:highlight w:val="cyan"/>
        </w:rPr>
      </w:pPr>
      <w:r w:rsidRPr="00B23D9C">
        <w:rPr>
          <w:b/>
          <w:highlight w:val="cyan"/>
        </w:rPr>
        <w:t>WP13, “VDB Adjacent Channel Requirements”</w:t>
      </w:r>
    </w:p>
    <w:p w:rsidR="00B23D9C" w:rsidRPr="00B23D9C" w:rsidRDefault="00B23D9C" w:rsidP="00B23D9C">
      <w:pPr>
        <w:ind w:left="426" w:hanging="426"/>
      </w:pPr>
    </w:p>
    <w:p w:rsidR="00B23D9C" w:rsidRPr="00B23D9C" w:rsidRDefault="00B23D9C" w:rsidP="00B23D9C">
      <w:pPr>
        <w:ind w:left="426" w:hanging="426"/>
      </w:pPr>
      <w:r w:rsidRPr="00B23D9C">
        <w:t>6a5) The RTCA SC-159 WG4 VDB Ad-hoc group has been actively working the VDB adjacent channel requirements in response to a request by the previous ICAO NSP that RTCA should explore a potential change of the adjacent channel rejection requirement beyond the 3</w:t>
      </w:r>
      <w:r w:rsidRPr="00B23D9C">
        <w:rPr>
          <w:vertAlign w:val="superscript"/>
        </w:rPr>
        <w:t>rd</w:t>
      </w:r>
      <w:r w:rsidRPr="00B23D9C">
        <w:t xml:space="preserve"> adjacent channel. This paper presents the current status of the work and the VDB group baseline recommendation made to the FAA to query manufacturers on the performance (or expected performance) of fielded or soon-to-be-fielded equipment in regard to adjacent channel rejection.</w:t>
      </w:r>
    </w:p>
    <w:p w:rsidR="00B23D9C" w:rsidRPr="00B23D9C" w:rsidRDefault="00B23D9C" w:rsidP="00B23D9C">
      <w:pPr>
        <w:ind w:left="426" w:hanging="426"/>
      </w:pPr>
      <w:r w:rsidRPr="00B23D9C">
        <w:t>6a6) The VDB Ad-hoc group elected to use the available results of GBAS VDB frequency planning exercise conducted in the frame of the so-called 2</w:t>
      </w:r>
      <w:r w:rsidRPr="00B23D9C">
        <w:rPr>
          <w:vertAlign w:val="superscript"/>
        </w:rPr>
        <w:t>nd</w:t>
      </w:r>
      <w:r w:rsidRPr="00B23D9C">
        <w:t xml:space="preserve"> run of the SESAR 15.03.07 project to select new adjacent channel rejection requirements starting at the 20</w:t>
      </w:r>
      <w:r w:rsidRPr="00B23D9C">
        <w:rPr>
          <w:vertAlign w:val="superscript"/>
        </w:rPr>
        <w:t>th</w:t>
      </w:r>
      <w:r w:rsidRPr="00B23D9C">
        <w:t xml:space="preserve"> adjacent channel. The frequency planning success rate seemed to be adequate when using the “SESAR D/U criteria” even combined with an Antenna Gain Variation (AGV) of 15 dB. The VDB Ad-hoc group had not realized that the frequency planning SESAR criteria assumed “no restriction” for the 41</w:t>
      </w:r>
      <w:r w:rsidRPr="00B23D9C">
        <w:rPr>
          <w:vertAlign w:val="superscript"/>
        </w:rPr>
        <w:t>st</w:t>
      </w:r>
      <w:r w:rsidRPr="00B23D9C">
        <w:t xml:space="preserve"> adjacent channel and beyond. WP13 noted that ad-hoc criteria would not completely match the SESAR criteria, as the ad-hoc criteria assume a D/U criterion of -67 dB for the 40</w:t>
      </w:r>
      <w:r w:rsidRPr="00B23D9C">
        <w:rPr>
          <w:vertAlign w:val="superscript"/>
        </w:rPr>
        <w:t>th</w:t>
      </w:r>
      <w:r w:rsidRPr="00B23D9C">
        <w:t xml:space="preserve"> adjacent channel and beyond; this was highlighted during the discussion. The other discrepancy discussed was, that the criteria in WP13 covered ILS, VOR, and VDB as the undesired signal to a desired VDB signal while the frequency planning reported about only applied SESAR criteria to the ILS undesired signal.</w:t>
      </w:r>
    </w:p>
    <w:p w:rsidR="00B23D9C" w:rsidRPr="00B23D9C" w:rsidRDefault="00B23D9C" w:rsidP="00B23D9C">
      <w:pPr>
        <w:ind w:left="426" w:hanging="426"/>
      </w:pPr>
      <w:r w:rsidRPr="00B23D9C">
        <w:t>6a7) The available data from the SESAR project did not provide any guidance on the impact of the 6 dB Transmission Line loss Variation Factor (TLVF) due to Mismatch Loss Variation. Therefore this baseline is considering the following two options:</w:t>
      </w:r>
    </w:p>
    <w:p w:rsidR="00B23D9C" w:rsidRPr="00B23D9C" w:rsidRDefault="00B23D9C" w:rsidP="00B23D9C">
      <w:pPr>
        <w:numPr>
          <w:ilvl w:val="0"/>
          <w:numId w:val="20"/>
        </w:numPr>
        <w:ind w:firstLine="0"/>
      </w:pPr>
      <w:r w:rsidRPr="00B23D9C">
        <w:t>Option 1 allocates the TLVF to the frequency planning</w:t>
      </w:r>
    </w:p>
    <w:p w:rsidR="00B23D9C" w:rsidRPr="00B23D9C" w:rsidRDefault="00B23D9C" w:rsidP="00B23D9C">
      <w:pPr>
        <w:numPr>
          <w:ilvl w:val="0"/>
          <w:numId w:val="20"/>
        </w:numPr>
        <w:ind w:firstLine="0"/>
      </w:pPr>
      <w:r w:rsidRPr="00B23D9C">
        <w:t>Option 2 allocates the TLVF to the VDB receiver D/U</w:t>
      </w:r>
    </w:p>
    <w:p w:rsidR="00B23D9C" w:rsidRPr="00B23D9C" w:rsidRDefault="00B23D9C" w:rsidP="00B23D9C">
      <w:pPr>
        <w:ind w:left="426"/>
      </w:pPr>
      <w:r w:rsidRPr="00B23D9C">
        <w:t>This results in a Signal-In-Space D/U difference of 6 dB between options 1 and 2 at the 20</w:t>
      </w:r>
      <w:r w:rsidRPr="00B23D9C">
        <w:rPr>
          <w:vertAlign w:val="superscript"/>
        </w:rPr>
        <w:t>th</w:t>
      </w:r>
      <w:r w:rsidRPr="00B23D9C">
        <w:t xml:space="preserve"> adjacent channel and beyond (e.g., at the 40</w:t>
      </w:r>
      <w:r w:rsidRPr="00B23D9C">
        <w:rPr>
          <w:vertAlign w:val="superscript"/>
        </w:rPr>
        <w:t>th</w:t>
      </w:r>
      <w:r w:rsidRPr="00B23D9C">
        <w:t xml:space="preserve"> channel, Option 1, D/U = -46 dB and </w:t>
      </w:r>
    </w:p>
    <w:p w:rsidR="00B23D9C" w:rsidRPr="00B23D9C" w:rsidRDefault="00B23D9C" w:rsidP="00B23D9C">
      <w:pPr>
        <w:ind w:left="426"/>
      </w:pPr>
      <w:r w:rsidRPr="00B23D9C">
        <w:t>Option 2, D/U = -52 dB) since the TLVF is accounted for starting at the 20</w:t>
      </w:r>
      <w:r w:rsidRPr="00B23D9C">
        <w:rPr>
          <w:vertAlign w:val="superscript"/>
        </w:rPr>
        <w:t>th</w:t>
      </w:r>
      <w:r w:rsidRPr="00B23D9C">
        <w:t xml:space="preserve"> adjacent channel. The assumption is that for small frequency offsets, the TLVF is small enough to be ignored. The query on the two options will provide information from receiver manufacturers on the feasibility of allocating to the receiver the impact of TLVF.</w:t>
      </w:r>
    </w:p>
    <w:p w:rsidR="00B23D9C" w:rsidRPr="00B23D9C" w:rsidRDefault="00B23D9C" w:rsidP="00B23D9C">
      <w:pPr>
        <w:ind w:left="426" w:hanging="426"/>
      </w:pPr>
      <w:r w:rsidRPr="00B23D9C">
        <w:t>6a8) The RTCA GBAS MOPS DO-253() specifies the D/U at the receiver input. For purposes of GBAS frequency coordination criteria, the impact of On-board Antenna Gain Variation Factor (AGVF) and Transmission Line loss Variation Factor must be accounted for. This was done by conversion of D/U from Receiver Input to the Antenna obtaining in this way Signal-In-Space D/U values. The Signal-In-Space D/U values for the two aforementioned options are contained in Appendix I of WP13.</w:t>
      </w:r>
    </w:p>
    <w:p w:rsidR="00B23D9C" w:rsidRPr="00B23D9C" w:rsidRDefault="00B23D9C" w:rsidP="00B23D9C">
      <w:pPr>
        <w:ind w:left="426" w:hanging="426"/>
      </w:pPr>
    </w:p>
    <w:p w:rsidR="00B23D9C" w:rsidRDefault="00B23D9C" w:rsidP="00B23D9C">
      <w:pPr>
        <w:ind w:left="426" w:hanging="426"/>
      </w:pPr>
    </w:p>
    <w:p w:rsidR="00010B27" w:rsidRPr="00B23D9C" w:rsidRDefault="00010B27" w:rsidP="00B23D9C">
      <w:pPr>
        <w:ind w:left="426" w:hanging="426"/>
      </w:pPr>
    </w:p>
    <w:p w:rsidR="00B23D9C" w:rsidRPr="00B23D9C" w:rsidRDefault="00B23D9C" w:rsidP="00B23D9C">
      <w:pPr>
        <w:ind w:left="426" w:hanging="426"/>
      </w:pPr>
    </w:p>
    <w:p w:rsidR="00B23D9C" w:rsidRPr="00B23D9C" w:rsidRDefault="00B23D9C" w:rsidP="00B23D9C">
      <w:pPr>
        <w:rPr>
          <w:b/>
          <w:highlight w:val="cyan"/>
        </w:rPr>
      </w:pPr>
      <w:r w:rsidRPr="00B23D9C">
        <w:rPr>
          <w:b/>
          <w:highlight w:val="cyan"/>
        </w:rPr>
        <w:t>IP06, VDB Adjacent Channel Interference MOPS Requirements &amp; Tests and Resulting Recommendations for Spectrum Planning</w:t>
      </w:r>
    </w:p>
    <w:p w:rsidR="00B23D9C" w:rsidRPr="00B23D9C" w:rsidRDefault="00B23D9C" w:rsidP="00B23D9C">
      <w:pPr>
        <w:ind w:left="426" w:hanging="426"/>
      </w:pPr>
      <w:r w:rsidRPr="00B23D9C">
        <w:t xml:space="preserve">6a9) IP06 describes the difference between, how RTCA MOPS compliant GBAS VDB (as well as ILS LOC, VOR, and VHF Com) receivers are specified and tested with regard to adjacent channel interference and the current initial spectrum planning analyses. Furthermore, it recommends that spectrum planners take into account in their frequency protection planning criteria the fact that VHF receivers (including VDB, ILS LOC, VOR, and VHF Com) are MOPS tested against “clean” adjacent channel interference sources (i.e., “clean” signal generators), one source at a time. The planners will need to analyse the impact of realizable (i.e., “dirty”) transmitters and the aggregate </w:t>
      </w:r>
      <w:r w:rsidRPr="00B23D9C">
        <w:lastRenderedPageBreak/>
        <w:t>interference created from potentially multiple adjacent channel (as well as on-channel) interference sources.</w:t>
      </w:r>
    </w:p>
    <w:p w:rsidR="00B23D9C" w:rsidRPr="00B23D9C" w:rsidRDefault="00B23D9C" w:rsidP="00B23D9C">
      <w:pPr>
        <w:ind w:left="426" w:hanging="426"/>
      </w:pPr>
    </w:p>
    <w:p w:rsidR="00B23D9C" w:rsidRPr="00B23D9C" w:rsidRDefault="00B23D9C" w:rsidP="00B23D9C">
      <w:pPr>
        <w:ind w:left="426" w:hanging="426"/>
      </w:pPr>
    </w:p>
    <w:p w:rsidR="00B23D9C" w:rsidRPr="00B23D9C" w:rsidRDefault="00B23D9C" w:rsidP="00B23D9C">
      <w:pPr>
        <w:ind w:left="426" w:hanging="426"/>
      </w:pPr>
      <w:r w:rsidRPr="00B23D9C">
        <w:t>6a10) The primary recommendation of the paper was that spectrum planners take into account in their frequency protection planning criteria the fact that VHF receivers including VDB, ILS LOC, VOR, and VHF Com receivers are MOPS tested against “clean” adjacent channel / out-of-band VDB, ILS LOC, VOR, and VHF Com interference sources as generated by signal generators (and sometimes filtered to make the generated signal more “clean”). The paper indicated that spectrum planners will need to analyse the impact of the realizable (i.e., “dirty”) transmitters that spill interference power outside their assigned channel relevant to the MOPS specified adjacent channel interference requirements limits or do susceptibility tests using the transmitters that they are fielding and not simply plan based upon the MOPS specified adjacent channel limits. The SWG heard the recommendation, but took no action at this time.</w:t>
      </w:r>
    </w:p>
    <w:p w:rsidR="00B23D9C" w:rsidRPr="00B23D9C" w:rsidRDefault="00B23D9C" w:rsidP="00B23D9C">
      <w:pPr>
        <w:ind w:left="426" w:hanging="426"/>
      </w:pPr>
      <w:r w:rsidRPr="00B23D9C">
        <w:t xml:space="preserve">6a11) A secondary recommendation of the information paper indicated in Section 7 that while it is recognized that one interference source is often the primary driver for spectrum planning, there are corner cases where it is important that spectrum planers need to appropriately take into consideration the aggregate interference created from multiple potential interference sources (since the receiver adjacent channel interference requirements are tested one interference source at a time). An example of this situation may happen when two adjacent channel interference sources are sited near one another (e.g., at the same airport) and provide similar adjacent channel interference power to the receiver, whereby one is at +X adjacent channels and one is at -X adjacent channels from the desired channel. Such a case will result in a greater interference impact to the reception of the desired on-channel signal than just one of these two interference sources. </w:t>
      </w:r>
    </w:p>
    <w:p w:rsidR="00B23D9C" w:rsidRPr="00B23D9C" w:rsidRDefault="00B23D9C" w:rsidP="00B23D9C">
      <w:pPr>
        <w:ind w:left="426" w:hanging="426"/>
      </w:pPr>
    </w:p>
    <w:p w:rsidR="00B23D9C" w:rsidRPr="00B23D9C" w:rsidRDefault="00B23D9C" w:rsidP="00B23D9C">
      <w:pPr>
        <w:ind w:left="426" w:hanging="426"/>
      </w:pPr>
      <w:r w:rsidRPr="00B23D9C">
        <w:t>6a12) In the discussion of IP06 the SWG acknowledged the value of the description of how RTCA MOPS compliant VDB receivers are tested. However, members of the SWG pointed out that for some decades, frequency coordination for VHF Nav and VHF Com does in each step of the frequency search only analyse the compatibility between a desired and a single undesired signal. The rational for this approach is that the strongest undesired signal is dominant. Therefore the SWG was not convinced by the presentation of IP06 to introduce the consideration of multiple undesired signals for the international frequency coordination.</w:t>
      </w:r>
    </w:p>
    <w:p w:rsidR="00B23D9C" w:rsidRPr="00B23D9C" w:rsidRDefault="00B23D9C" w:rsidP="00B23D9C">
      <w:pPr>
        <w:ind w:left="426" w:hanging="426"/>
      </w:pPr>
      <w:r w:rsidRPr="00B23D9C">
        <w:t>___</w:t>
      </w:r>
    </w:p>
    <w:p w:rsidR="00B23D9C" w:rsidRPr="00B23D9C" w:rsidRDefault="00B23D9C" w:rsidP="00B23D9C">
      <w:pPr>
        <w:ind w:left="426" w:hanging="426"/>
        <w:rPr>
          <w:i/>
        </w:rPr>
      </w:pPr>
      <w:r w:rsidRPr="00B23D9C">
        <w:rPr>
          <w:i/>
        </w:rPr>
        <w:t>Note: The outcome of the general discussion of the WP18, WP13 and IP06 follows here.</w:t>
      </w:r>
    </w:p>
    <w:p w:rsidR="00B23D9C" w:rsidRPr="00B23D9C" w:rsidRDefault="00B23D9C" w:rsidP="00B23D9C">
      <w:pPr>
        <w:ind w:left="426" w:hanging="426"/>
        <w:rPr>
          <w:highlight w:val="green"/>
        </w:rPr>
      </w:pPr>
      <w:r w:rsidRPr="00B23D9C">
        <w:t xml:space="preserve"> 6a13) After the presentations and initial discussions of the individual contents of WP18, WP13 and IP06 a general discussion on the way forward toward mature frequency coordination criteria for GBAS VDB occurred. The following task</w:t>
      </w:r>
      <w:r w:rsidR="00010B27">
        <w:t>s</w:t>
      </w:r>
      <w:r w:rsidRPr="00B23D9C">
        <w:t xml:space="preserve"> and actions were formulated and agreed by the meeting participants:</w:t>
      </w:r>
    </w:p>
    <w:p w:rsidR="00B23D9C" w:rsidRPr="00B23D9C" w:rsidRDefault="00B23D9C" w:rsidP="00B23D9C">
      <w:pPr>
        <w:pStyle w:val="ListParagraph"/>
        <w:numPr>
          <w:ilvl w:val="0"/>
          <w:numId w:val="19"/>
        </w:numPr>
        <w:autoSpaceDE/>
        <w:autoSpaceDN/>
        <w:adjustRightInd/>
        <w:spacing w:line="276" w:lineRule="auto"/>
        <w:jc w:val="left"/>
      </w:pPr>
      <w:r w:rsidRPr="00B23D9C">
        <w:rPr>
          <w:b/>
          <w:u w:val="single"/>
        </w:rPr>
        <w:t>Action SWG02/01:</w:t>
      </w:r>
      <w:r w:rsidRPr="00B23D9C">
        <w:t xml:space="preserve"> Explore, if the software-tool (MANIF) used for the simulations carried out within the SESAR 15.3.7 task 11 project was suitable to carry out compatibility calculations for cases when the compatibility between existing ILS LOC and new GBAS VDB in each-other’s coverage area is analysed (Even an assumed fictitious D/U</w:t>
      </w:r>
      <w:r w:rsidRPr="00B23D9C">
        <w:noBreakHyphen/>
        <w:t>threshold of -200 dB did not allow successful planning of a new GBAS VDB at airports with existing ILS Localizers). =&gt; Action to Pierre Ladoux.</w:t>
      </w:r>
    </w:p>
    <w:p w:rsidR="00B23D9C" w:rsidRPr="00B23D9C" w:rsidRDefault="00B23D9C" w:rsidP="00B23D9C">
      <w:pPr>
        <w:pStyle w:val="ListParagraph"/>
        <w:numPr>
          <w:ilvl w:val="0"/>
          <w:numId w:val="19"/>
        </w:numPr>
        <w:autoSpaceDE/>
        <w:autoSpaceDN/>
        <w:adjustRightInd/>
        <w:spacing w:line="276" w:lineRule="auto"/>
        <w:jc w:val="left"/>
      </w:pPr>
      <w:r w:rsidRPr="00B23D9C">
        <w:rPr>
          <w:b/>
          <w:u w:val="single"/>
        </w:rPr>
        <w:t>Action SWG02/02:</w:t>
      </w:r>
      <w:r w:rsidRPr="00B23D9C">
        <w:t xml:space="preserve"> Develop guidance for local frequency planning i.e. ensuring compatibility between Nav-aids and VHF-COM-systems at the same airport (e.g. between existing ILS Localizers and a new GBAS VDB, between existing VORs and a new GBAS VDB, between existing VHF-COM and a new GBAS VDB) =&gt; Action to SWG members.</w:t>
      </w:r>
    </w:p>
    <w:p w:rsidR="00B23D9C" w:rsidRPr="00B23D9C" w:rsidRDefault="00B23D9C" w:rsidP="00B23D9C">
      <w:pPr>
        <w:pStyle w:val="ListParagraph"/>
        <w:numPr>
          <w:ilvl w:val="0"/>
          <w:numId w:val="19"/>
        </w:numPr>
        <w:autoSpaceDE/>
        <w:autoSpaceDN/>
        <w:adjustRightInd/>
        <w:spacing w:line="276" w:lineRule="auto"/>
        <w:jc w:val="left"/>
      </w:pPr>
      <w:r w:rsidRPr="00B23D9C">
        <w:rPr>
          <w:b/>
          <w:u w:val="single"/>
        </w:rPr>
        <w:t>Action SWG02/03</w:t>
      </w:r>
      <w:r w:rsidRPr="00B23D9C">
        <w:rPr>
          <w:b/>
        </w:rPr>
        <w:t xml:space="preserve">: </w:t>
      </w:r>
      <w:r w:rsidRPr="00B23D9C">
        <w:t xml:space="preserve">To explore, what future frequency coordination rules taking into account real signal strength of the desired signal, (i.e. to further proceed with the work described in </w:t>
      </w:r>
      <w:r w:rsidRPr="00B23D9C">
        <w:lastRenderedPageBreak/>
        <w:t>WP17 of ICAO NSP Dec. 2015) would be needed to allow deployment of a GBAS VDB at an airport with existing ILS (Worst-case is probably overflying an ILS LOC at the opposite runway-end) =&gt;Action to SWG members.</w:t>
      </w:r>
    </w:p>
    <w:p w:rsidR="00B23D9C" w:rsidRPr="00B23D9C" w:rsidRDefault="00B23D9C" w:rsidP="00B23D9C">
      <w:pPr>
        <w:autoSpaceDE/>
        <w:autoSpaceDN/>
        <w:adjustRightInd/>
        <w:spacing w:line="276" w:lineRule="auto"/>
        <w:jc w:val="left"/>
      </w:pPr>
    </w:p>
    <w:p w:rsidR="00B23D9C" w:rsidRPr="00B23D9C" w:rsidRDefault="00B23D9C" w:rsidP="00B23D9C">
      <w:pPr>
        <w:pStyle w:val="ListParagraph"/>
        <w:numPr>
          <w:ilvl w:val="0"/>
          <w:numId w:val="19"/>
        </w:numPr>
        <w:autoSpaceDE/>
        <w:autoSpaceDN/>
        <w:adjustRightInd/>
        <w:spacing w:line="276" w:lineRule="auto"/>
        <w:jc w:val="left"/>
      </w:pPr>
      <w:r w:rsidRPr="00B23D9C">
        <w:rPr>
          <w:b/>
          <w:u w:val="single"/>
        </w:rPr>
        <w:t>Action SWG02/04:</w:t>
      </w:r>
      <w:r w:rsidRPr="00B23D9C">
        <w:rPr>
          <w:b/>
        </w:rPr>
        <w:t xml:space="preserve"> </w:t>
      </w:r>
      <w:r w:rsidRPr="00B23D9C">
        <w:t>To explore why for ILS current frequency planning rules do not impose frequency selection restrictions at high adjacent channel numbers, although the adjacent channel suppression contained in ICAO Annex 10 Vol. I, att. C section 2.6 does specify a limited adjacent channel suppression (D/U=-46 dB at an offset of 100 kHz, -50 dB at 150 kHz and above) =&gt; Action to SWG members.</w:t>
      </w:r>
    </w:p>
    <w:p w:rsidR="00B23D9C" w:rsidRPr="00B23D9C" w:rsidRDefault="00B23D9C" w:rsidP="00B23D9C">
      <w:pPr>
        <w:pStyle w:val="ListParagraph"/>
        <w:numPr>
          <w:ilvl w:val="0"/>
          <w:numId w:val="19"/>
        </w:numPr>
        <w:autoSpaceDE/>
        <w:autoSpaceDN/>
        <w:adjustRightInd/>
        <w:spacing w:line="276" w:lineRule="auto"/>
        <w:jc w:val="left"/>
      </w:pPr>
      <w:r w:rsidRPr="00B23D9C">
        <w:rPr>
          <w:b/>
          <w:u w:val="single"/>
        </w:rPr>
        <w:t>Action SWG02/05:</w:t>
      </w:r>
      <w:r w:rsidRPr="00B23D9C">
        <w:rPr>
          <w:b/>
        </w:rPr>
        <w:t xml:space="preserve"> </w:t>
      </w:r>
      <w:r w:rsidRPr="00B23D9C">
        <w:t>To evaluate whether the spurious emission limit from ITU-R M.329 leading to a D/U= -65 dB (applicable for ILS and VOR) is appropriate for frequency coordination – or whether a more realistic spurious emission suppression could be assumed. (For GBAS VDB the spurious emission limit is specified in ICAO Annex 10 and RTCA DO-246). =&gt; Action to SWG members.</w:t>
      </w:r>
    </w:p>
    <w:p w:rsidR="00B23D9C" w:rsidRPr="00B23D9C" w:rsidRDefault="00B23D9C" w:rsidP="00B23D9C">
      <w:pPr>
        <w:pStyle w:val="ListParagraph"/>
        <w:numPr>
          <w:ilvl w:val="0"/>
          <w:numId w:val="19"/>
        </w:numPr>
        <w:autoSpaceDE/>
        <w:autoSpaceDN/>
        <w:adjustRightInd/>
        <w:spacing w:line="276" w:lineRule="auto"/>
        <w:jc w:val="left"/>
      </w:pPr>
      <w:r w:rsidRPr="00B23D9C">
        <w:rPr>
          <w:b/>
          <w:u w:val="single"/>
        </w:rPr>
        <w:t>Action SWG02/6:</w:t>
      </w:r>
      <w:r w:rsidRPr="00B23D9C">
        <w:rPr>
          <w:b/>
        </w:rPr>
        <w:t xml:space="preserve"> </w:t>
      </w:r>
      <w:r w:rsidRPr="00B23D9C">
        <w:t xml:space="preserve">To explore the possibility of compatibility calculations by existing software-tools for cases, when the compatibility between two Nav-aids in each-other’s coverage area need to be </w:t>
      </w:r>
      <w:proofErr w:type="spellStart"/>
      <w:r w:rsidRPr="00B23D9C">
        <w:t>analyzed</w:t>
      </w:r>
      <w:proofErr w:type="spellEnd"/>
      <w:r w:rsidRPr="00B23D9C">
        <w:t xml:space="preserve"> =&gt; Action to Mike Biggs and SWG members.</w:t>
      </w:r>
    </w:p>
    <w:p w:rsidR="00B23D9C" w:rsidRPr="00B23D9C" w:rsidRDefault="00B23D9C" w:rsidP="00B23D9C">
      <w:pPr>
        <w:pStyle w:val="ListParagraph"/>
        <w:numPr>
          <w:ilvl w:val="0"/>
          <w:numId w:val="19"/>
        </w:numPr>
        <w:autoSpaceDE/>
        <w:autoSpaceDN/>
        <w:adjustRightInd/>
        <w:spacing w:line="276" w:lineRule="auto"/>
        <w:jc w:val="left"/>
      </w:pPr>
      <w:r w:rsidRPr="00B23D9C">
        <w:rPr>
          <w:b/>
          <w:u w:val="single"/>
        </w:rPr>
        <w:t>Action SWG02/7:</w:t>
      </w:r>
      <w:r w:rsidRPr="00B23D9C">
        <w:rPr>
          <w:b/>
        </w:rPr>
        <w:t xml:space="preserve"> </w:t>
      </w:r>
      <w:r w:rsidRPr="00B23D9C">
        <w:t>To report about outcome of FAA’s query of GBAS receiver manufacturers on the performance (or expected performance) of fielded or soon-to-be-fielded equipment in regard to adjacent channel rejection (WP13 of ICAO NSP June 2016). =&gt; Action to Barbara Clark.</w:t>
      </w:r>
    </w:p>
    <w:p w:rsidR="00B23D9C" w:rsidRPr="00B23D9C" w:rsidRDefault="00B23D9C" w:rsidP="00B23D9C">
      <w:pPr>
        <w:pStyle w:val="ListParagraph"/>
        <w:numPr>
          <w:ilvl w:val="0"/>
          <w:numId w:val="19"/>
        </w:numPr>
        <w:autoSpaceDE/>
        <w:autoSpaceDN/>
        <w:adjustRightInd/>
        <w:spacing w:line="276" w:lineRule="auto"/>
        <w:jc w:val="left"/>
      </w:pPr>
      <w:r w:rsidRPr="00B23D9C">
        <w:rPr>
          <w:b/>
          <w:u w:val="single"/>
        </w:rPr>
        <w:t>Action SWG02/8:</w:t>
      </w:r>
      <w:r w:rsidRPr="00B23D9C">
        <w:rPr>
          <w:b/>
        </w:rPr>
        <w:t xml:space="preserve"> </w:t>
      </w:r>
      <w:r w:rsidRPr="00B23D9C">
        <w:t>To provide typical ILS and VOR fieldstrength on the approach path to allow to realistically model the undesired signal strength into the GBAS VDB receiver (typical data from deployed systems, in particular for airports with existing GBAS) =&gt; Action to all SWG members.</w:t>
      </w:r>
    </w:p>
    <w:p w:rsidR="00B23D9C" w:rsidRPr="00B23D9C" w:rsidRDefault="00B23D9C" w:rsidP="00B23D9C">
      <w:pPr>
        <w:pStyle w:val="ListParagraph"/>
        <w:numPr>
          <w:ilvl w:val="0"/>
          <w:numId w:val="19"/>
        </w:numPr>
        <w:autoSpaceDE/>
        <w:autoSpaceDN/>
        <w:adjustRightInd/>
        <w:spacing w:line="276" w:lineRule="auto"/>
        <w:jc w:val="left"/>
      </w:pPr>
      <w:r w:rsidRPr="00B23D9C">
        <w:rPr>
          <w:b/>
          <w:u w:val="single"/>
        </w:rPr>
        <w:t>Action SWG02/9:</w:t>
      </w:r>
      <w:r w:rsidRPr="00B23D9C">
        <w:rPr>
          <w:b/>
        </w:rPr>
        <w:t xml:space="preserve"> </w:t>
      </w:r>
      <w:r w:rsidRPr="00B23D9C">
        <w:t>Provide information regarding the ILS fieldstrength variation when overflying the ILS Localizer for the opposite approach =&gt; Action to Jules Hermens and John Dyson.</w:t>
      </w:r>
    </w:p>
    <w:p w:rsidR="00B23D9C" w:rsidRPr="00B23D9C" w:rsidRDefault="00B23D9C" w:rsidP="00B23D9C">
      <w:pPr>
        <w:ind w:left="426" w:hanging="426"/>
      </w:pPr>
      <w:r w:rsidRPr="00B23D9C">
        <w:t>6a14) Further joint teleconference sessions of ICAO NSP SWG /RTCA SC-159 WG4 members are foreseen at the end of July and mid-September 2016 to discuss the progress of the actions. Provision of the output of the afore</w:t>
      </w:r>
      <w:r w:rsidRPr="00B23D9C">
        <w:softHyphen/>
        <w:t>mentioned actions would be appreciated by end of September 2016 (i.e. well before RTCA SC-159 WG meeting taking place in the week from 17</w:t>
      </w:r>
      <w:r w:rsidRPr="00B23D9C">
        <w:rPr>
          <w:vertAlign w:val="superscript"/>
        </w:rPr>
        <w:t xml:space="preserve">th </w:t>
      </w:r>
      <w:r w:rsidRPr="00B23D9C">
        <w:t>to 21</w:t>
      </w:r>
      <w:r w:rsidRPr="00B23D9C">
        <w:rPr>
          <w:vertAlign w:val="superscript"/>
        </w:rPr>
        <w:t>st</w:t>
      </w:r>
      <w:r w:rsidRPr="00B23D9C">
        <w:t xml:space="preserve"> of October). RTCA SC159 WG4 plans to discuss the proposed revised D/U criteria at that meeting with the aim to adopt them in December 2016 for inclusion into the Draft MOPS RTCA Do253(), which will be fed into the Final Review and Comment process (FRAC) in January 2017. </w:t>
      </w:r>
    </w:p>
    <w:p w:rsidR="00B23D9C" w:rsidRPr="00B23D9C" w:rsidRDefault="00B23D9C" w:rsidP="00B23D9C">
      <w:pPr>
        <w:ind w:left="426" w:hanging="426"/>
      </w:pPr>
    </w:p>
    <w:p w:rsidR="00B23D9C" w:rsidRPr="00B23D9C" w:rsidRDefault="00B23D9C" w:rsidP="00B23D9C">
      <w:pPr>
        <w:rPr>
          <w:b/>
          <w:highlight w:val="cyan"/>
        </w:rPr>
      </w:pPr>
      <w:r w:rsidRPr="00B23D9C">
        <w:rPr>
          <w:b/>
          <w:highlight w:val="cyan"/>
        </w:rPr>
        <w:t>IP24, Shortcomings of ITU-R Recommendation SM.1009-1</w:t>
      </w:r>
    </w:p>
    <w:p w:rsidR="00B23D9C" w:rsidRPr="00B23D9C" w:rsidRDefault="00B23D9C" w:rsidP="00B23D9C">
      <w:pPr>
        <w:ind w:left="426" w:hanging="426"/>
        <w:rPr>
          <w:lang w:eastAsia="zh-CN"/>
        </w:rPr>
      </w:pPr>
      <w:r w:rsidRPr="00B23D9C">
        <w:t xml:space="preserve">6a15) IP24 contains a German contribution to the recent meeting of ITU Working Party 1A. It explains that </w:t>
      </w:r>
      <w:r w:rsidRPr="00B23D9C">
        <w:rPr>
          <w:lang w:eastAsia="zh-CN"/>
        </w:rPr>
        <w:t>ITU-R Recommendation SM.1009 dating from 1995 provides criteria, methods and techniques for the assessment of compatibility between the sound broadcasting service in the band of 87-108 MHz and the aeronautical services in the Band 108-137 MHz. The paper points out that in the light of new sound processing methodologies have been introduced for the broadcasting service and new digital broadcasting systems (e.g. DARC, DRM+, HD-Radio,…) have been developed, the paper concludes that today’s sound broadcasting signals and to a different interference potential. It is therefore concluded in the paper that there is a need to revise ITU-R Recommendation SM.1009-1 to the existing technical conditions. For this purpose a model to revise this ITU-R Recommendation developed in Germany is provided in Attachment 1 of the paper.</w:t>
      </w:r>
    </w:p>
    <w:p w:rsidR="00B23D9C" w:rsidRPr="00B23D9C" w:rsidRDefault="00B23D9C" w:rsidP="00B23D9C">
      <w:pPr>
        <w:ind w:left="426" w:hanging="426"/>
      </w:pPr>
      <w:r w:rsidRPr="00B23D9C">
        <w:rPr>
          <w:lang w:eastAsia="zh-CN"/>
        </w:rPr>
        <w:lastRenderedPageBreak/>
        <w:t xml:space="preserve">6a16) In the discussion of IP24 it was recommended by SWG members, that it needs to be </w:t>
      </w:r>
      <w:proofErr w:type="spellStart"/>
      <w:r w:rsidRPr="00B23D9C">
        <w:rPr>
          <w:lang w:eastAsia="zh-CN"/>
        </w:rPr>
        <w:t>analyzed</w:t>
      </w:r>
      <w:proofErr w:type="spellEnd"/>
      <w:r w:rsidRPr="00B23D9C">
        <w:rPr>
          <w:lang w:eastAsia="zh-CN"/>
        </w:rPr>
        <w:t>, whether the new model would increase the restrictions for the broadcast transmitters or for the aeronautical systems. Furthermore, it was recommended by members of the group that a discussion of this paper in the ICAO FSMP would be useful. A further analysis of the proposed model could be conducted in cooperation of ICAO FSMP and ICAO NSP SWG.</w:t>
      </w:r>
    </w:p>
    <w:p w:rsidR="00B23D9C" w:rsidRPr="00B23D9C" w:rsidRDefault="00B23D9C" w:rsidP="00B23D9C">
      <w:pPr>
        <w:rPr>
          <w:b/>
          <w:highlight w:val="green"/>
        </w:rPr>
      </w:pPr>
      <w:r w:rsidRPr="00B23D9C">
        <w:rPr>
          <w:b/>
          <w:highlight w:val="green"/>
        </w:rPr>
        <w:t>Agenda Item 6b): Signal and compatibility issues in the band 960 to 1215 MHz</w:t>
      </w:r>
    </w:p>
    <w:p w:rsidR="00B23D9C" w:rsidRPr="00B23D9C" w:rsidRDefault="00B23D9C" w:rsidP="00B23D9C">
      <w:pPr>
        <w:rPr>
          <w:i/>
          <w:iCs/>
          <w:sz w:val="20"/>
        </w:rPr>
      </w:pPr>
    </w:p>
    <w:p w:rsidR="00B23D9C" w:rsidRPr="00B23D9C" w:rsidRDefault="00B23D9C" w:rsidP="00B23D9C">
      <w:pPr>
        <w:rPr>
          <w:b/>
          <w:highlight w:val="cyan"/>
        </w:rPr>
      </w:pPr>
      <w:r w:rsidRPr="00B23D9C">
        <w:rPr>
          <w:b/>
          <w:highlight w:val="cyan"/>
        </w:rPr>
        <w:t>IP12, A-PNT Status in Europe</w:t>
      </w:r>
    </w:p>
    <w:p w:rsidR="00B23D9C" w:rsidRPr="00B23D9C" w:rsidRDefault="00B23D9C" w:rsidP="00B23D9C">
      <w:pPr>
        <w:ind w:left="426" w:hanging="426"/>
        <w:rPr>
          <w:lang w:eastAsia="zh-CN"/>
        </w:rPr>
      </w:pPr>
      <w:r w:rsidRPr="00B23D9C">
        <w:rPr>
          <w:lang w:eastAsia="zh-CN"/>
        </w:rPr>
        <w:t xml:space="preserve">6b1) This paper summarizes the recently completed work of SESAR Project 15.3.2 on the topic of Alternative Positioning, Navigation and Timing (A-PNT). For the short term, alternatives to mitigate the risks associated with potential wide-area GNSS outages are built on current equipage, namely an optimized network of DME/DME for </w:t>
      </w:r>
      <w:proofErr w:type="spellStart"/>
      <w:r w:rsidRPr="00B23D9C">
        <w:rPr>
          <w:lang w:eastAsia="zh-CN"/>
        </w:rPr>
        <w:t>en</w:t>
      </w:r>
      <w:proofErr w:type="spellEnd"/>
      <w:r w:rsidRPr="00B23D9C">
        <w:rPr>
          <w:lang w:eastAsia="zh-CN"/>
        </w:rPr>
        <w:t>-route and all major TMA’s. A VOR/DME minimum operational network will support airspace users not equipped with DME/DME avionics and also provide conventional coverage in cases where DME/DME coverage provision is not feasible or efficient (terrain limitations, low traffic levels). This approach permits a complete rationalization of NDB facilities and a significant reduction of VOR (more than 50%). Long-term A-PNT considers the use of new technologies.</w:t>
      </w:r>
    </w:p>
    <w:p w:rsidR="00B23D9C" w:rsidRPr="00B23D9C" w:rsidRDefault="00B23D9C" w:rsidP="00B23D9C">
      <w:pPr>
        <w:rPr>
          <w:lang w:eastAsia="zh-CN"/>
        </w:rPr>
      </w:pPr>
    </w:p>
    <w:p w:rsidR="00B23D9C" w:rsidRPr="00B23D9C" w:rsidRDefault="00B23D9C" w:rsidP="00B23D9C">
      <w:pPr>
        <w:ind w:left="426" w:hanging="426"/>
        <w:rPr>
          <w:lang w:eastAsia="zh-CN"/>
        </w:rPr>
      </w:pPr>
      <w:r w:rsidRPr="00B23D9C">
        <w:rPr>
          <w:lang w:eastAsia="zh-CN"/>
        </w:rPr>
        <w:t>6b2) The presentation as well as the discussion of IP12 in the SWG focused on the spectrum-aspects of A-PNT. In IP12 it is emphasized that the DME spectrum is under significant threat. Outside the aviation community DME is perceived as being spectrum inefficient. In the UK, the telecommunication regulator, OFCOM is introducing PMSE (Program Making Special Events, mobile audio links) into the DME spectrum. The paper further mentions that it has been shown in testing related to LDACS that the DME transponder is relatively sensitive to adjacent channel transmissions. In light of events such as the UK PMSE case, these issues are expected to get worse over the coming years. It is therefore recommended to investigate, if adjacent channel sensitivity could be reduced.</w:t>
      </w:r>
    </w:p>
    <w:p w:rsidR="00B23D9C" w:rsidRPr="00B23D9C" w:rsidRDefault="00B23D9C" w:rsidP="00B23D9C"/>
    <w:p w:rsidR="00B23D9C" w:rsidRPr="00B23D9C" w:rsidRDefault="00B23D9C" w:rsidP="00B23D9C">
      <w:pPr>
        <w:ind w:left="426" w:hanging="426"/>
        <w:rPr>
          <w:lang w:eastAsia="zh-CN"/>
        </w:rPr>
      </w:pPr>
      <w:r w:rsidRPr="00B23D9C">
        <w:rPr>
          <w:lang w:eastAsia="zh-CN"/>
        </w:rPr>
        <w:t>6b3) Moreover, it is pointed out in the paper, that if VOR rationalization starts to happen, then a stand-alone DME may become the norm. It may then no longer be appropriate to keep tuning DME via a VHF tuning frequency. More stand-alone DME may increase the issue of associated ghost facilities (if a stand-alone DME is tuned, the avionics will listen for a signal on the VHF channel, and may receive undesired co-channel signals). While the potential benefits of de-coupling have not been analysed, the congested and excessively complex L-band spectrum could be simplified.</w:t>
      </w:r>
    </w:p>
    <w:p w:rsidR="00B23D9C" w:rsidRPr="00B23D9C" w:rsidRDefault="00B23D9C" w:rsidP="00B23D9C">
      <w:pPr>
        <w:ind w:left="426" w:hanging="426"/>
        <w:rPr>
          <w:lang w:eastAsia="zh-CN"/>
        </w:rPr>
      </w:pPr>
    </w:p>
    <w:p w:rsidR="00B23D9C" w:rsidRPr="00B23D9C" w:rsidRDefault="00B23D9C" w:rsidP="00B23D9C"/>
    <w:p w:rsidR="00B23D9C" w:rsidRPr="00B23D9C" w:rsidRDefault="00B23D9C" w:rsidP="00B23D9C">
      <w:r w:rsidRPr="00B23D9C">
        <w:rPr>
          <w:b/>
          <w:highlight w:val="green"/>
        </w:rPr>
        <w:t>Agenda Item 6c): Signal and compatibility issues in the band 5000 to 5150 MHz</w:t>
      </w:r>
    </w:p>
    <w:p w:rsidR="00B23D9C" w:rsidRPr="00B23D9C" w:rsidRDefault="00B23D9C" w:rsidP="00B23D9C">
      <w:r w:rsidRPr="00B23D9C">
        <w:rPr>
          <w:i/>
          <w:iCs/>
          <w:sz w:val="20"/>
        </w:rPr>
        <w:t>Note: No papers have been presented under this agenda item.</w:t>
      </w:r>
    </w:p>
    <w:p w:rsidR="00B23D9C" w:rsidRPr="00B23D9C" w:rsidRDefault="00B23D9C" w:rsidP="00B23D9C"/>
    <w:p w:rsidR="00B23D9C" w:rsidRPr="00B23D9C" w:rsidRDefault="00B23D9C" w:rsidP="00B23D9C"/>
    <w:p w:rsidR="00B23D9C" w:rsidRPr="00B23D9C" w:rsidRDefault="00B23D9C" w:rsidP="00B23D9C"/>
    <w:p w:rsidR="00B23D9C" w:rsidRPr="00B23D9C" w:rsidRDefault="00B23D9C" w:rsidP="00B23D9C">
      <w:pPr>
        <w:rPr>
          <w:b/>
          <w:highlight w:val="green"/>
        </w:rPr>
      </w:pPr>
      <w:r w:rsidRPr="00B23D9C">
        <w:rPr>
          <w:b/>
          <w:highlight w:val="green"/>
        </w:rPr>
        <w:t>Agenda Item 6d): GNSS signal and interference issues</w:t>
      </w:r>
    </w:p>
    <w:p w:rsidR="00B23D9C" w:rsidRPr="00B23D9C" w:rsidRDefault="00B23D9C" w:rsidP="00B23D9C">
      <w:pPr>
        <w:rPr>
          <w:i/>
        </w:rPr>
      </w:pPr>
      <w:r w:rsidRPr="00B23D9C">
        <w:rPr>
          <w:i/>
        </w:rPr>
        <w:t>Note: The working and information papers covered by this agenda item were discussed by a joint meeting of the GNSS SARPs Working Group (GSWG), the Navigation Operations Working Group (NOWG) and the Spectrum Working group (SWG). The joint meeting was chaired by the rapporteurs of these working groups. They were assisted by Mr. Alessandro Capretti, the secretary of the NSP.</w:t>
      </w:r>
    </w:p>
    <w:p w:rsidR="00B23D9C" w:rsidRPr="00B23D9C" w:rsidRDefault="00B23D9C" w:rsidP="00B23D9C"/>
    <w:p w:rsidR="00B23D9C" w:rsidRPr="00B23D9C" w:rsidRDefault="00B23D9C" w:rsidP="00B23D9C">
      <w:pPr>
        <w:rPr>
          <w:b/>
          <w:highlight w:val="cyan"/>
        </w:rPr>
      </w:pPr>
      <w:r w:rsidRPr="00B23D9C">
        <w:rPr>
          <w:b/>
          <w:highlight w:val="cyan"/>
        </w:rPr>
        <w:t>WP19, Harmful Interference to Global Navigation Satellite System (GNSS) and its impact on Flight and Air Traffic Management operations.</w:t>
      </w:r>
    </w:p>
    <w:p w:rsidR="00B23D9C" w:rsidRPr="00B23D9C" w:rsidRDefault="00B23D9C" w:rsidP="00B23D9C">
      <w:pPr>
        <w:rPr>
          <w:szCs w:val="22"/>
        </w:rPr>
      </w:pPr>
    </w:p>
    <w:p w:rsidR="00B23D9C" w:rsidRPr="00B23D9C" w:rsidRDefault="00B23D9C" w:rsidP="00B23D9C">
      <w:pPr>
        <w:ind w:left="426" w:hanging="426"/>
      </w:pPr>
      <w:r w:rsidRPr="00B23D9C">
        <w:t xml:space="preserve">6d1) WP19 describes the impacts of interference to GNSS to flight and ATM operations. Reports of harmful interference to GNSS have been received by IATA from various airlines and airspace users. </w:t>
      </w:r>
      <w:r w:rsidRPr="00B23D9C">
        <w:lastRenderedPageBreak/>
        <w:t>WP19 contains an overview of reported impacts on airline flight operations. To address this issue of harmful interference to GNSS and to mitigate the operational risks associated with interference to GNSS a set of recommendations is proposed in WP19 to be reviewed and endorsed by the NSP so that it and other relevant material can be included into the ICAO GNSS Manual (Doc 9849).</w:t>
      </w:r>
    </w:p>
    <w:p w:rsidR="00B23D9C" w:rsidRPr="00B23D9C" w:rsidRDefault="00B23D9C" w:rsidP="00B23D9C">
      <w:pPr>
        <w:ind w:left="426" w:hanging="426"/>
      </w:pPr>
    </w:p>
    <w:p w:rsidR="00B23D9C" w:rsidRPr="00B23D9C" w:rsidRDefault="00B23D9C" w:rsidP="00B23D9C">
      <w:pPr>
        <w:ind w:left="426" w:hanging="426"/>
      </w:pPr>
      <w:r w:rsidRPr="00B23D9C">
        <w:t>6d2) In the discussion of WP19 it was pointed out by various participants that most of the recommendations are already covered by the draft GNSS RFI Mitigation Plan contained in WP36. Moreover, the SWG rapporteur reminded the meeting that guidance on GNSS RFI reporting to ICAO and States was developed by the ICAO NSP spectrum Sub-group in the form of two different GNSS-RFI reporting forms (flimsy8, rev1 and Flimsy 9 rev. 1 agreed at ICAO NSP, October 2014). While one form is intended to be used for States to report GNSS RFI with trans-border impact to ICAO, the second is to be used for reporting by airspace users to aviation and telecommunication regulation authorities within States. Introductory text provided with the forms gives guidance, how to use them (i.e. what to report to whom). The ICAO NSP secretary explained that these GNSS RFI reporting forms will be included into the GNSS Manual together with the GNSS RFI mitigation plan.</w:t>
      </w:r>
    </w:p>
    <w:p w:rsidR="00B23D9C" w:rsidRPr="00B23D9C" w:rsidRDefault="00B23D9C" w:rsidP="00B23D9C">
      <w:pPr>
        <w:ind w:left="426" w:hanging="426"/>
      </w:pPr>
      <w:r w:rsidRPr="00B23D9C">
        <w:t>6d3) Meeting participants told their observation that with the rise of the number of conflict zones ever more GNSS RFI incidents are observed near these zones, even on international flight routes. Furthermore use of GNSS jammers to prevent terror attacks against international conferences by means of GNSS-guided Remotely Piloted Aircraft has been reported. Although such jamming activities are usually coordinated by the authorities, they have nevertheless an impact to the GNSS-use by civil aviation in the vicinity.</w:t>
      </w:r>
    </w:p>
    <w:p w:rsidR="00B23D9C" w:rsidRPr="00B23D9C" w:rsidRDefault="00B23D9C" w:rsidP="00B23D9C">
      <w:pPr>
        <w:rPr>
          <w:szCs w:val="22"/>
        </w:rPr>
      </w:pPr>
    </w:p>
    <w:p w:rsidR="00B23D9C" w:rsidRPr="00B23D9C" w:rsidRDefault="00B23D9C" w:rsidP="00B23D9C">
      <w:pPr>
        <w:rPr>
          <w:b/>
          <w:highlight w:val="cyan"/>
        </w:rPr>
      </w:pPr>
    </w:p>
    <w:p w:rsidR="00B23D9C" w:rsidRPr="00B23D9C" w:rsidRDefault="00B23D9C" w:rsidP="00B23D9C">
      <w:pPr>
        <w:rPr>
          <w:b/>
          <w:highlight w:val="cyan"/>
        </w:rPr>
      </w:pPr>
      <w:r w:rsidRPr="00B23D9C">
        <w:rPr>
          <w:b/>
          <w:highlight w:val="cyan"/>
        </w:rPr>
        <w:t>WP36, Insertion of RFI Mitigation Plan into GNSS Manual</w:t>
      </w:r>
    </w:p>
    <w:p w:rsidR="00B23D9C" w:rsidRPr="00B23D9C" w:rsidRDefault="00B23D9C" w:rsidP="00B23D9C">
      <w:pPr>
        <w:ind w:left="426" w:hanging="426"/>
      </w:pPr>
      <w:r w:rsidRPr="00B23D9C">
        <w:t>6d4) WP36 contains a revised version of the draft GNSS RFI mitigation plan which takes into account change requests and comments by the previous SWG meeting as well obtained in the frame of a correspondence group, which was further reviewing the document since last meeting. In the first discussion of WP36 by the SWG, the meeting deemed the material sufficiently mature for inclusion into the GNSS Manual.</w:t>
      </w:r>
    </w:p>
    <w:p w:rsidR="00B23D9C" w:rsidRPr="00B23D9C" w:rsidRDefault="00B23D9C" w:rsidP="00B23D9C">
      <w:pPr>
        <w:ind w:left="426" w:hanging="426"/>
      </w:pPr>
      <w:r w:rsidRPr="00B23D9C">
        <w:t>6d5) However, in the subsequent discussion of WP36 by the joint meeting, the meeting agreed to place an action to the NSP secretary to send WP36 to the NSP panel members to ask them to provide comments to the draft GNSS RFI mitigation plan. The group agreed on the goal to adopt the revised document at the NSP panel meeting in December 2016 for inclusion into the GNSS Manual.</w:t>
      </w:r>
    </w:p>
    <w:p w:rsidR="00B23D9C" w:rsidRPr="00B23D9C" w:rsidRDefault="00B23D9C" w:rsidP="00B23D9C">
      <w:pPr>
        <w:ind w:left="426" w:hanging="426"/>
      </w:pPr>
      <w:r w:rsidRPr="00B23D9C">
        <w:t>6d6) In the context of the discussion of WP36 meeting participants pointed out that they are under pressure explaining in their States why ICAO Annex 10 specifies such low GNSS RFI threshold, although tests had shown that some of today’s receivers are more robust. It was explained that e.g. today’s GPS receivers are certified with respect to FAA TSO129, which is consistent with the GNSS RFI threshold specification of ICAO Annex 10. A higher robustness to interference, as well as a capability to detect and mitigate Spoofing can only be expected in the far future, when Multi Constellation Multi Frequency GNSS receivers are finally standardised (efforts by RTCA and EUROCAE to develop such standards had been discussed at the previous NSP meeting) and brought into the market. In the meantime, it cannot be ruled out that even on-board new aircraft GNSS receivers are installed that just comply with the existing ICAO GNSS RFI thresholds.</w:t>
      </w:r>
    </w:p>
    <w:p w:rsidR="00B23D9C" w:rsidRPr="00B23D9C" w:rsidRDefault="00B23D9C" w:rsidP="00B23D9C">
      <w:pPr>
        <w:ind w:left="426" w:hanging="426"/>
      </w:pPr>
    </w:p>
    <w:p w:rsidR="00B23D9C" w:rsidRPr="00B23D9C" w:rsidRDefault="00B23D9C" w:rsidP="00B23D9C">
      <w:pPr>
        <w:ind w:left="426" w:hanging="426"/>
      </w:pPr>
      <w:r w:rsidRPr="00B23D9C">
        <w:rPr>
          <w:b/>
          <w:u w:val="single"/>
        </w:rPr>
        <w:t>Action SWG02/10:</w:t>
      </w:r>
      <w:r w:rsidRPr="00B23D9C">
        <w:rPr>
          <w:b/>
        </w:rPr>
        <w:t xml:space="preserve"> </w:t>
      </w:r>
      <w:r w:rsidRPr="00B23D9C">
        <w:t>Alessandro Capretti to send the draft GNSS RFI mitigation plan (WP36) to all NSP panel members for further review.</w:t>
      </w:r>
    </w:p>
    <w:p w:rsidR="00B23D9C" w:rsidRPr="00B23D9C" w:rsidRDefault="00B23D9C" w:rsidP="00B23D9C">
      <w:pPr>
        <w:ind w:left="426" w:hanging="426"/>
      </w:pPr>
    </w:p>
    <w:p w:rsidR="00B23D9C" w:rsidRPr="00B23D9C" w:rsidRDefault="00B23D9C" w:rsidP="00B23D9C">
      <w:pPr>
        <w:ind w:left="426" w:hanging="426"/>
      </w:pPr>
    </w:p>
    <w:p w:rsidR="00B23D9C" w:rsidRPr="00B23D9C" w:rsidRDefault="00B23D9C" w:rsidP="00B23D9C">
      <w:pPr>
        <w:rPr>
          <w:b/>
          <w:highlight w:val="cyan"/>
        </w:rPr>
      </w:pPr>
      <w:r w:rsidRPr="00B23D9C">
        <w:rPr>
          <w:b/>
          <w:highlight w:val="cyan"/>
        </w:rPr>
        <w:t>WP37, rev.1, ABAS receiver protection criteria</w:t>
      </w:r>
    </w:p>
    <w:p w:rsidR="00B23D9C" w:rsidRPr="00B23D9C" w:rsidRDefault="00B23D9C" w:rsidP="00B23D9C">
      <w:pPr>
        <w:ind w:left="426" w:hanging="426"/>
      </w:pPr>
      <w:r w:rsidRPr="00B23D9C">
        <w:t xml:space="preserve">6d7) In WP37 it is explained that to improve clarity of the SARPs with respect to interference criteria applicable to ABAS receivers, the spectrum working group recommended at NSP/2 to insert a new note into ICAO Annex 10, Vol. I, App. B section 3.7.3.3.1 (Performance of ABAS) reading: “It is </w:t>
      </w:r>
      <w:r w:rsidRPr="00B23D9C">
        <w:lastRenderedPageBreak/>
        <w:t xml:space="preserve">assumed that a GNSS receiver used for the ABAS function is complying with the specific interference mask in Appendix B, section 3.7 “resistance to interference”. In reviewing the change, the author of WP37 noted that some inconsistency exists with respect to the term “augmentation” as used in the SARPs and made additional change proposals to section 3.7. In the discussion of WP37 in the SWG the group made further change request and agreed on the final version contained in revision 1 of WP37. </w:t>
      </w:r>
    </w:p>
    <w:p w:rsidR="00B23D9C" w:rsidRPr="00B23D9C" w:rsidRDefault="00B23D9C" w:rsidP="00B23D9C">
      <w:pPr>
        <w:ind w:left="426" w:hanging="426"/>
      </w:pPr>
    </w:p>
    <w:p w:rsidR="00B23D9C" w:rsidRPr="00B23D9C" w:rsidRDefault="00B23D9C" w:rsidP="00B23D9C">
      <w:pPr>
        <w:ind w:left="426" w:hanging="426"/>
      </w:pPr>
      <w:r w:rsidRPr="00B23D9C">
        <w:t>6d8) However during the discussion of WP37, rev.1 in the subsequent joint meeting, the meeting came to the conclusion that although the proposed changes to ICAO Annex 10, Vol. I, App. B section 3.7 provided more clarity than the existing text, the proposed changes were minor and there was no pressing need to make these changes. Nevertheless it was recommended to retain content of WP37, rev.1 for possible inclusion into ICAO Annex 10 when making major other changes to the GNSS RFI standards in the future.</w:t>
      </w:r>
    </w:p>
    <w:p w:rsidR="00B23D9C" w:rsidRPr="00B23D9C" w:rsidRDefault="00B23D9C" w:rsidP="00B23D9C">
      <w:pPr>
        <w:ind w:left="426" w:hanging="426"/>
      </w:pPr>
    </w:p>
    <w:p w:rsidR="00B23D9C" w:rsidRPr="00B23D9C" w:rsidRDefault="00B23D9C" w:rsidP="00B23D9C">
      <w:pPr>
        <w:ind w:left="426" w:hanging="426"/>
      </w:pPr>
    </w:p>
    <w:p w:rsidR="00B23D9C" w:rsidRPr="00B23D9C" w:rsidRDefault="00B23D9C" w:rsidP="00B23D9C">
      <w:pPr>
        <w:rPr>
          <w:b/>
          <w:highlight w:val="cyan"/>
        </w:rPr>
      </w:pPr>
      <w:r w:rsidRPr="00B23D9C">
        <w:rPr>
          <w:b/>
          <w:highlight w:val="cyan"/>
        </w:rPr>
        <w:t>IP25, Resiliency Considerations for use of GPS UTC Offset (UTCO) Information</w:t>
      </w:r>
    </w:p>
    <w:p w:rsidR="00B23D9C" w:rsidRPr="00B23D9C" w:rsidRDefault="00B23D9C" w:rsidP="00B23D9C">
      <w:pPr>
        <w:ind w:left="426" w:hanging="426"/>
      </w:pPr>
      <w:r w:rsidRPr="00B23D9C">
        <w:t>6d9) The joint meeting noted from the presentation of IP25 that this paper provides information regarding resiliency considerations for States’ use of GPS UTC information within aviation infrastructure and supporting systems. The United States intends to include the final version of these considerations as an appendix in the next update to the September 2008 4</w:t>
      </w:r>
      <w:r w:rsidRPr="00B23D9C">
        <w:rPr>
          <w:vertAlign w:val="superscript"/>
        </w:rPr>
        <w:t>th</w:t>
      </w:r>
      <w:r w:rsidRPr="00B23D9C">
        <w:t xml:space="preserve"> Edition of the GPS Performance Standard. The attachment provides draft information regarding: definitions, suggested guidance materials, threats/risks, and resiliency logic that can be implemented in a GPS timing receiver used in application systems and supporting notes.</w:t>
      </w:r>
    </w:p>
    <w:p w:rsidR="00B23D9C" w:rsidRPr="00B23D9C" w:rsidRDefault="00B23D9C" w:rsidP="00B23D9C"/>
    <w:p w:rsidR="00B23D9C" w:rsidRPr="00B23D9C" w:rsidRDefault="00B23D9C" w:rsidP="00B23D9C"/>
    <w:p w:rsidR="00B23D9C" w:rsidRPr="00B23D9C" w:rsidRDefault="00B23D9C" w:rsidP="00B23D9C">
      <w:pPr>
        <w:rPr>
          <w:b/>
          <w:highlight w:val="green"/>
        </w:rPr>
      </w:pPr>
      <w:r w:rsidRPr="00B23D9C">
        <w:rPr>
          <w:b/>
          <w:highlight w:val="green"/>
        </w:rPr>
        <w:t>Agenda Item 6e): Open actions for SWG from ICAO NSP Panel meetings</w:t>
      </w:r>
    </w:p>
    <w:p w:rsidR="00B23D9C" w:rsidRPr="00B23D9C" w:rsidRDefault="00B23D9C" w:rsidP="00B23D9C">
      <w:pPr>
        <w:rPr>
          <w:i/>
        </w:rPr>
      </w:pPr>
      <w:r w:rsidRPr="00B23D9C">
        <w:rPr>
          <w:i/>
        </w:rPr>
        <w:t>Note: No papers were presented and no discussion took place under this agenda item.</w:t>
      </w:r>
    </w:p>
    <w:p w:rsidR="00B23D9C" w:rsidRPr="00B23D9C" w:rsidRDefault="00B23D9C" w:rsidP="00B23D9C">
      <w:pPr>
        <w:rPr>
          <w:sz w:val="20"/>
        </w:rPr>
      </w:pPr>
    </w:p>
    <w:p w:rsidR="00B23D9C" w:rsidRPr="00B23D9C" w:rsidRDefault="00B23D9C" w:rsidP="00B23D9C">
      <w:pPr>
        <w:rPr>
          <w:sz w:val="20"/>
        </w:rPr>
      </w:pPr>
    </w:p>
    <w:p w:rsidR="00B23D9C" w:rsidRPr="00B23D9C" w:rsidRDefault="00B23D9C" w:rsidP="00B23D9C">
      <w:pPr>
        <w:rPr>
          <w:b/>
        </w:rPr>
      </w:pPr>
      <w:r w:rsidRPr="00B23D9C">
        <w:rPr>
          <w:b/>
          <w:highlight w:val="green"/>
        </w:rPr>
        <w:t>Agenda Item 6f): Spectrum – any other business</w:t>
      </w:r>
    </w:p>
    <w:p w:rsidR="00B23D9C" w:rsidRPr="00B23D9C" w:rsidRDefault="00B23D9C" w:rsidP="00B23D9C">
      <w:pPr>
        <w:ind w:left="426" w:hanging="426"/>
      </w:pPr>
    </w:p>
    <w:p w:rsidR="00B23D9C" w:rsidRPr="00B23D9C" w:rsidRDefault="00B23D9C" w:rsidP="00B23D9C">
      <w:pPr>
        <w:rPr>
          <w:i/>
        </w:rPr>
      </w:pPr>
      <w:r w:rsidRPr="00B23D9C">
        <w:rPr>
          <w:i/>
        </w:rPr>
        <w:t>Note: No papers were presented and no discussion took place under this agenda item.</w:t>
      </w:r>
    </w:p>
    <w:p w:rsidR="00B23D9C" w:rsidRPr="00B23D9C" w:rsidRDefault="00B23D9C" w:rsidP="00B23D9C"/>
    <w:p w:rsidR="00B23D9C" w:rsidRPr="00B23D9C" w:rsidRDefault="00B23D9C" w:rsidP="00B23D9C"/>
    <w:p w:rsidR="00B23D9C" w:rsidRPr="00B23D9C" w:rsidRDefault="00B23D9C" w:rsidP="00B23D9C"/>
    <w:p w:rsidR="00B23D9C" w:rsidRPr="00B23D9C" w:rsidRDefault="00B23D9C" w:rsidP="00B23D9C">
      <w:pPr>
        <w:rPr>
          <w:b/>
          <w:bCs/>
        </w:rPr>
      </w:pPr>
      <w:r w:rsidRPr="00B23D9C">
        <w:rPr>
          <w:b/>
          <w:bCs/>
        </w:rPr>
        <w:t>III</w:t>
      </w:r>
      <w:r w:rsidRPr="00B23D9C">
        <w:rPr>
          <w:b/>
          <w:bCs/>
        </w:rPr>
        <w:tab/>
        <w:t>Administrative matters</w:t>
      </w:r>
    </w:p>
    <w:p w:rsidR="00B23D9C" w:rsidRPr="00B23D9C" w:rsidRDefault="00B23D9C" w:rsidP="00B23D9C"/>
    <w:p w:rsidR="00B23D9C" w:rsidRPr="00B23D9C" w:rsidRDefault="00B23D9C" w:rsidP="00B23D9C">
      <w:r w:rsidRPr="00B23D9C">
        <w:t>An updated action item list of the SWG can be found as Attachment B of this report. The next meeting of the Spectrum Working Group is expected to take place in conjunction with the next ICAO NSP Panel meeting in Montreal, which will be meeting in the weeks between 28</w:t>
      </w:r>
      <w:r w:rsidRPr="00B23D9C">
        <w:rPr>
          <w:vertAlign w:val="superscript"/>
        </w:rPr>
        <w:t>th</w:t>
      </w:r>
      <w:r w:rsidRPr="00B23D9C">
        <w:t xml:space="preserve"> of November and 9</w:t>
      </w:r>
      <w:r w:rsidRPr="00B23D9C">
        <w:rPr>
          <w:vertAlign w:val="superscript"/>
        </w:rPr>
        <w:t>th</w:t>
      </w:r>
      <w:r w:rsidRPr="00B23D9C">
        <w:t xml:space="preserve"> of December 2016. The SWG expressed need to have a joint working session with the GBAS Working Group.</w:t>
      </w:r>
    </w:p>
    <w:p w:rsidR="00B23D9C" w:rsidRPr="00B23D9C" w:rsidRDefault="00B23D9C" w:rsidP="00B23D9C">
      <w:pPr>
        <w:rPr>
          <w:b/>
          <w:bCs/>
        </w:rPr>
      </w:pPr>
      <w:r w:rsidRPr="00B23D9C">
        <w:br w:type="page"/>
      </w:r>
      <w:r w:rsidRPr="00B23D9C">
        <w:rPr>
          <w:b/>
          <w:bCs/>
        </w:rPr>
        <w:lastRenderedPageBreak/>
        <w:t>ATTACHMENT A: ACTION ITEM LIST</w:t>
      </w:r>
    </w:p>
    <w:p w:rsidR="00B23D9C" w:rsidRPr="00B23D9C" w:rsidRDefault="00B23D9C" w:rsidP="00B23D9C"/>
    <w:tbl>
      <w:tblPr>
        <w:tblW w:w="918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4"/>
        <w:gridCol w:w="3346"/>
        <w:gridCol w:w="1620"/>
        <w:gridCol w:w="2880"/>
      </w:tblGrid>
      <w:tr w:rsidR="00B23D9C" w:rsidRPr="00B23D9C" w:rsidTr="008A3B9F">
        <w:tc>
          <w:tcPr>
            <w:tcW w:w="1334" w:type="dxa"/>
            <w:tcBorders>
              <w:bottom w:val="nil"/>
            </w:tcBorders>
          </w:tcPr>
          <w:p w:rsidR="00B23D9C" w:rsidRPr="00B23D9C" w:rsidRDefault="00B23D9C" w:rsidP="008A3B9F">
            <w:pPr>
              <w:rPr>
                <w:b/>
                <w:bCs/>
                <w:sz w:val="20"/>
              </w:rPr>
            </w:pPr>
            <w:r w:rsidRPr="00B23D9C">
              <w:rPr>
                <w:b/>
                <w:bCs/>
                <w:sz w:val="20"/>
              </w:rPr>
              <w:t>Action number</w:t>
            </w:r>
          </w:p>
        </w:tc>
        <w:tc>
          <w:tcPr>
            <w:tcW w:w="3346" w:type="dxa"/>
            <w:tcBorders>
              <w:bottom w:val="nil"/>
            </w:tcBorders>
          </w:tcPr>
          <w:p w:rsidR="00B23D9C" w:rsidRPr="00B23D9C" w:rsidRDefault="00B23D9C" w:rsidP="008A3B9F">
            <w:pPr>
              <w:rPr>
                <w:b/>
                <w:bCs/>
                <w:sz w:val="20"/>
              </w:rPr>
            </w:pPr>
            <w:r w:rsidRPr="00B23D9C">
              <w:rPr>
                <w:b/>
                <w:bCs/>
                <w:sz w:val="20"/>
              </w:rPr>
              <w:t>Action</w:t>
            </w:r>
          </w:p>
          <w:p w:rsidR="00B23D9C" w:rsidRPr="00B23D9C" w:rsidRDefault="00B23D9C" w:rsidP="008A3B9F">
            <w:pPr>
              <w:rPr>
                <w:b/>
                <w:bCs/>
                <w:sz w:val="20"/>
              </w:rPr>
            </w:pPr>
          </w:p>
        </w:tc>
        <w:tc>
          <w:tcPr>
            <w:tcW w:w="1620" w:type="dxa"/>
            <w:tcBorders>
              <w:bottom w:val="nil"/>
            </w:tcBorders>
          </w:tcPr>
          <w:p w:rsidR="00B23D9C" w:rsidRPr="00B23D9C" w:rsidRDefault="00B23D9C" w:rsidP="008A3B9F">
            <w:pPr>
              <w:rPr>
                <w:b/>
                <w:bCs/>
                <w:sz w:val="20"/>
              </w:rPr>
            </w:pPr>
            <w:r w:rsidRPr="00B23D9C">
              <w:rPr>
                <w:b/>
                <w:bCs/>
                <w:sz w:val="20"/>
              </w:rPr>
              <w:t>Actionees</w:t>
            </w:r>
          </w:p>
        </w:tc>
        <w:tc>
          <w:tcPr>
            <w:tcW w:w="2880" w:type="dxa"/>
            <w:tcBorders>
              <w:bottom w:val="nil"/>
            </w:tcBorders>
          </w:tcPr>
          <w:p w:rsidR="00B23D9C" w:rsidRPr="00B23D9C" w:rsidRDefault="00B23D9C" w:rsidP="008A3B9F">
            <w:pPr>
              <w:rPr>
                <w:b/>
                <w:bCs/>
                <w:sz w:val="20"/>
              </w:rPr>
            </w:pPr>
            <w:r w:rsidRPr="00B23D9C">
              <w:rPr>
                <w:b/>
                <w:bCs/>
                <w:sz w:val="20"/>
              </w:rPr>
              <w:t>Status</w:t>
            </w:r>
          </w:p>
        </w:tc>
      </w:tr>
      <w:tr w:rsidR="00B23D9C" w:rsidRPr="00B23D9C" w:rsidTr="008A3B9F">
        <w:tc>
          <w:tcPr>
            <w:tcW w:w="9180" w:type="dxa"/>
            <w:gridSpan w:val="4"/>
          </w:tcPr>
          <w:p w:rsidR="00B23D9C" w:rsidRPr="00B23D9C" w:rsidRDefault="00B23D9C" w:rsidP="008A3B9F">
            <w:pPr>
              <w:rPr>
                <w:b/>
                <w:bCs/>
                <w:sz w:val="20"/>
              </w:rPr>
            </w:pPr>
          </w:p>
          <w:p w:rsidR="00B23D9C" w:rsidRPr="00B23D9C" w:rsidRDefault="00B23D9C" w:rsidP="008A3B9F">
            <w:pPr>
              <w:rPr>
                <w:b/>
                <w:bCs/>
                <w:sz w:val="20"/>
              </w:rPr>
            </w:pPr>
            <w:r w:rsidRPr="00B23D9C">
              <w:rPr>
                <w:b/>
                <w:bCs/>
                <w:sz w:val="20"/>
              </w:rPr>
              <w:t>Actions from the Montreal meeting October 2006 (SSG10):</w:t>
            </w:r>
          </w:p>
          <w:p w:rsidR="00B23D9C" w:rsidRPr="00B23D9C" w:rsidRDefault="00B23D9C" w:rsidP="008A3B9F">
            <w:pPr>
              <w:rPr>
                <w:sz w:val="20"/>
              </w:rPr>
            </w:pPr>
          </w:p>
        </w:tc>
      </w:tr>
      <w:tr w:rsidR="00B23D9C" w:rsidRPr="00B23D9C" w:rsidTr="008A3B9F">
        <w:tc>
          <w:tcPr>
            <w:tcW w:w="1334" w:type="dxa"/>
          </w:tcPr>
          <w:p w:rsidR="00B23D9C" w:rsidRPr="00B23D9C" w:rsidRDefault="00B23D9C" w:rsidP="008A3B9F">
            <w:pPr>
              <w:rPr>
                <w:sz w:val="20"/>
              </w:rPr>
            </w:pPr>
            <w:r w:rsidRPr="00B23D9C">
              <w:rPr>
                <w:sz w:val="20"/>
              </w:rPr>
              <w:t>SSG10/10</w:t>
            </w:r>
          </w:p>
        </w:tc>
        <w:tc>
          <w:tcPr>
            <w:tcW w:w="3346" w:type="dxa"/>
          </w:tcPr>
          <w:p w:rsidR="00B23D9C" w:rsidRPr="00B23D9C" w:rsidRDefault="00B23D9C" w:rsidP="008A3B9F">
            <w:pPr>
              <w:rPr>
                <w:sz w:val="20"/>
              </w:rPr>
            </w:pPr>
            <w:r w:rsidRPr="00B23D9C">
              <w:rPr>
                <w:sz w:val="20"/>
              </w:rPr>
              <w:t>To develop more detailed frequency coordination criteria between GBAS and VHF-COM as well as GBAS and ILS for publication by ICAO.</w:t>
            </w:r>
          </w:p>
        </w:tc>
        <w:tc>
          <w:tcPr>
            <w:tcW w:w="1620" w:type="dxa"/>
          </w:tcPr>
          <w:p w:rsidR="00B23D9C" w:rsidRPr="00B23D9C" w:rsidRDefault="00B23D9C" w:rsidP="008A3B9F">
            <w:pPr>
              <w:rPr>
                <w:sz w:val="20"/>
              </w:rPr>
            </w:pPr>
            <w:r w:rsidRPr="00B23D9C">
              <w:rPr>
                <w:sz w:val="20"/>
              </w:rPr>
              <w:t>SSG</w:t>
            </w:r>
          </w:p>
        </w:tc>
        <w:tc>
          <w:tcPr>
            <w:tcW w:w="2880" w:type="dxa"/>
          </w:tcPr>
          <w:p w:rsidR="00B23D9C" w:rsidRPr="00B23D9C" w:rsidRDefault="00B23D9C" w:rsidP="008A3B9F">
            <w:pPr>
              <w:rPr>
                <w:sz w:val="20"/>
              </w:rPr>
            </w:pPr>
            <w:r w:rsidRPr="00B23D9C">
              <w:rPr>
                <w:sz w:val="20"/>
              </w:rPr>
              <w:t>Ongoing, partly fulfilled by SSG18/WP16, SSG18/IP08, SSG19/WP9</w:t>
            </w:r>
          </w:p>
          <w:p w:rsidR="00B23D9C" w:rsidRPr="00B23D9C" w:rsidRDefault="00B23D9C" w:rsidP="008A3B9F">
            <w:pPr>
              <w:rPr>
                <w:sz w:val="20"/>
              </w:rPr>
            </w:pPr>
            <w:r w:rsidRPr="00B23D9C">
              <w:rPr>
                <w:sz w:val="20"/>
              </w:rPr>
              <w:t>SSG23/WP6, SSG24/WP04</w:t>
            </w:r>
          </w:p>
        </w:tc>
      </w:tr>
      <w:tr w:rsidR="00B23D9C" w:rsidRPr="00B23D9C" w:rsidTr="008A3B9F">
        <w:tc>
          <w:tcPr>
            <w:tcW w:w="9180" w:type="dxa"/>
            <w:gridSpan w:val="4"/>
            <w:vAlign w:val="center"/>
          </w:tcPr>
          <w:p w:rsidR="00B23D9C" w:rsidRPr="00B23D9C" w:rsidRDefault="00B23D9C" w:rsidP="008A3B9F">
            <w:pPr>
              <w:rPr>
                <w:b/>
                <w:bCs/>
                <w:sz w:val="20"/>
              </w:rPr>
            </w:pPr>
          </w:p>
          <w:p w:rsidR="00B23D9C" w:rsidRPr="00B23D9C" w:rsidRDefault="00B23D9C" w:rsidP="008A3B9F">
            <w:pPr>
              <w:rPr>
                <w:b/>
                <w:bCs/>
                <w:sz w:val="20"/>
              </w:rPr>
            </w:pPr>
            <w:r w:rsidRPr="00B23D9C">
              <w:rPr>
                <w:b/>
                <w:bCs/>
                <w:sz w:val="20"/>
              </w:rPr>
              <w:t>Actions from the Montreal meeting May 2010 (SSG16):</w:t>
            </w:r>
          </w:p>
          <w:p w:rsidR="00B23D9C" w:rsidRPr="00B23D9C" w:rsidRDefault="00B23D9C" w:rsidP="008A3B9F">
            <w:pPr>
              <w:rPr>
                <w:sz w:val="20"/>
              </w:rPr>
            </w:pPr>
          </w:p>
        </w:tc>
      </w:tr>
      <w:tr w:rsidR="00B23D9C" w:rsidRPr="00B23D9C" w:rsidTr="008A3B9F">
        <w:tc>
          <w:tcPr>
            <w:tcW w:w="1334" w:type="dxa"/>
          </w:tcPr>
          <w:p w:rsidR="00B23D9C" w:rsidRPr="00B23D9C" w:rsidRDefault="00B23D9C" w:rsidP="008A3B9F">
            <w:pPr>
              <w:rPr>
                <w:sz w:val="20"/>
              </w:rPr>
            </w:pPr>
            <w:r w:rsidRPr="00B23D9C">
              <w:rPr>
                <w:sz w:val="20"/>
              </w:rPr>
              <w:t>SSG16/2</w:t>
            </w:r>
          </w:p>
        </w:tc>
        <w:tc>
          <w:tcPr>
            <w:tcW w:w="3346" w:type="dxa"/>
          </w:tcPr>
          <w:p w:rsidR="00B23D9C" w:rsidRPr="00B23D9C" w:rsidRDefault="00B23D9C" w:rsidP="008A3B9F">
            <w:pPr>
              <w:rPr>
                <w:sz w:val="20"/>
              </w:rPr>
            </w:pPr>
            <w:r w:rsidRPr="00B23D9C">
              <w:rPr>
                <w:sz w:val="20"/>
              </w:rPr>
              <w:t>To provide results of the compatibility studies of L-DACS and DME.</w:t>
            </w:r>
          </w:p>
        </w:tc>
        <w:tc>
          <w:tcPr>
            <w:tcW w:w="1620" w:type="dxa"/>
          </w:tcPr>
          <w:p w:rsidR="00B23D9C" w:rsidRPr="00B23D9C" w:rsidRDefault="00B23D9C" w:rsidP="008A3B9F">
            <w:pPr>
              <w:rPr>
                <w:sz w:val="20"/>
              </w:rPr>
            </w:pPr>
            <w:r w:rsidRPr="00B23D9C">
              <w:rPr>
                <w:sz w:val="20"/>
              </w:rPr>
              <w:t>SSG members</w:t>
            </w:r>
          </w:p>
        </w:tc>
        <w:tc>
          <w:tcPr>
            <w:tcW w:w="2880" w:type="dxa"/>
          </w:tcPr>
          <w:p w:rsidR="00B23D9C" w:rsidRPr="00B23D9C" w:rsidRDefault="00B23D9C" w:rsidP="008A3B9F">
            <w:pPr>
              <w:rPr>
                <w:sz w:val="20"/>
              </w:rPr>
            </w:pPr>
            <w:r w:rsidRPr="00B23D9C">
              <w:rPr>
                <w:sz w:val="20"/>
              </w:rPr>
              <w:t>Ongoing, partly fulfilled by SSG17/IP1 and SSG17/IP2,</w:t>
            </w:r>
          </w:p>
          <w:p w:rsidR="00B23D9C" w:rsidRPr="00B23D9C" w:rsidRDefault="00B23D9C" w:rsidP="008A3B9F">
            <w:pPr>
              <w:rPr>
                <w:sz w:val="20"/>
              </w:rPr>
            </w:pPr>
            <w:r w:rsidRPr="00B23D9C">
              <w:rPr>
                <w:sz w:val="20"/>
              </w:rPr>
              <w:t>IP20 of SSG18</w:t>
            </w:r>
          </w:p>
        </w:tc>
      </w:tr>
      <w:tr w:rsidR="00B23D9C" w:rsidRPr="00B23D9C" w:rsidTr="008A3B9F">
        <w:tc>
          <w:tcPr>
            <w:tcW w:w="9180" w:type="dxa"/>
            <w:gridSpan w:val="4"/>
          </w:tcPr>
          <w:p w:rsidR="00B23D9C" w:rsidRPr="00B23D9C" w:rsidRDefault="00B23D9C" w:rsidP="008A3B9F">
            <w:pPr>
              <w:rPr>
                <w:sz w:val="20"/>
                <w:highlight w:val="yellow"/>
              </w:rPr>
            </w:pPr>
          </w:p>
          <w:p w:rsidR="00B23D9C" w:rsidRPr="00B23D9C" w:rsidRDefault="00B23D9C" w:rsidP="008A3B9F">
            <w:pPr>
              <w:rPr>
                <w:b/>
                <w:bCs/>
                <w:sz w:val="20"/>
              </w:rPr>
            </w:pPr>
            <w:r w:rsidRPr="00B23D9C">
              <w:rPr>
                <w:b/>
                <w:bCs/>
                <w:sz w:val="20"/>
              </w:rPr>
              <w:t>Actions from the Montreal meeting May 2012 (SSG19):</w:t>
            </w:r>
          </w:p>
          <w:p w:rsidR="00B23D9C" w:rsidRPr="00B23D9C" w:rsidRDefault="00B23D9C" w:rsidP="008A3B9F">
            <w:pPr>
              <w:rPr>
                <w:sz w:val="20"/>
                <w:highlight w:val="yellow"/>
              </w:rPr>
            </w:pPr>
          </w:p>
        </w:tc>
      </w:tr>
      <w:tr w:rsidR="00B23D9C" w:rsidRPr="00B23D9C" w:rsidTr="008A3B9F">
        <w:tc>
          <w:tcPr>
            <w:tcW w:w="1334" w:type="dxa"/>
          </w:tcPr>
          <w:p w:rsidR="00B23D9C" w:rsidRPr="00B23D9C" w:rsidRDefault="00B23D9C" w:rsidP="008A3B9F">
            <w:pPr>
              <w:rPr>
                <w:sz w:val="20"/>
              </w:rPr>
            </w:pPr>
            <w:r w:rsidRPr="00B23D9C">
              <w:rPr>
                <w:sz w:val="20"/>
              </w:rPr>
              <w:t>SSG19/1</w:t>
            </w:r>
          </w:p>
        </w:tc>
        <w:tc>
          <w:tcPr>
            <w:tcW w:w="3346" w:type="dxa"/>
          </w:tcPr>
          <w:p w:rsidR="00B23D9C" w:rsidRPr="00B23D9C" w:rsidRDefault="00B23D9C" w:rsidP="008A3B9F">
            <w:pPr>
              <w:rPr>
                <w:sz w:val="20"/>
              </w:rPr>
            </w:pPr>
            <w:r w:rsidRPr="00B23D9C">
              <w:rPr>
                <w:sz w:val="20"/>
              </w:rPr>
              <w:t>To insert a note into Vol. II of the ICAO RF Handbook, Doc 9718 to make States aware on the potential of interference into GBAS VDB monitor systems.</w:t>
            </w:r>
          </w:p>
        </w:tc>
        <w:tc>
          <w:tcPr>
            <w:tcW w:w="1620" w:type="dxa"/>
          </w:tcPr>
          <w:p w:rsidR="00B23D9C" w:rsidRPr="00B23D9C" w:rsidRDefault="00B23D9C" w:rsidP="008A3B9F">
            <w:pPr>
              <w:rPr>
                <w:sz w:val="20"/>
              </w:rPr>
            </w:pPr>
            <w:r w:rsidRPr="00B23D9C">
              <w:rPr>
                <w:sz w:val="20"/>
              </w:rPr>
              <w:t>SWG rapporteur to propose text to ICAO FSMP</w:t>
            </w:r>
          </w:p>
        </w:tc>
        <w:tc>
          <w:tcPr>
            <w:tcW w:w="2880" w:type="dxa"/>
          </w:tcPr>
          <w:p w:rsidR="00B23D9C" w:rsidRPr="00B23D9C" w:rsidRDefault="00B23D9C" w:rsidP="008A3B9F">
            <w:pPr>
              <w:rPr>
                <w:sz w:val="20"/>
              </w:rPr>
            </w:pPr>
            <w:r w:rsidRPr="00B23D9C">
              <w:rPr>
                <w:sz w:val="20"/>
              </w:rPr>
              <w:t>Open</w:t>
            </w:r>
          </w:p>
        </w:tc>
      </w:tr>
      <w:tr w:rsidR="00B23D9C" w:rsidRPr="00B23D9C" w:rsidTr="008A3B9F">
        <w:tc>
          <w:tcPr>
            <w:tcW w:w="9180" w:type="dxa"/>
            <w:gridSpan w:val="4"/>
          </w:tcPr>
          <w:p w:rsidR="00B23D9C" w:rsidRPr="00B23D9C" w:rsidRDefault="00B23D9C" w:rsidP="008A3B9F">
            <w:pPr>
              <w:rPr>
                <w:b/>
                <w:bCs/>
                <w:sz w:val="20"/>
              </w:rPr>
            </w:pPr>
          </w:p>
          <w:p w:rsidR="00B23D9C" w:rsidRPr="00B23D9C" w:rsidRDefault="00B23D9C" w:rsidP="008A3B9F">
            <w:pPr>
              <w:rPr>
                <w:b/>
                <w:bCs/>
                <w:sz w:val="20"/>
              </w:rPr>
            </w:pPr>
            <w:r w:rsidRPr="00B23D9C">
              <w:rPr>
                <w:b/>
                <w:bCs/>
                <w:sz w:val="20"/>
              </w:rPr>
              <w:t>Actions from the Montreal meeting March 2013 (SSG20):</w:t>
            </w:r>
          </w:p>
          <w:p w:rsidR="00B23D9C" w:rsidRPr="00B23D9C" w:rsidRDefault="00B23D9C" w:rsidP="008A3B9F">
            <w:pPr>
              <w:rPr>
                <w:sz w:val="20"/>
              </w:rPr>
            </w:pPr>
          </w:p>
        </w:tc>
      </w:tr>
      <w:tr w:rsidR="00B23D9C" w:rsidRPr="00B23D9C" w:rsidTr="008A3B9F">
        <w:tc>
          <w:tcPr>
            <w:tcW w:w="1334" w:type="dxa"/>
          </w:tcPr>
          <w:p w:rsidR="00B23D9C" w:rsidRPr="00B23D9C" w:rsidRDefault="00B23D9C" w:rsidP="008A3B9F">
            <w:pPr>
              <w:rPr>
                <w:sz w:val="20"/>
              </w:rPr>
            </w:pPr>
            <w:r w:rsidRPr="00B23D9C">
              <w:rPr>
                <w:sz w:val="20"/>
              </w:rPr>
              <w:t>SSG20/02</w:t>
            </w:r>
          </w:p>
        </w:tc>
        <w:tc>
          <w:tcPr>
            <w:tcW w:w="3346" w:type="dxa"/>
          </w:tcPr>
          <w:p w:rsidR="00B23D9C" w:rsidRPr="00B23D9C" w:rsidRDefault="00B23D9C" w:rsidP="008A3B9F">
            <w:pPr>
              <w:rPr>
                <w:sz w:val="20"/>
              </w:rPr>
            </w:pPr>
            <w:r w:rsidRPr="00B23D9C">
              <w:rPr>
                <w:sz w:val="20"/>
              </w:rPr>
              <w:t>To bring future GBAS VDB related change proposals by RTCA SC-159 WG4 to the attention of SSG.</w:t>
            </w:r>
          </w:p>
        </w:tc>
        <w:tc>
          <w:tcPr>
            <w:tcW w:w="1620" w:type="dxa"/>
          </w:tcPr>
          <w:p w:rsidR="00B23D9C" w:rsidRPr="00B23D9C" w:rsidRDefault="00B23D9C" w:rsidP="008A3B9F">
            <w:pPr>
              <w:rPr>
                <w:sz w:val="20"/>
              </w:rPr>
            </w:pPr>
            <w:r w:rsidRPr="00B23D9C">
              <w:rPr>
                <w:sz w:val="20"/>
              </w:rPr>
              <w:t>Bruce Johnson</w:t>
            </w:r>
          </w:p>
        </w:tc>
        <w:tc>
          <w:tcPr>
            <w:tcW w:w="2880" w:type="dxa"/>
          </w:tcPr>
          <w:p w:rsidR="00B23D9C" w:rsidRPr="00B23D9C" w:rsidRDefault="00B23D9C" w:rsidP="008A3B9F">
            <w:pPr>
              <w:rPr>
                <w:sz w:val="20"/>
              </w:rPr>
            </w:pPr>
            <w:r w:rsidRPr="00B23D9C">
              <w:rPr>
                <w:sz w:val="20"/>
              </w:rPr>
              <w:t>Ongoing, partly fulfilled, by contributions to the Feb. 2015 meeting of ICAO NSP CSG at Ishigaki. Discarded at SWG/1</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SSG20/04</w:t>
            </w:r>
          </w:p>
        </w:tc>
        <w:tc>
          <w:tcPr>
            <w:tcW w:w="3346" w:type="dxa"/>
            <w:shd w:val="clear" w:color="auto" w:fill="FFFFFF"/>
          </w:tcPr>
          <w:p w:rsidR="00B23D9C" w:rsidRPr="00B23D9C" w:rsidRDefault="00B23D9C" w:rsidP="008A3B9F">
            <w:pPr>
              <w:rPr>
                <w:sz w:val="20"/>
              </w:rPr>
            </w:pPr>
            <w:r w:rsidRPr="00B23D9C">
              <w:rPr>
                <w:sz w:val="20"/>
              </w:rPr>
              <w:t>To analyse DME coverage limitations in the context of DME/DME RNAV use.</w:t>
            </w:r>
          </w:p>
        </w:tc>
        <w:tc>
          <w:tcPr>
            <w:tcW w:w="1620" w:type="dxa"/>
            <w:shd w:val="clear" w:color="auto" w:fill="FFFFFF"/>
          </w:tcPr>
          <w:p w:rsidR="00B23D9C" w:rsidRPr="00B23D9C" w:rsidRDefault="00B23D9C" w:rsidP="008A3B9F">
            <w:pPr>
              <w:rPr>
                <w:sz w:val="20"/>
              </w:rPr>
            </w:pPr>
            <w:r w:rsidRPr="00B23D9C">
              <w:rPr>
                <w:sz w:val="20"/>
              </w:rPr>
              <w:t>EURO-CONTROL</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9180" w:type="dxa"/>
            <w:gridSpan w:val="4"/>
            <w:shd w:val="clear" w:color="auto" w:fill="FFFFFF"/>
          </w:tcPr>
          <w:p w:rsidR="00B23D9C" w:rsidRPr="00B23D9C" w:rsidRDefault="00B23D9C" w:rsidP="008A3B9F">
            <w:pPr>
              <w:rPr>
                <w:b/>
                <w:bCs/>
                <w:sz w:val="20"/>
              </w:rPr>
            </w:pPr>
          </w:p>
          <w:p w:rsidR="00B23D9C" w:rsidRPr="00B23D9C" w:rsidRDefault="00B23D9C" w:rsidP="008A3B9F">
            <w:pPr>
              <w:rPr>
                <w:b/>
                <w:bCs/>
                <w:sz w:val="20"/>
              </w:rPr>
            </w:pPr>
            <w:r w:rsidRPr="00B23D9C">
              <w:rPr>
                <w:b/>
                <w:bCs/>
                <w:sz w:val="20"/>
              </w:rPr>
              <w:t>Actions from the Montreal meeting November 2013 (SSG21):</w:t>
            </w:r>
          </w:p>
          <w:p w:rsidR="00B23D9C" w:rsidRPr="00B23D9C" w:rsidRDefault="00B23D9C" w:rsidP="008A3B9F">
            <w:pPr>
              <w:rPr>
                <w:sz w:val="20"/>
              </w:rPr>
            </w:pP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SSG21/01</w:t>
            </w:r>
          </w:p>
        </w:tc>
        <w:tc>
          <w:tcPr>
            <w:tcW w:w="3346" w:type="dxa"/>
            <w:shd w:val="clear" w:color="auto" w:fill="FFFFFF"/>
          </w:tcPr>
          <w:p w:rsidR="00B23D9C" w:rsidRPr="00B23D9C" w:rsidRDefault="00B23D9C" w:rsidP="008A3B9F">
            <w:pPr>
              <w:rPr>
                <w:sz w:val="20"/>
              </w:rPr>
            </w:pPr>
            <w:r w:rsidRPr="00B23D9C">
              <w:rPr>
                <w:sz w:val="20"/>
              </w:rPr>
              <w:t>To provide updates of the study of DME/TACAN interference in the E5/L5-band to the SSG.</w:t>
            </w:r>
          </w:p>
        </w:tc>
        <w:tc>
          <w:tcPr>
            <w:tcW w:w="1620" w:type="dxa"/>
            <w:shd w:val="clear" w:color="auto" w:fill="FFFFFF"/>
          </w:tcPr>
          <w:p w:rsidR="00B23D9C" w:rsidRPr="00B23D9C" w:rsidRDefault="00B23D9C" w:rsidP="008A3B9F">
            <w:pPr>
              <w:rPr>
                <w:sz w:val="20"/>
              </w:rPr>
            </w:pPr>
            <w:r w:rsidRPr="00B23D9C">
              <w:rPr>
                <w:sz w:val="20"/>
              </w:rPr>
              <w:t>DLR</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SSG21/02</w:t>
            </w:r>
          </w:p>
        </w:tc>
        <w:tc>
          <w:tcPr>
            <w:tcW w:w="3346" w:type="dxa"/>
            <w:shd w:val="clear" w:color="auto" w:fill="FFFFFF"/>
          </w:tcPr>
          <w:p w:rsidR="00B23D9C" w:rsidRPr="00B23D9C" w:rsidRDefault="00B23D9C" w:rsidP="008A3B9F">
            <w:pPr>
              <w:rPr>
                <w:sz w:val="20"/>
              </w:rPr>
            </w:pPr>
            <w:r w:rsidRPr="00B23D9C">
              <w:rPr>
                <w:sz w:val="20"/>
              </w:rPr>
              <w:t>To provide material deemed useful to completing the tasking of the Job Card on RFI to GNSS</w:t>
            </w:r>
          </w:p>
        </w:tc>
        <w:tc>
          <w:tcPr>
            <w:tcW w:w="1620" w:type="dxa"/>
            <w:shd w:val="clear" w:color="auto" w:fill="FFFFFF"/>
          </w:tcPr>
          <w:p w:rsidR="00B23D9C" w:rsidRPr="00B23D9C" w:rsidRDefault="00B23D9C" w:rsidP="008A3B9F">
            <w:pPr>
              <w:rPr>
                <w:sz w:val="20"/>
              </w:rPr>
            </w:pPr>
            <w:r w:rsidRPr="00B23D9C">
              <w:rPr>
                <w:sz w:val="20"/>
              </w:rPr>
              <w:t>SSG members</w:t>
            </w:r>
          </w:p>
        </w:tc>
        <w:tc>
          <w:tcPr>
            <w:tcW w:w="2880" w:type="dxa"/>
            <w:shd w:val="clear" w:color="auto" w:fill="FFFFFF"/>
          </w:tcPr>
          <w:p w:rsidR="00B23D9C" w:rsidRPr="00B23D9C" w:rsidRDefault="00B23D9C" w:rsidP="008A3B9F">
            <w:pPr>
              <w:rPr>
                <w:sz w:val="20"/>
              </w:rPr>
            </w:pPr>
            <w:r w:rsidRPr="00B23D9C">
              <w:rPr>
                <w:sz w:val="20"/>
              </w:rPr>
              <w:t>Partly fulfilled by SSG22/WP45</w:t>
            </w:r>
          </w:p>
          <w:p w:rsidR="00B23D9C" w:rsidRPr="00B23D9C" w:rsidRDefault="00B23D9C" w:rsidP="008A3B9F">
            <w:pPr>
              <w:rPr>
                <w:sz w:val="20"/>
              </w:rPr>
            </w:pPr>
            <w:r w:rsidRPr="00B23D9C">
              <w:rPr>
                <w:sz w:val="20"/>
              </w:rPr>
              <w:t>Partly fulfilled by SSG23/WP4</w:t>
            </w:r>
          </w:p>
          <w:p w:rsidR="00B23D9C" w:rsidRPr="00B23D9C" w:rsidRDefault="00B23D9C" w:rsidP="008A3B9F">
            <w:pPr>
              <w:rPr>
                <w:sz w:val="20"/>
              </w:rPr>
            </w:pPr>
            <w:r w:rsidRPr="00B23D9C">
              <w:rPr>
                <w:sz w:val="20"/>
              </w:rPr>
              <w:t>Partly fulfilled by WP36 and IP36 to SWG/1</w:t>
            </w:r>
          </w:p>
          <w:p w:rsidR="00B23D9C" w:rsidRPr="00B23D9C" w:rsidRDefault="00B23D9C" w:rsidP="008A3B9F">
            <w:pPr>
              <w:rPr>
                <w:sz w:val="20"/>
              </w:rPr>
            </w:pPr>
            <w:r w:rsidRPr="00B23D9C">
              <w:rPr>
                <w:sz w:val="20"/>
              </w:rPr>
              <w:t>Open</w:t>
            </w:r>
          </w:p>
        </w:tc>
      </w:tr>
      <w:tr w:rsidR="00B23D9C" w:rsidRPr="00B23D9C" w:rsidTr="008A3B9F">
        <w:tc>
          <w:tcPr>
            <w:tcW w:w="9180" w:type="dxa"/>
            <w:gridSpan w:val="4"/>
            <w:shd w:val="clear" w:color="auto" w:fill="FFFFFF"/>
          </w:tcPr>
          <w:p w:rsidR="00B23D9C" w:rsidRPr="00B23D9C" w:rsidRDefault="00B23D9C" w:rsidP="008A3B9F">
            <w:pPr>
              <w:rPr>
                <w:sz w:val="20"/>
              </w:rPr>
            </w:pPr>
          </w:p>
          <w:p w:rsidR="00B23D9C" w:rsidRPr="00B23D9C" w:rsidRDefault="00B23D9C" w:rsidP="008A3B9F">
            <w:pPr>
              <w:rPr>
                <w:sz w:val="20"/>
              </w:rPr>
            </w:pPr>
          </w:p>
        </w:tc>
      </w:tr>
      <w:tr w:rsidR="00B23D9C" w:rsidRPr="00B23D9C" w:rsidTr="008A3B9F">
        <w:tc>
          <w:tcPr>
            <w:tcW w:w="9180" w:type="dxa"/>
            <w:gridSpan w:val="4"/>
            <w:shd w:val="clear" w:color="auto" w:fill="FFFFFF"/>
          </w:tcPr>
          <w:p w:rsidR="00B23D9C" w:rsidRPr="00B23D9C" w:rsidRDefault="00B23D9C" w:rsidP="008A3B9F">
            <w:pPr>
              <w:rPr>
                <w:b/>
                <w:bCs/>
                <w:sz w:val="20"/>
              </w:rPr>
            </w:pPr>
          </w:p>
          <w:p w:rsidR="00B23D9C" w:rsidRPr="00B23D9C" w:rsidRDefault="00B23D9C" w:rsidP="008A3B9F">
            <w:pPr>
              <w:rPr>
                <w:b/>
                <w:bCs/>
                <w:sz w:val="20"/>
              </w:rPr>
            </w:pPr>
            <w:r w:rsidRPr="00B23D9C">
              <w:rPr>
                <w:b/>
                <w:bCs/>
                <w:sz w:val="20"/>
              </w:rPr>
              <w:t>Actions from the Montreal meeting October 2014 (SSG23):</w:t>
            </w:r>
          </w:p>
          <w:p w:rsidR="00B23D9C" w:rsidRPr="00B23D9C" w:rsidRDefault="00B23D9C" w:rsidP="008A3B9F">
            <w:pPr>
              <w:rPr>
                <w:sz w:val="20"/>
              </w:rPr>
            </w:pP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SSG23/01</w:t>
            </w:r>
          </w:p>
        </w:tc>
        <w:tc>
          <w:tcPr>
            <w:tcW w:w="3346" w:type="dxa"/>
            <w:shd w:val="clear" w:color="auto" w:fill="FFFFFF"/>
          </w:tcPr>
          <w:p w:rsidR="00B23D9C" w:rsidRPr="00B23D9C" w:rsidRDefault="00B23D9C" w:rsidP="008A3B9F">
            <w:pPr>
              <w:rPr>
                <w:sz w:val="20"/>
              </w:rPr>
            </w:pPr>
            <w:r w:rsidRPr="00B23D9C">
              <w:rPr>
                <w:sz w:val="20"/>
              </w:rPr>
              <w:t>To start derivation of proposed separation criteria for GBAS VDB versus VHF COM as well as GBAS VDB versus ILS based on WP9 of the May 2012 meeting.</w:t>
            </w:r>
          </w:p>
        </w:tc>
        <w:tc>
          <w:tcPr>
            <w:tcW w:w="1620" w:type="dxa"/>
            <w:shd w:val="clear" w:color="auto" w:fill="FFFFFF"/>
          </w:tcPr>
          <w:p w:rsidR="00B23D9C" w:rsidRPr="00B23D9C" w:rsidRDefault="00B23D9C" w:rsidP="008A3B9F">
            <w:pPr>
              <w:rPr>
                <w:sz w:val="20"/>
              </w:rPr>
            </w:pPr>
            <w:r w:rsidRPr="00B23D9C">
              <w:rPr>
                <w:sz w:val="20"/>
              </w:rPr>
              <w:t>SSG</w:t>
            </w:r>
          </w:p>
        </w:tc>
        <w:tc>
          <w:tcPr>
            <w:tcW w:w="2880" w:type="dxa"/>
            <w:shd w:val="clear" w:color="auto" w:fill="FFFFFF"/>
          </w:tcPr>
          <w:p w:rsidR="00B23D9C" w:rsidRPr="00B23D9C" w:rsidRDefault="00B23D9C" w:rsidP="008A3B9F">
            <w:pPr>
              <w:rPr>
                <w:sz w:val="20"/>
              </w:rPr>
            </w:pPr>
            <w:r w:rsidRPr="00B23D9C">
              <w:rPr>
                <w:sz w:val="20"/>
              </w:rPr>
              <w:t>Partly fulfilled by IP02 and WP04 of ICAO NSP April 2015,</w:t>
            </w:r>
          </w:p>
          <w:p w:rsidR="00B23D9C" w:rsidRPr="00B23D9C" w:rsidRDefault="00B23D9C" w:rsidP="008A3B9F">
            <w:pPr>
              <w:rPr>
                <w:sz w:val="20"/>
              </w:rPr>
            </w:pPr>
            <w:r w:rsidRPr="00B23D9C">
              <w:rPr>
                <w:sz w:val="20"/>
              </w:rPr>
              <w:t>Discarded at SWG/1.</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SSG23/02</w:t>
            </w:r>
          </w:p>
        </w:tc>
        <w:tc>
          <w:tcPr>
            <w:tcW w:w="3346" w:type="dxa"/>
            <w:shd w:val="clear" w:color="auto" w:fill="FFFFFF"/>
          </w:tcPr>
          <w:p w:rsidR="00B23D9C" w:rsidRPr="00B23D9C" w:rsidRDefault="00B23D9C" w:rsidP="008A3B9F">
            <w:pPr>
              <w:rPr>
                <w:sz w:val="20"/>
              </w:rPr>
            </w:pPr>
            <w:r w:rsidRPr="00B23D9C">
              <w:rPr>
                <w:sz w:val="20"/>
              </w:rPr>
              <w:t xml:space="preserve">To present further results on GBAS </w:t>
            </w:r>
            <w:r w:rsidRPr="00B23D9C">
              <w:rPr>
                <w:sz w:val="20"/>
              </w:rPr>
              <w:lastRenderedPageBreak/>
              <w:t>VDB versus VHF COM based on more detailed analysis of the impact of GBAS slot utilization and message length.</w:t>
            </w:r>
          </w:p>
        </w:tc>
        <w:tc>
          <w:tcPr>
            <w:tcW w:w="1620" w:type="dxa"/>
            <w:shd w:val="clear" w:color="auto" w:fill="FFFFFF"/>
          </w:tcPr>
          <w:p w:rsidR="00B23D9C" w:rsidRPr="00B23D9C" w:rsidRDefault="00B23D9C" w:rsidP="008A3B9F">
            <w:pPr>
              <w:rPr>
                <w:sz w:val="20"/>
              </w:rPr>
            </w:pPr>
            <w:r w:rsidRPr="00B23D9C">
              <w:rPr>
                <w:sz w:val="20"/>
              </w:rPr>
              <w:lastRenderedPageBreak/>
              <w:t>Felix Butsch</w:t>
            </w:r>
          </w:p>
        </w:tc>
        <w:tc>
          <w:tcPr>
            <w:tcW w:w="2880" w:type="dxa"/>
            <w:shd w:val="clear" w:color="auto" w:fill="FFFFFF"/>
          </w:tcPr>
          <w:p w:rsidR="00B23D9C" w:rsidRPr="00B23D9C" w:rsidRDefault="00B23D9C" w:rsidP="008A3B9F">
            <w:pPr>
              <w:rPr>
                <w:sz w:val="20"/>
              </w:rPr>
            </w:pPr>
            <w:r w:rsidRPr="00B23D9C">
              <w:rPr>
                <w:sz w:val="20"/>
              </w:rPr>
              <w:t xml:space="preserve">Partly fulfilled by IP02 and </w:t>
            </w:r>
            <w:r w:rsidRPr="00B23D9C">
              <w:rPr>
                <w:sz w:val="20"/>
              </w:rPr>
              <w:lastRenderedPageBreak/>
              <w:t>WP04 of ICAO NSP April 2015.</w:t>
            </w:r>
          </w:p>
          <w:p w:rsidR="00B23D9C" w:rsidRPr="00B23D9C" w:rsidRDefault="00B23D9C" w:rsidP="008A3B9F">
            <w:pPr>
              <w:rPr>
                <w:sz w:val="20"/>
              </w:rPr>
            </w:pPr>
            <w:r w:rsidRPr="00B23D9C">
              <w:rPr>
                <w:sz w:val="20"/>
              </w:rPr>
              <w:t>Discarded at SWG/1.</w:t>
            </w:r>
          </w:p>
        </w:tc>
      </w:tr>
      <w:tr w:rsidR="00B23D9C" w:rsidRPr="00B23D9C" w:rsidTr="008A3B9F">
        <w:tc>
          <w:tcPr>
            <w:tcW w:w="9180" w:type="dxa"/>
            <w:gridSpan w:val="4"/>
            <w:shd w:val="clear" w:color="auto" w:fill="FFFFFF"/>
          </w:tcPr>
          <w:p w:rsidR="00B23D9C" w:rsidRPr="00B23D9C" w:rsidRDefault="00B23D9C" w:rsidP="008A3B9F">
            <w:pPr>
              <w:rPr>
                <w:sz w:val="20"/>
              </w:rPr>
            </w:pPr>
            <w:r w:rsidRPr="00B23D9C">
              <w:rPr>
                <w:b/>
                <w:bCs/>
                <w:sz w:val="20"/>
              </w:rPr>
              <w:lastRenderedPageBreak/>
              <w:t>Actions from the Montreal meeting April 2015 (SSG24):</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SSG24/05</w:t>
            </w:r>
          </w:p>
        </w:tc>
        <w:tc>
          <w:tcPr>
            <w:tcW w:w="3346" w:type="dxa"/>
            <w:shd w:val="clear" w:color="auto" w:fill="FFFFFF"/>
          </w:tcPr>
          <w:p w:rsidR="00B23D9C" w:rsidRPr="00B23D9C" w:rsidRDefault="00B23D9C" w:rsidP="008A3B9F">
            <w:pPr>
              <w:rPr>
                <w:sz w:val="20"/>
              </w:rPr>
            </w:pPr>
            <w:r w:rsidRPr="00B23D9C">
              <w:rPr>
                <w:sz w:val="20"/>
              </w:rPr>
              <w:t>To check the impact of the recent update of the aeronautical propagation model contained in ITU-R P.528-3</w:t>
            </w:r>
          </w:p>
        </w:tc>
        <w:tc>
          <w:tcPr>
            <w:tcW w:w="1620" w:type="dxa"/>
            <w:shd w:val="clear" w:color="auto" w:fill="FFFFFF"/>
          </w:tcPr>
          <w:p w:rsidR="00B23D9C" w:rsidRPr="00B23D9C" w:rsidRDefault="00B23D9C" w:rsidP="008A3B9F">
            <w:pPr>
              <w:rPr>
                <w:sz w:val="20"/>
              </w:rPr>
            </w:pPr>
            <w:r w:rsidRPr="00B23D9C">
              <w:rPr>
                <w:sz w:val="20"/>
              </w:rPr>
              <w:t>Joachim Wollweber</w:t>
            </w:r>
          </w:p>
        </w:tc>
        <w:tc>
          <w:tcPr>
            <w:tcW w:w="2880" w:type="dxa"/>
            <w:shd w:val="clear" w:color="auto" w:fill="FFFFFF"/>
          </w:tcPr>
          <w:p w:rsidR="00B23D9C" w:rsidRPr="00B23D9C" w:rsidRDefault="00B23D9C" w:rsidP="008A3B9F">
            <w:pPr>
              <w:rPr>
                <w:sz w:val="20"/>
              </w:rPr>
            </w:pPr>
            <w:r w:rsidRPr="00B23D9C">
              <w:rPr>
                <w:sz w:val="20"/>
              </w:rPr>
              <w:t>Open</w:t>
            </w:r>
          </w:p>
          <w:p w:rsidR="00B23D9C" w:rsidRPr="00B23D9C" w:rsidRDefault="00B23D9C" w:rsidP="008A3B9F">
            <w:pPr>
              <w:rPr>
                <w:sz w:val="20"/>
              </w:rPr>
            </w:pP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SSG24/07</w:t>
            </w:r>
          </w:p>
        </w:tc>
        <w:tc>
          <w:tcPr>
            <w:tcW w:w="3346" w:type="dxa"/>
            <w:shd w:val="clear" w:color="auto" w:fill="FFFFFF"/>
          </w:tcPr>
          <w:p w:rsidR="00B23D9C" w:rsidRPr="00B23D9C" w:rsidRDefault="00B23D9C" w:rsidP="008A3B9F">
            <w:pPr>
              <w:rPr>
                <w:sz w:val="20"/>
              </w:rPr>
            </w:pPr>
            <w:r w:rsidRPr="00B23D9C">
              <w:rPr>
                <w:sz w:val="20"/>
              </w:rPr>
              <w:t>To provide proposal on updating of ICAO GNSS Manual with information on ITU documents that define the interference assessment methodology, and assessments results and resulting frequency assignment planning recommendations for the impact of DME/TACAN and JTIDS/MIDS on GPS L5/GALILEO E5.</w:t>
            </w:r>
          </w:p>
        </w:tc>
        <w:tc>
          <w:tcPr>
            <w:tcW w:w="1620" w:type="dxa"/>
            <w:shd w:val="clear" w:color="auto" w:fill="FFFFFF"/>
          </w:tcPr>
          <w:p w:rsidR="00B23D9C" w:rsidRPr="00B23D9C" w:rsidRDefault="00B23D9C" w:rsidP="008A3B9F">
            <w:pPr>
              <w:rPr>
                <w:sz w:val="20"/>
              </w:rPr>
            </w:pPr>
            <w:r w:rsidRPr="00B23D9C">
              <w:rPr>
                <w:sz w:val="20"/>
              </w:rPr>
              <w:t>G. Berz</w:t>
            </w:r>
          </w:p>
        </w:tc>
        <w:tc>
          <w:tcPr>
            <w:tcW w:w="2880" w:type="dxa"/>
            <w:shd w:val="clear" w:color="auto" w:fill="FFFFFF"/>
          </w:tcPr>
          <w:p w:rsidR="00B23D9C" w:rsidRPr="00B23D9C" w:rsidRDefault="00B23D9C" w:rsidP="008A3B9F">
            <w:pPr>
              <w:rPr>
                <w:sz w:val="20"/>
              </w:rPr>
            </w:pPr>
            <w:r w:rsidRPr="00B23D9C">
              <w:rPr>
                <w:sz w:val="20"/>
              </w:rPr>
              <w:t>Ongoing.</w:t>
            </w:r>
          </w:p>
          <w:p w:rsidR="00B23D9C" w:rsidRPr="00B23D9C" w:rsidRDefault="00B23D9C" w:rsidP="008A3B9F">
            <w:pPr>
              <w:rPr>
                <w:sz w:val="20"/>
              </w:rPr>
            </w:pPr>
            <w:r w:rsidRPr="00B23D9C">
              <w:rPr>
                <w:sz w:val="20"/>
              </w:rPr>
              <w:t>Partly fulfilled by WG36 to NSP/2.</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SSG24/08</w:t>
            </w:r>
          </w:p>
        </w:tc>
        <w:tc>
          <w:tcPr>
            <w:tcW w:w="3346" w:type="dxa"/>
            <w:shd w:val="clear" w:color="auto" w:fill="FFFFFF"/>
          </w:tcPr>
          <w:p w:rsidR="00B23D9C" w:rsidRPr="00B23D9C" w:rsidRDefault="00B23D9C" w:rsidP="00B23D9C">
            <w:pPr>
              <w:jc w:val="left"/>
              <w:rPr>
                <w:sz w:val="20"/>
              </w:rPr>
            </w:pPr>
            <w:r w:rsidRPr="00B23D9C">
              <w:rPr>
                <w:sz w:val="20"/>
              </w:rPr>
              <w:t>To update the list of reference documents in the ICAO “Electronic bulletin on INTERFERENCE TO GLOBAL NAVIGATION SATELLITE SYSTEM (GNSS) SIGNALS“</w:t>
            </w:r>
          </w:p>
        </w:tc>
        <w:tc>
          <w:tcPr>
            <w:tcW w:w="1620" w:type="dxa"/>
            <w:shd w:val="clear" w:color="auto" w:fill="FFFFFF"/>
          </w:tcPr>
          <w:p w:rsidR="00B23D9C" w:rsidRPr="00B23D9C" w:rsidRDefault="00B23D9C" w:rsidP="008A3B9F">
            <w:pPr>
              <w:rPr>
                <w:sz w:val="20"/>
              </w:rPr>
            </w:pPr>
            <w:r w:rsidRPr="00B23D9C">
              <w:rPr>
                <w:sz w:val="20"/>
              </w:rPr>
              <w:t>G. Berz</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SSG24/09</w:t>
            </w:r>
          </w:p>
        </w:tc>
        <w:tc>
          <w:tcPr>
            <w:tcW w:w="3346" w:type="dxa"/>
            <w:shd w:val="clear" w:color="auto" w:fill="FFFFFF"/>
          </w:tcPr>
          <w:p w:rsidR="00B23D9C" w:rsidRPr="00B23D9C" w:rsidRDefault="00B23D9C" w:rsidP="008A3B9F">
            <w:pPr>
              <w:rPr>
                <w:sz w:val="20"/>
              </w:rPr>
            </w:pPr>
            <w:r w:rsidRPr="00B23D9C">
              <w:rPr>
                <w:sz w:val="20"/>
              </w:rPr>
              <w:t>SSG members to review ICAO DOC 9718, Vol. I in order to propose updates in relation on GNSS RFI, starting from page 7-99</w:t>
            </w:r>
          </w:p>
        </w:tc>
        <w:tc>
          <w:tcPr>
            <w:tcW w:w="1620" w:type="dxa"/>
            <w:shd w:val="clear" w:color="auto" w:fill="FFFFFF"/>
          </w:tcPr>
          <w:p w:rsidR="00B23D9C" w:rsidRPr="00B23D9C" w:rsidRDefault="00B23D9C" w:rsidP="008A3B9F">
            <w:pPr>
              <w:rPr>
                <w:sz w:val="20"/>
              </w:rPr>
            </w:pPr>
            <w:r w:rsidRPr="00B23D9C">
              <w:rPr>
                <w:sz w:val="20"/>
              </w:rPr>
              <w:t>SSG</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SSG24/10</w:t>
            </w:r>
          </w:p>
        </w:tc>
        <w:tc>
          <w:tcPr>
            <w:tcW w:w="3346" w:type="dxa"/>
            <w:shd w:val="clear" w:color="auto" w:fill="FFFFFF"/>
          </w:tcPr>
          <w:p w:rsidR="00B23D9C" w:rsidRPr="00B23D9C" w:rsidRDefault="00B23D9C" w:rsidP="008A3B9F">
            <w:pPr>
              <w:rPr>
                <w:sz w:val="20"/>
              </w:rPr>
            </w:pPr>
            <w:r w:rsidRPr="00B23D9C">
              <w:rPr>
                <w:sz w:val="20"/>
              </w:rPr>
              <w:t>To review ICAO DOC 9849 in order to propose updates in relation on GNSS RFI, starting from page G-33.</w:t>
            </w:r>
          </w:p>
        </w:tc>
        <w:tc>
          <w:tcPr>
            <w:tcW w:w="1620" w:type="dxa"/>
            <w:shd w:val="clear" w:color="auto" w:fill="FFFFFF"/>
          </w:tcPr>
          <w:p w:rsidR="00B23D9C" w:rsidRPr="00B23D9C" w:rsidRDefault="00B23D9C" w:rsidP="008A3B9F">
            <w:pPr>
              <w:rPr>
                <w:sz w:val="20"/>
              </w:rPr>
            </w:pPr>
            <w:r w:rsidRPr="00B23D9C">
              <w:rPr>
                <w:sz w:val="20"/>
              </w:rPr>
              <w:t>SSG</w:t>
            </w:r>
          </w:p>
        </w:tc>
        <w:tc>
          <w:tcPr>
            <w:tcW w:w="2880" w:type="dxa"/>
            <w:shd w:val="clear" w:color="auto" w:fill="FFFFFF"/>
          </w:tcPr>
          <w:p w:rsidR="00B23D9C" w:rsidRPr="00B23D9C" w:rsidRDefault="00B23D9C" w:rsidP="008A3B9F">
            <w:pPr>
              <w:rPr>
                <w:sz w:val="20"/>
              </w:rPr>
            </w:pPr>
            <w:r w:rsidRPr="00B23D9C">
              <w:rPr>
                <w:sz w:val="20"/>
              </w:rPr>
              <w:t>Ongoing, Partly fulfilled by WP36 to ICAO NSP/2.</w:t>
            </w:r>
          </w:p>
          <w:p w:rsidR="00B23D9C" w:rsidRPr="00B23D9C" w:rsidRDefault="00B23D9C" w:rsidP="008A3B9F">
            <w:pPr>
              <w:rPr>
                <w:sz w:val="20"/>
              </w:rPr>
            </w:pPr>
            <w:r w:rsidRPr="00B23D9C">
              <w:rPr>
                <w:sz w:val="20"/>
              </w:rPr>
              <w:t>Partly fulfilled by WP36 to ICAO NSP June 2016.</w:t>
            </w:r>
          </w:p>
        </w:tc>
      </w:tr>
      <w:tr w:rsidR="00B23D9C" w:rsidRPr="00B23D9C" w:rsidTr="008A3B9F">
        <w:tc>
          <w:tcPr>
            <w:tcW w:w="9180" w:type="dxa"/>
            <w:gridSpan w:val="4"/>
            <w:shd w:val="clear" w:color="auto" w:fill="FFFFFF"/>
          </w:tcPr>
          <w:p w:rsidR="00B23D9C" w:rsidRPr="00B23D9C" w:rsidRDefault="00B23D9C" w:rsidP="008A3B9F">
            <w:pPr>
              <w:rPr>
                <w:b/>
                <w:bCs/>
                <w:sz w:val="20"/>
              </w:rPr>
            </w:pPr>
          </w:p>
          <w:p w:rsidR="00B23D9C" w:rsidRPr="00B23D9C" w:rsidRDefault="00B23D9C" w:rsidP="008A3B9F">
            <w:pPr>
              <w:rPr>
                <w:b/>
                <w:bCs/>
                <w:sz w:val="20"/>
              </w:rPr>
            </w:pPr>
            <w:r w:rsidRPr="00B23D9C">
              <w:rPr>
                <w:b/>
                <w:bCs/>
                <w:sz w:val="20"/>
              </w:rPr>
              <w:t>Actions from the Montreal meeting of SWG December 2015 (SWG1):</w:t>
            </w:r>
          </w:p>
          <w:p w:rsidR="00B23D9C" w:rsidRPr="00B23D9C" w:rsidRDefault="00B23D9C" w:rsidP="008A3B9F">
            <w:pPr>
              <w:pStyle w:val="Header"/>
              <w:rPr>
                <w:sz w:val="20"/>
                <w:highlight w:val="yellow"/>
              </w:rPr>
            </w:pP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SWG01/01</w:t>
            </w:r>
          </w:p>
        </w:tc>
        <w:tc>
          <w:tcPr>
            <w:tcW w:w="3346" w:type="dxa"/>
            <w:shd w:val="clear" w:color="auto" w:fill="FFFFFF"/>
          </w:tcPr>
          <w:p w:rsidR="00B23D9C" w:rsidRPr="00B23D9C" w:rsidRDefault="00B23D9C" w:rsidP="008A3B9F">
            <w:pPr>
              <w:rPr>
                <w:sz w:val="20"/>
              </w:rPr>
            </w:pPr>
            <w:r w:rsidRPr="00B23D9C">
              <w:rPr>
                <w:sz w:val="20"/>
              </w:rPr>
              <w:t>To check compatibility between ILS Localizers at CDG airport and Le Bourget airport.</w:t>
            </w:r>
          </w:p>
        </w:tc>
        <w:tc>
          <w:tcPr>
            <w:tcW w:w="1620" w:type="dxa"/>
            <w:shd w:val="clear" w:color="auto" w:fill="FFFFFF"/>
          </w:tcPr>
          <w:p w:rsidR="00B23D9C" w:rsidRPr="00B23D9C" w:rsidRDefault="00B23D9C" w:rsidP="008A3B9F">
            <w:pPr>
              <w:rPr>
                <w:sz w:val="20"/>
              </w:rPr>
            </w:pPr>
            <w:r w:rsidRPr="00B23D9C">
              <w:rPr>
                <w:sz w:val="20"/>
              </w:rPr>
              <w:t>Pierre Ladoux</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SWG01/02</w:t>
            </w:r>
          </w:p>
        </w:tc>
        <w:tc>
          <w:tcPr>
            <w:tcW w:w="3346" w:type="dxa"/>
            <w:shd w:val="clear" w:color="auto" w:fill="FFFFFF"/>
          </w:tcPr>
          <w:p w:rsidR="00B23D9C" w:rsidRPr="00B23D9C" w:rsidRDefault="00B23D9C" w:rsidP="008A3B9F">
            <w:pPr>
              <w:rPr>
                <w:sz w:val="20"/>
              </w:rPr>
            </w:pPr>
            <w:r w:rsidRPr="00B23D9C">
              <w:rPr>
                <w:sz w:val="20"/>
              </w:rPr>
              <w:t>To report about progress on standardisation of increase robustness and warning capabilities against GNSS RFI and spoofing</w:t>
            </w:r>
          </w:p>
        </w:tc>
        <w:tc>
          <w:tcPr>
            <w:tcW w:w="1620" w:type="dxa"/>
            <w:shd w:val="clear" w:color="auto" w:fill="FFFFFF"/>
          </w:tcPr>
          <w:p w:rsidR="00B23D9C" w:rsidRPr="00B23D9C" w:rsidRDefault="00B23D9C" w:rsidP="008A3B9F">
            <w:pPr>
              <w:rPr>
                <w:sz w:val="20"/>
              </w:rPr>
            </w:pPr>
            <w:r w:rsidRPr="00B23D9C">
              <w:rPr>
                <w:sz w:val="20"/>
              </w:rPr>
              <w:t>RTCA representative to ICAO NSP</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SWG01/03</w:t>
            </w:r>
          </w:p>
        </w:tc>
        <w:tc>
          <w:tcPr>
            <w:tcW w:w="3346" w:type="dxa"/>
            <w:shd w:val="clear" w:color="auto" w:fill="FFFFFF"/>
          </w:tcPr>
          <w:p w:rsidR="00B23D9C" w:rsidRPr="00B23D9C" w:rsidRDefault="00B23D9C" w:rsidP="008A3B9F">
            <w:pPr>
              <w:rPr>
                <w:sz w:val="20"/>
              </w:rPr>
            </w:pPr>
            <w:r w:rsidRPr="00B23D9C">
              <w:rPr>
                <w:sz w:val="20"/>
              </w:rPr>
              <w:t>To check compatibility with Mobile Satellite Service in the band below 1559 MHz.</w:t>
            </w:r>
          </w:p>
        </w:tc>
        <w:tc>
          <w:tcPr>
            <w:tcW w:w="1620" w:type="dxa"/>
            <w:shd w:val="clear" w:color="auto" w:fill="FFFFFF"/>
          </w:tcPr>
          <w:p w:rsidR="00B23D9C" w:rsidRPr="00B23D9C" w:rsidRDefault="00B23D9C" w:rsidP="008A3B9F">
            <w:pPr>
              <w:rPr>
                <w:sz w:val="20"/>
              </w:rPr>
            </w:pPr>
            <w:r w:rsidRPr="00B23D9C">
              <w:rPr>
                <w:sz w:val="20"/>
              </w:rPr>
              <w:t>Beidou experts</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SWG01/04</w:t>
            </w:r>
          </w:p>
        </w:tc>
        <w:tc>
          <w:tcPr>
            <w:tcW w:w="3346" w:type="dxa"/>
            <w:shd w:val="clear" w:color="auto" w:fill="FFFFFF"/>
          </w:tcPr>
          <w:p w:rsidR="00B23D9C" w:rsidRPr="00B23D9C" w:rsidRDefault="00B23D9C" w:rsidP="008A3B9F">
            <w:pPr>
              <w:rPr>
                <w:sz w:val="20"/>
              </w:rPr>
            </w:pPr>
            <w:r w:rsidRPr="00B23D9C">
              <w:rPr>
                <w:sz w:val="20"/>
              </w:rPr>
              <w:t>SWG members to review NSP/2 WP36 containing the GNSS RFI Mitigation Plan to allow for its adoption at the NSP in June 2016.</w:t>
            </w:r>
          </w:p>
        </w:tc>
        <w:tc>
          <w:tcPr>
            <w:tcW w:w="1620" w:type="dxa"/>
            <w:shd w:val="clear" w:color="auto" w:fill="FFFFFF"/>
          </w:tcPr>
          <w:p w:rsidR="00B23D9C" w:rsidRPr="00B23D9C" w:rsidRDefault="00B23D9C" w:rsidP="008A3B9F">
            <w:pPr>
              <w:rPr>
                <w:sz w:val="20"/>
              </w:rPr>
            </w:pPr>
            <w:r w:rsidRPr="00B23D9C">
              <w:rPr>
                <w:sz w:val="20"/>
              </w:rPr>
              <w:t>SWG members</w:t>
            </w:r>
          </w:p>
        </w:tc>
        <w:tc>
          <w:tcPr>
            <w:tcW w:w="2880" w:type="dxa"/>
            <w:shd w:val="clear" w:color="auto" w:fill="FFFFFF"/>
          </w:tcPr>
          <w:p w:rsidR="00B23D9C" w:rsidRPr="00B23D9C" w:rsidRDefault="00B23D9C" w:rsidP="008A3B9F">
            <w:pPr>
              <w:rPr>
                <w:sz w:val="20"/>
              </w:rPr>
            </w:pPr>
            <w:r w:rsidRPr="00B23D9C">
              <w:rPr>
                <w:sz w:val="20"/>
              </w:rPr>
              <w:t>Closed</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SWG01/05</w:t>
            </w:r>
          </w:p>
        </w:tc>
        <w:tc>
          <w:tcPr>
            <w:tcW w:w="3346" w:type="dxa"/>
            <w:shd w:val="clear" w:color="auto" w:fill="FFFFFF"/>
          </w:tcPr>
          <w:p w:rsidR="00B23D9C" w:rsidRPr="00B23D9C" w:rsidRDefault="00B23D9C" w:rsidP="008A3B9F">
            <w:pPr>
              <w:rPr>
                <w:sz w:val="20"/>
              </w:rPr>
            </w:pPr>
            <w:r w:rsidRPr="00B23D9C">
              <w:rPr>
                <w:sz w:val="20"/>
              </w:rPr>
              <w:t>To make a change proposal to NSP June 2016 for a new note behind section 3.7.3.3.1 on expected RFI resistance of ABAS.</w:t>
            </w:r>
          </w:p>
          <w:p w:rsidR="00B23D9C" w:rsidRPr="00B23D9C" w:rsidRDefault="00B23D9C" w:rsidP="008A3B9F">
            <w:pPr>
              <w:rPr>
                <w:sz w:val="20"/>
              </w:rPr>
            </w:pPr>
          </w:p>
          <w:p w:rsidR="00B23D9C" w:rsidRPr="00B23D9C" w:rsidRDefault="00B23D9C" w:rsidP="008A3B9F">
            <w:pPr>
              <w:rPr>
                <w:sz w:val="20"/>
              </w:rPr>
            </w:pPr>
          </w:p>
          <w:p w:rsidR="00B23D9C" w:rsidRPr="00B23D9C" w:rsidRDefault="00B23D9C" w:rsidP="008A3B9F">
            <w:pPr>
              <w:rPr>
                <w:sz w:val="20"/>
              </w:rPr>
            </w:pPr>
          </w:p>
        </w:tc>
        <w:tc>
          <w:tcPr>
            <w:tcW w:w="1620" w:type="dxa"/>
            <w:shd w:val="clear" w:color="auto" w:fill="FFFFFF"/>
          </w:tcPr>
          <w:p w:rsidR="00B23D9C" w:rsidRPr="00B23D9C" w:rsidRDefault="00B23D9C" w:rsidP="008A3B9F">
            <w:pPr>
              <w:rPr>
                <w:sz w:val="20"/>
              </w:rPr>
            </w:pPr>
            <w:r w:rsidRPr="00B23D9C">
              <w:rPr>
                <w:sz w:val="20"/>
              </w:rPr>
              <w:t>G. Berz</w:t>
            </w:r>
          </w:p>
        </w:tc>
        <w:tc>
          <w:tcPr>
            <w:tcW w:w="2880" w:type="dxa"/>
            <w:shd w:val="clear" w:color="auto" w:fill="FFFFFF"/>
          </w:tcPr>
          <w:p w:rsidR="00B23D9C" w:rsidRPr="00B23D9C" w:rsidRDefault="00B23D9C" w:rsidP="008A3B9F">
            <w:pPr>
              <w:rPr>
                <w:sz w:val="20"/>
              </w:rPr>
            </w:pPr>
            <w:r w:rsidRPr="00B23D9C">
              <w:rPr>
                <w:sz w:val="20"/>
              </w:rPr>
              <w:t>Closed by WP37 to NSP June 2016, but put on hold.</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SWG01/06</w:t>
            </w:r>
          </w:p>
        </w:tc>
        <w:tc>
          <w:tcPr>
            <w:tcW w:w="3346" w:type="dxa"/>
            <w:shd w:val="clear" w:color="auto" w:fill="FFFFFF"/>
          </w:tcPr>
          <w:p w:rsidR="00B23D9C" w:rsidRPr="00B23D9C" w:rsidRDefault="00B23D9C" w:rsidP="008A3B9F">
            <w:pPr>
              <w:rPr>
                <w:sz w:val="20"/>
              </w:rPr>
            </w:pPr>
            <w:r w:rsidRPr="00B23D9C">
              <w:rPr>
                <w:sz w:val="20"/>
              </w:rPr>
              <w:t xml:space="preserve">To inform the rapporteur of ICAO FSMP about the need to add ITU-R </w:t>
            </w:r>
            <w:r w:rsidRPr="00B23D9C">
              <w:rPr>
                <w:sz w:val="20"/>
              </w:rPr>
              <w:lastRenderedPageBreak/>
              <w:t>M.1903 to the list of reference papers in DOC9718, Page 7-106 “protection of GNSS signals from harmful interference”</w:t>
            </w:r>
          </w:p>
        </w:tc>
        <w:tc>
          <w:tcPr>
            <w:tcW w:w="1620" w:type="dxa"/>
            <w:shd w:val="clear" w:color="auto" w:fill="FFFFFF"/>
          </w:tcPr>
          <w:p w:rsidR="00B23D9C" w:rsidRPr="00B23D9C" w:rsidRDefault="00B23D9C" w:rsidP="008A3B9F">
            <w:pPr>
              <w:rPr>
                <w:sz w:val="20"/>
              </w:rPr>
            </w:pPr>
            <w:r w:rsidRPr="00B23D9C">
              <w:rPr>
                <w:sz w:val="20"/>
              </w:rPr>
              <w:lastRenderedPageBreak/>
              <w:t>SWG rapporteur</w:t>
            </w:r>
          </w:p>
        </w:tc>
        <w:tc>
          <w:tcPr>
            <w:tcW w:w="2880" w:type="dxa"/>
            <w:shd w:val="clear" w:color="auto" w:fill="FFFFFF"/>
          </w:tcPr>
          <w:p w:rsidR="00B23D9C" w:rsidRPr="00B23D9C" w:rsidRDefault="00B23D9C" w:rsidP="008A3B9F">
            <w:pPr>
              <w:rPr>
                <w:sz w:val="20"/>
              </w:rPr>
            </w:pPr>
            <w:r w:rsidRPr="00B23D9C">
              <w:rPr>
                <w:sz w:val="20"/>
              </w:rPr>
              <w:t>Closed by FSMP-WG/2, IP02</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lastRenderedPageBreak/>
              <w:t>SWG01/07</w:t>
            </w:r>
          </w:p>
        </w:tc>
        <w:tc>
          <w:tcPr>
            <w:tcW w:w="3346" w:type="dxa"/>
            <w:shd w:val="clear" w:color="auto" w:fill="FFFFFF"/>
          </w:tcPr>
          <w:p w:rsidR="00B23D9C" w:rsidRPr="00B23D9C" w:rsidRDefault="00B23D9C" w:rsidP="008A3B9F">
            <w:pPr>
              <w:rPr>
                <w:sz w:val="20"/>
              </w:rPr>
            </w:pPr>
            <w:r w:rsidRPr="00B23D9C">
              <w:rPr>
                <w:sz w:val="20"/>
              </w:rPr>
              <w:t>To find a way to publish guidance on GNSS RFI reporting to ICAO and States based on SSG output in flimsy8, rev1 and Flimsy 9 rev. 1 of ICAO NSP, October 2014</w:t>
            </w:r>
          </w:p>
          <w:p w:rsidR="00B23D9C" w:rsidRPr="00B23D9C" w:rsidRDefault="00B23D9C" w:rsidP="008A3B9F">
            <w:pPr>
              <w:rPr>
                <w:sz w:val="20"/>
              </w:rPr>
            </w:pPr>
          </w:p>
          <w:p w:rsidR="00B23D9C" w:rsidRPr="00B23D9C" w:rsidRDefault="00B23D9C" w:rsidP="008A3B9F">
            <w:pPr>
              <w:rPr>
                <w:sz w:val="20"/>
              </w:rPr>
            </w:pPr>
          </w:p>
        </w:tc>
        <w:tc>
          <w:tcPr>
            <w:tcW w:w="1620" w:type="dxa"/>
            <w:shd w:val="clear" w:color="auto" w:fill="FFFFFF"/>
          </w:tcPr>
          <w:p w:rsidR="00B23D9C" w:rsidRPr="00B23D9C" w:rsidRDefault="00B23D9C" w:rsidP="008A3B9F">
            <w:pPr>
              <w:rPr>
                <w:sz w:val="20"/>
              </w:rPr>
            </w:pPr>
            <w:r w:rsidRPr="00B23D9C">
              <w:rPr>
                <w:sz w:val="20"/>
              </w:rPr>
              <w:t>ICAO secretary</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SWG01/08</w:t>
            </w:r>
          </w:p>
        </w:tc>
        <w:tc>
          <w:tcPr>
            <w:tcW w:w="3346" w:type="dxa"/>
            <w:shd w:val="clear" w:color="auto" w:fill="FFFFFF"/>
          </w:tcPr>
          <w:p w:rsidR="00B23D9C" w:rsidRPr="00B23D9C" w:rsidRDefault="00B23D9C" w:rsidP="008A3B9F">
            <w:pPr>
              <w:rPr>
                <w:sz w:val="20"/>
              </w:rPr>
            </w:pPr>
            <w:r w:rsidRPr="00B23D9C">
              <w:rPr>
                <w:sz w:val="20"/>
              </w:rPr>
              <w:t>To check the impact of the GBAS positioning service (addressed in section 7.2.1.5 of ICAO Annex 10, Vol. I, Appendix D) and the GBAS extended Service Volume on frequency coordination. (Section 3.4.4 of WP9 to NSP/2 provides new information ESV and positioning service and its need for spectrum protection.</w:t>
            </w:r>
          </w:p>
        </w:tc>
        <w:tc>
          <w:tcPr>
            <w:tcW w:w="1620" w:type="dxa"/>
            <w:shd w:val="clear" w:color="auto" w:fill="FFFFFF"/>
          </w:tcPr>
          <w:p w:rsidR="00B23D9C" w:rsidRPr="00B23D9C" w:rsidRDefault="00B23D9C" w:rsidP="008A3B9F">
            <w:pPr>
              <w:rPr>
                <w:sz w:val="20"/>
              </w:rPr>
            </w:pPr>
            <w:r w:rsidRPr="00B23D9C">
              <w:rPr>
                <w:sz w:val="20"/>
              </w:rPr>
              <w:t>SWG members</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9180" w:type="dxa"/>
            <w:gridSpan w:val="4"/>
            <w:shd w:val="clear" w:color="auto" w:fill="FFFFFF"/>
          </w:tcPr>
          <w:p w:rsidR="00B23D9C" w:rsidRPr="00B23D9C" w:rsidRDefault="00B23D9C" w:rsidP="008A3B9F">
            <w:pPr>
              <w:rPr>
                <w:sz w:val="20"/>
              </w:rPr>
            </w:pPr>
          </w:p>
        </w:tc>
      </w:tr>
      <w:tr w:rsidR="00B23D9C" w:rsidRPr="00B23D9C" w:rsidTr="008A3B9F">
        <w:tc>
          <w:tcPr>
            <w:tcW w:w="9180" w:type="dxa"/>
            <w:gridSpan w:val="4"/>
            <w:shd w:val="clear" w:color="auto" w:fill="FFFFFF"/>
          </w:tcPr>
          <w:p w:rsidR="00B23D9C" w:rsidRPr="00B23D9C" w:rsidRDefault="00B23D9C" w:rsidP="008A3B9F">
            <w:pPr>
              <w:rPr>
                <w:sz w:val="20"/>
              </w:rPr>
            </w:pPr>
          </w:p>
          <w:p w:rsidR="00B23D9C" w:rsidRPr="00B23D9C" w:rsidRDefault="00B23D9C" w:rsidP="008A3B9F">
            <w:pPr>
              <w:rPr>
                <w:sz w:val="20"/>
              </w:rPr>
            </w:pPr>
            <w:r w:rsidRPr="00B23D9C">
              <w:rPr>
                <w:sz w:val="20"/>
              </w:rPr>
              <w:t>Actions from the Montreal meeting of SWG June 2016 (SWG2):</w:t>
            </w:r>
          </w:p>
          <w:p w:rsidR="00B23D9C" w:rsidRPr="00B23D9C" w:rsidRDefault="00B23D9C" w:rsidP="008A3B9F">
            <w:pPr>
              <w:rPr>
                <w:sz w:val="20"/>
              </w:rPr>
            </w:pP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SWG02/01</w:t>
            </w:r>
          </w:p>
        </w:tc>
        <w:tc>
          <w:tcPr>
            <w:tcW w:w="3346" w:type="dxa"/>
            <w:shd w:val="clear" w:color="auto" w:fill="FFFFFF"/>
          </w:tcPr>
          <w:p w:rsidR="00B23D9C" w:rsidRPr="00B23D9C" w:rsidRDefault="00B23D9C" w:rsidP="008A3B9F">
            <w:pPr>
              <w:rPr>
                <w:sz w:val="20"/>
              </w:rPr>
            </w:pPr>
            <w:r w:rsidRPr="00B23D9C">
              <w:rPr>
                <w:sz w:val="20"/>
              </w:rPr>
              <w:t>Explore, if the software-tool (MANIF) used for the simulations carried out within the SESAR 15.3.7 task 11 project was suitable to carry out compatibility calculations for cases when the compatibility between existing ILS LOC and new GBAS VDB in each-other’s coverage area is analysed (Even an assumed fictitious D/U threshold of -200 dB did not allow successful planning of a new GBAS VDB at airports with existing ILS Localizers).</w:t>
            </w:r>
          </w:p>
        </w:tc>
        <w:tc>
          <w:tcPr>
            <w:tcW w:w="1620" w:type="dxa"/>
            <w:shd w:val="clear" w:color="auto" w:fill="FFFFFF"/>
          </w:tcPr>
          <w:p w:rsidR="00B23D9C" w:rsidRPr="00B23D9C" w:rsidRDefault="00B23D9C" w:rsidP="008A3B9F">
            <w:pPr>
              <w:rPr>
                <w:sz w:val="20"/>
              </w:rPr>
            </w:pPr>
            <w:r w:rsidRPr="00B23D9C">
              <w:rPr>
                <w:sz w:val="20"/>
              </w:rPr>
              <w:t>Pierre Ladoux</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SWG02/02</w:t>
            </w:r>
          </w:p>
        </w:tc>
        <w:tc>
          <w:tcPr>
            <w:tcW w:w="3346" w:type="dxa"/>
            <w:shd w:val="clear" w:color="auto" w:fill="FFFFFF"/>
          </w:tcPr>
          <w:p w:rsidR="00B23D9C" w:rsidRPr="00B23D9C" w:rsidRDefault="00B23D9C" w:rsidP="00B23D9C">
            <w:pPr>
              <w:rPr>
                <w:sz w:val="20"/>
              </w:rPr>
            </w:pPr>
            <w:r w:rsidRPr="00B23D9C">
              <w:rPr>
                <w:sz w:val="20"/>
              </w:rPr>
              <w:t>Develop guidance for local frequency planning i.e. ensuring compatibility between Nav-aids and VHF-COM-systems at the same airport (e.g. between existing ILS Localizers and a new GBAS VDB, between existing VORs and a new GBAS VDB, between existing VHF-COM and a new GBAS VDB).</w:t>
            </w:r>
          </w:p>
        </w:tc>
        <w:tc>
          <w:tcPr>
            <w:tcW w:w="1620" w:type="dxa"/>
            <w:shd w:val="clear" w:color="auto" w:fill="FFFFFF"/>
          </w:tcPr>
          <w:p w:rsidR="00B23D9C" w:rsidRPr="00B23D9C" w:rsidRDefault="00B23D9C" w:rsidP="008A3B9F">
            <w:pPr>
              <w:rPr>
                <w:sz w:val="20"/>
              </w:rPr>
            </w:pPr>
            <w:r w:rsidRPr="00B23D9C">
              <w:rPr>
                <w:sz w:val="20"/>
              </w:rPr>
              <w:t>SWG members</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SWG02/03</w:t>
            </w:r>
          </w:p>
        </w:tc>
        <w:tc>
          <w:tcPr>
            <w:tcW w:w="3346" w:type="dxa"/>
            <w:shd w:val="clear" w:color="auto" w:fill="FFFFFF"/>
          </w:tcPr>
          <w:p w:rsidR="00B23D9C" w:rsidRPr="00B23D9C" w:rsidRDefault="00B23D9C" w:rsidP="008A3B9F">
            <w:pPr>
              <w:rPr>
                <w:sz w:val="20"/>
              </w:rPr>
            </w:pPr>
            <w:r w:rsidRPr="00B23D9C">
              <w:rPr>
                <w:sz w:val="20"/>
              </w:rPr>
              <w:t>To explore, what future frequency coordination rules taking into account real signal strength of the desired signal , (i.e. to further proceed with the work described in WP17 of ICAO NSP Dec. 2015) would be needed to allow deployment of a GBAS VDB at an airport with existing ILS (Worst-case is probably overflying an ILS LOC at the opposite runway-end)</w:t>
            </w:r>
          </w:p>
        </w:tc>
        <w:tc>
          <w:tcPr>
            <w:tcW w:w="1620" w:type="dxa"/>
            <w:shd w:val="clear" w:color="auto" w:fill="FFFFFF"/>
          </w:tcPr>
          <w:p w:rsidR="00B23D9C" w:rsidRPr="00B23D9C" w:rsidRDefault="00B23D9C" w:rsidP="008A3B9F">
            <w:pPr>
              <w:rPr>
                <w:sz w:val="20"/>
              </w:rPr>
            </w:pPr>
            <w:r w:rsidRPr="00B23D9C">
              <w:rPr>
                <w:sz w:val="20"/>
              </w:rPr>
              <w:t>SWG members</w:t>
            </w:r>
            <w:r w:rsidRPr="00B23D9C">
              <w:rPr>
                <w:sz w:val="20"/>
              </w:rPr>
              <w:tab/>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lastRenderedPageBreak/>
              <w:t>SWG02/04</w:t>
            </w:r>
          </w:p>
        </w:tc>
        <w:tc>
          <w:tcPr>
            <w:tcW w:w="3346" w:type="dxa"/>
            <w:shd w:val="clear" w:color="auto" w:fill="FFFFFF"/>
          </w:tcPr>
          <w:p w:rsidR="00B23D9C" w:rsidRPr="00B23D9C" w:rsidRDefault="00B23D9C" w:rsidP="008A3B9F">
            <w:pPr>
              <w:rPr>
                <w:sz w:val="20"/>
              </w:rPr>
            </w:pPr>
            <w:r w:rsidRPr="00B23D9C">
              <w:rPr>
                <w:sz w:val="20"/>
              </w:rPr>
              <w:t>To explore why for ILS current frequency planning rules do not impose frequency selection restrictions at high adjacent channel numbers, although the adjacent channel suppression contained in ICAO Annex 10 Vol. I, att. C section 2.6 does specify a limited adjacent channel suppression (D/U=-46 dB at an offset of 100 kHz, -50 dB at 150 kHz and above).</w:t>
            </w:r>
          </w:p>
        </w:tc>
        <w:tc>
          <w:tcPr>
            <w:tcW w:w="1620" w:type="dxa"/>
            <w:shd w:val="clear" w:color="auto" w:fill="FFFFFF"/>
          </w:tcPr>
          <w:p w:rsidR="00B23D9C" w:rsidRPr="00B23D9C" w:rsidRDefault="00B23D9C" w:rsidP="008A3B9F">
            <w:pPr>
              <w:rPr>
                <w:sz w:val="20"/>
              </w:rPr>
            </w:pPr>
            <w:r w:rsidRPr="00B23D9C">
              <w:rPr>
                <w:sz w:val="20"/>
              </w:rPr>
              <w:t>SWG members</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SWG02/05</w:t>
            </w:r>
          </w:p>
        </w:tc>
        <w:tc>
          <w:tcPr>
            <w:tcW w:w="3346" w:type="dxa"/>
            <w:shd w:val="clear" w:color="auto" w:fill="FFFFFF"/>
          </w:tcPr>
          <w:p w:rsidR="00B23D9C" w:rsidRPr="00B23D9C" w:rsidRDefault="00B23D9C" w:rsidP="008A3B9F">
            <w:pPr>
              <w:rPr>
                <w:sz w:val="20"/>
              </w:rPr>
            </w:pPr>
            <w:r w:rsidRPr="00B23D9C">
              <w:rPr>
                <w:sz w:val="20"/>
              </w:rPr>
              <w:t>To evaluate whether the spurious emission limit from ITU-R M.329 leading to a D/U= -65 dB (applicable for ILS and VOR) is appropriate for frequency coordination – or whether a more realistic spurious emission suppression could be assumed. (For GBAS VDB the spurious emission limit is specified in ICAO Annex 10 and RTCA DO-246).</w:t>
            </w:r>
          </w:p>
        </w:tc>
        <w:tc>
          <w:tcPr>
            <w:tcW w:w="1620" w:type="dxa"/>
            <w:shd w:val="clear" w:color="auto" w:fill="FFFFFF"/>
          </w:tcPr>
          <w:p w:rsidR="00B23D9C" w:rsidRPr="00B23D9C" w:rsidRDefault="00B23D9C" w:rsidP="008A3B9F">
            <w:pPr>
              <w:rPr>
                <w:sz w:val="20"/>
              </w:rPr>
            </w:pPr>
            <w:r w:rsidRPr="00B23D9C">
              <w:rPr>
                <w:sz w:val="20"/>
              </w:rPr>
              <w:t>SWG members</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SWG02/06</w:t>
            </w:r>
          </w:p>
        </w:tc>
        <w:tc>
          <w:tcPr>
            <w:tcW w:w="3346" w:type="dxa"/>
            <w:shd w:val="clear" w:color="auto" w:fill="FFFFFF"/>
          </w:tcPr>
          <w:p w:rsidR="00B23D9C" w:rsidRPr="00B23D9C" w:rsidRDefault="00B23D9C" w:rsidP="008A3B9F">
            <w:pPr>
              <w:rPr>
                <w:sz w:val="20"/>
              </w:rPr>
            </w:pPr>
            <w:r w:rsidRPr="00B23D9C">
              <w:rPr>
                <w:sz w:val="20"/>
              </w:rPr>
              <w:t xml:space="preserve">To explore the possibility of compatibility calculations by existing software-tools for cases, when the compatibility between two Nav-aids in each-other’s coverage area need to be </w:t>
            </w:r>
            <w:proofErr w:type="spellStart"/>
            <w:r w:rsidRPr="00B23D9C">
              <w:rPr>
                <w:sz w:val="20"/>
              </w:rPr>
              <w:t>analyzed</w:t>
            </w:r>
            <w:proofErr w:type="spellEnd"/>
          </w:p>
        </w:tc>
        <w:tc>
          <w:tcPr>
            <w:tcW w:w="1620" w:type="dxa"/>
            <w:shd w:val="clear" w:color="auto" w:fill="FFFFFF"/>
          </w:tcPr>
          <w:p w:rsidR="00B23D9C" w:rsidRPr="00B23D9C" w:rsidRDefault="00B23D9C" w:rsidP="008A3B9F">
            <w:pPr>
              <w:rPr>
                <w:sz w:val="20"/>
              </w:rPr>
            </w:pPr>
            <w:r w:rsidRPr="00B23D9C">
              <w:rPr>
                <w:sz w:val="20"/>
              </w:rPr>
              <w:t>Mike Biggs and SWG members</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SWG02/07</w:t>
            </w:r>
          </w:p>
        </w:tc>
        <w:tc>
          <w:tcPr>
            <w:tcW w:w="3346" w:type="dxa"/>
            <w:shd w:val="clear" w:color="auto" w:fill="FFFFFF"/>
          </w:tcPr>
          <w:p w:rsidR="00B23D9C" w:rsidRPr="00B23D9C" w:rsidRDefault="00B23D9C" w:rsidP="008A3B9F">
            <w:pPr>
              <w:rPr>
                <w:sz w:val="20"/>
              </w:rPr>
            </w:pPr>
            <w:r w:rsidRPr="00B23D9C">
              <w:rPr>
                <w:sz w:val="20"/>
              </w:rPr>
              <w:t>To report about outcome of FAA’s query of GBAS receiver manufacturers on the performance (or expected performance) of fielded or soon-to-be-fielded equipment in regard to adjacent channel rejection (WP13 of ICAO NSP June 2016).</w:t>
            </w:r>
          </w:p>
        </w:tc>
        <w:tc>
          <w:tcPr>
            <w:tcW w:w="1620" w:type="dxa"/>
            <w:shd w:val="clear" w:color="auto" w:fill="FFFFFF"/>
          </w:tcPr>
          <w:p w:rsidR="00B23D9C" w:rsidRPr="00B23D9C" w:rsidRDefault="00B23D9C" w:rsidP="008A3B9F">
            <w:pPr>
              <w:rPr>
                <w:sz w:val="20"/>
              </w:rPr>
            </w:pPr>
            <w:r w:rsidRPr="00B23D9C">
              <w:rPr>
                <w:sz w:val="20"/>
              </w:rPr>
              <w:t>Barbara Clark</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SWG02/08</w:t>
            </w:r>
          </w:p>
        </w:tc>
        <w:tc>
          <w:tcPr>
            <w:tcW w:w="3346" w:type="dxa"/>
            <w:shd w:val="clear" w:color="auto" w:fill="FFFFFF"/>
          </w:tcPr>
          <w:p w:rsidR="00B23D9C" w:rsidRPr="00B23D9C" w:rsidRDefault="00B23D9C" w:rsidP="008A3B9F">
            <w:pPr>
              <w:rPr>
                <w:sz w:val="20"/>
              </w:rPr>
            </w:pPr>
            <w:r w:rsidRPr="00B23D9C">
              <w:rPr>
                <w:sz w:val="20"/>
              </w:rPr>
              <w:t>To provide typical ILS and VOR fieldstrength on the approach path to allow to realistically model the undesired signal strength into the GBAS VDB receiver (typical data from deployed systems, in particular for airports with existing GBAS)</w:t>
            </w:r>
          </w:p>
        </w:tc>
        <w:tc>
          <w:tcPr>
            <w:tcW w:w="1620" w:type="dxa"/>
            <w:shd w:val="clear" w:color="auto" w:fill="FFFFFF"/>
          </w:tcPr>
          <w:p w:rsidR="00B23D9C" w:rsidRPr="00B23D9C" w:rsidRDefault="00B23D9C" w:rsidP="008A3B9F">
            <w:pPr>
              <w:rPr>
                <w:sz w:val="20"/>
              </w:rPr>
            </w:pPr>
            <w:r w:rsidRPr="00B23D9C">
              <w:rPr>
                <w:sz w:val="20"/>
              </w:rPr>
              <w:t>SWG members</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SWG02/09</w:t>
            </w:r>
          </w:p>
        </w:tc>
        <w:tc>
          <w:tcPr>
            <w:tcW w:w="3346" w:type="dxa"/>
            <w:shd w:val="clear" w:color="auto" w:fill="FFFFFF"/>
          </w:tcPr>
          <w:p w:rsidR="00B23D9C" w:rsidRPr="00B23D9C" w:rsidRDefault="00B23D9C" w:rsidP="008A3B9F">
            <w:pPr>
              <w:rPr>
                <w:sz w:val="20"/>
              </w:rPr>
            </w:pPr>
            <w:r w:rsidRPr="00B23D9C">
              <w:rPr>
                <w:sz w:val="20"/>
              </w:rPr>
              <w:t>Provide information regarding the ILS fieldstrength variation when overflying the ILS Localizer for the opposite approach.</w:t>
            </w:r>
          </w:p>
        </w:tc>
        <w:tc>
          <w:tcPr>
            <w:tcW w:w="1620" w:type="dxa"/>
            <w:shd w:val="clear" w:color="auto" w:fill="FFFFFF"/>
          </w:tcPr>
          <w:p w:rsidR="00B23D9C" w:rsidRPr="00B23D9C" w:rsidRDefault="00B23D9C" w:rsidP="008A3B9F">
            <w:pPr>
              <w:rPr>
                <w:sz w:val="20"/>
              </w:rPr>
            </w:pPr>
            <w:r w:rsidRPr="00B23D9C">
              <w:rPr>
                <w:sz w:val="20"/>
              </w:rPr>
              <w:t>Jules Hermens and John Dyson.</w:t>
            </w:r>
          </w:p>
        </w:tc>
        <w:tc>
          <w:tcPr>
            <w:tcW w:w="2880" w:type="dxa"/>
            <w:shd w:val="clear" w:color="auto" w:fill="FFFFFF"/>
          </w:tcPr>
          <w:p w:rsidR="00B23D9C" w:rsidRPr="00B23D9C" w:rsidRDefault="00B23D9C" w:rsidP="008A3B9F">
            <w:pPr>
              <w:rPr>
                <w:sz w:val="20"/>
              </w:rPr>
            </w:pPr>
            <w:r w:rsidRPr="00B23D9C">
              <w:rPr>
                <w:sz w:val="20"/>
              </w:rPr>
              <w:t>Open</w:t>
            </w:r>
          </w:p>
        </w:tc>
      </w:tr>
      <w:tr w:rsidR="00B23D9C" w:rsidRPr="00B23D9C" w:rsidTr="008A3B9F">
        <w:tc>
          <w:tcPr>
            <w:tcW w:w="1334" w:type="dxa"/>
            <w:shd w:val="clear" w:color="auto" w:fill="FFFFFF"/>
          </w:tcPr>
          <w:p w:rsidR="00B23D9C" w:rsidRPr="00B23D9C" w:rsidRDefault="00B23D9C" w:rsidP="008A3B9F">
            <w:pPr>
              <w:rPr>
                <w:sz w:val="20"/>
              </w:rPr>
            </w:pPr>
            <w:r w:rsidRPr="00B23D9C">
              <w:rPr>
                <w:sz w:val="20"/>
              </w:rPr>
              <w:t>SWG02/10</w:t>
            </w:r>
          </w:p>
        </w:tc>
        <w:tc>
          <w:tcPr>
            <w:tcW w:w="3346" w:type="dxa"/>
            <w:shd w:val="clear" w:color="auto" w:fill="FFFFFF"/>
          </w:tcPr>
          <w:p w:rsidR="00B23D9C" w:rsidRPr="00B23D9C" w:rsidRDefault="00B23D9C" w:rsidP="008A3B9F">
            <w:pPr>
              <w:rPr>
                <w:sz w:val="20"/>
              </w:rPr>
            </w:pPr>
            <w:r w:rsidRPr="00B23D9C">
              <w:rPr>
                <w:sz w:val="20"/>
              </w:rPr>
              <w:t>To send the draft GNSS RFI mitigation plan (WP36) to all NSP panel members for further review.</w:t>
            </w:r>
          </w:p>
        </w:tc>
        <w:tc>
          <w:tcPr>
            <w:tcW w:w="1620" w:type="dxa"/>
            <w:shd w:val="clear" w:color="auto" w:fill="FFFFFF"/>
          </w:tcPr>
          <w:p w:rsidR="00B23D9C" w:rsidRPr="00B23D9C" w:rsidRDefault="00B23D9C" w:rsidP="008A3B9F">
            <w:pPr>
              <w:rPr>
                <w:sz w:val="20"/>
              </w:rPr>
            </w:pPr>
            <w:r w:rsidRPr="00B23D9C">
              <w:rPr>
                <w:sz w:val="20"/>
              </w:rPr>
              <w:t>Alessandro Capretti</w:t>
            </w:r>
          </w:p>
        </w:tc>
        <w:tc>
          <w:tcPr>
            <w:tcW w:w="2880" w:type="dxa"/>
            <w:shd w:val="clear" w:color="auto" w:fill="FFFFFF"/>
          </w:tcPr>
          <w:p w:rsidR="00B23D9C" w:rsidRPr="00B23D9C" w:rsidRDefault="00B23D9C" w:rsidP="008A3B9F">
            <w:pPr>
              <w:rPr>
                <w:sz w:val="20"/>
              </w:rPr>
            </w:pPr>
            <w:r w:rsidRPr="00B23D9C">
              <w:rPr>
                <w:sz w:val="20"/>
              </w:rPr>
              <w:t>Closed</w:t>
            </w:r>
          </w:p>
        </w:tc>
      </w:tr>
    </w:tbl>
    <w:p w:rsidR="00B23D9C" w:rsidRPr="00B23D9C" w:rsidRDefault="00B23D9C" w:rsidP="00B23D9C"/>
    <w:sectPr w:rsidR="00B23D9C" w:rsidRPr="00B23D9C" w:rsidSect="00C44823">
      <w:headerReference w:type="even" r:id="rId13"/>
      <w:headerReference w:type="default" r:id="rId14"/>
      <w:footerReference w:type="first" r:id="rId15"/>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AA8" w:rsidRDefault="00BF2AA8">
      <w:r>
        <w:separator/>
      </w:r>
    </w:p>
  </w:endnote>
  <w:endnote w:type="continuationSeparator" w:id="0">
    <w:p w:rsidR="00BF2AA8" w:rsidRDefault="00BF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FDE" w:rsidRPr="00010B27" w:rsidRDefault="00D46FDE" w:rsidP="00010B27">
    <w:pPr>
      <w:pStyle w:val="Footer"/>
    </w:pPr>
    <w:bookmarkStart w:id="23" w:name="office_footer"/>
    <w:bookmarkStart w:id="24" w:name="document_no_footer"/>
    <w:bookmarkStart w:id="25" w:name="text_footer"/>
    <w:bookmarkEnd w:id="23"/>
    <w:bookmarkEnd w:id="24"/>
    <w:bookmarkEnd w:id="2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AA8" w:rsidRDefault="00BF2AA8">
      <w:r>
        <w:separator/>
      </w:r>
    </w:p>
  </w:footnote>
  <w:footnote w:type="continuationSeparator" w:id="0">
    <w:p w:rsidR="00BF2AA8" w:rsidRDefault="00BF2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FDE" w:rsidRDefault="00D46FDE" w:rsidP="00DA52CB">
    <w:pPr>
      <w:pStyle w:val="Header"/>
      <w:framePr w:wrap="around" w:vAnchor="text" w:hAnchor="margin" w:xAlign="center" w:y="1"/>
      <w:rPr>
        <w:rStyle w:val="PageNumber"/>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6C22B7">
      <w:rPr>
        <w:rStyle w:val="PageNumber"/>
        <w:noProof/>
      </w:rPr>
      <w:t>- 2 -</w:t>
    </w:r>
    <w:r>
      <w:rPr>
        <w:rStyle w:val="PageNumber"/>
      </w:rPr>
      <w:fldChar w:fldCharType="end"/>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2"/>
    </w:tblGrid>
    <w:tr w:rsidR="00D46FDE">
      <w:tc>
        <w:tcPr>
          <w:tcW w:w="0" w:type="auto"/>
        </w:tcPr>
        <w:p w:rsidR="00D46FDE" w:rsidRPr="00871292" w:rsidRDefault="00D46FDE" w:rsidP="00B23D9C">
          <w:pPr>
            <w:pStyle w:val="Header"/>
            <w:tabs>
              <w:tab w:val="left" w:pos="720"/>
              <w:tab w:val="left" w:pos="1440"/>
              <w:tab w:val="left" w:pos="1800"/>
              <w:tab w:val="left" w:pos="2160"/>
              <w:tab w:val="left" w:pos="2520"/>
              <w:tab w:val="left" w:pos="2880"/>
            </w:tabs>
            <w:rPr>
              <w:sz w:val="18"/>
              <w:szCs w:val="18"/>
            </w:rPr>
          </w:pPr>
          <w:bookmarkStart w:id="19" w:name="related_to_header_even"/>
          <w:bookmarkStart w:id="20" w:name="addendum_corrigendum_header_even"/>
          <w:bookmarkEnd w:id="19"/>
          <w:bookmarkEnd w:id="20"/>
        </w:p>
      </w:tc>
    </w:tr>
  </w:tbl>
  <w:p w:rsidR="00D46FDE" w:rsidRPr="005945C7" w:rsidRDefault="00D46FDE" w:rsidP="00010B27">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FDE" w:rsidRPr="007307A8" w:rsidRDefault="00D46FDE" w:rsidP="00DA52CB">
    <w:pPr>
      <w:pStyle w:val="Header"/>
      <w:framePr w:wrap="around" w:vAnchor="text" w:hAnchor="margin" w:xAlign="center" w:y="1"/>
      <w:rPr>
        <w:rStyle w:val="PageNumber"/>
        <w:szCs w:val="22"/>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6C22B7">
      <w:rPr>
        <w:rStyle w:val="PageNumber"/>
        <w:noProof/>
      </w:rPr>
      <w:t>- 13 -</w:t>
    </w:r>
    <w:r>
      <w:rPr>
        <w:rStyle w:val="PageNumber"/>
      </w:rPr>
      <w:fldChar w:fldCharType="end"/>
    </w:r>
  </w:p>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2"/>
    </w:tblGrid>
    <w:tr w:rsidR="00D46FDE">
      <w:trPr>
        <w:jc w:val="right"/>
      </w:trPr>
      <w:tc>
        <w:tcPr>
          <w:tcW w:w="0" w:type="auto"/>
        </w:tcPr>
        <w:p w:rsidR="00D46FDE" w:rsidRPr="002B6E6F" w:rsidRDefault="00D46FDE" w:rsidP="000A3BF2">
          <w:pPr>
            <w:rPr>
              <w:sz w:val="18"/>
              <w:szCs w:val="18"/>
            </w:rPr>
          </w:pPr>
          <w:bookmarkStart w:id="21" w:name="related_to_header_odd"/>
          <w:bookmarkStart w:id="22" w:name="addendum_corrigendum_header_odd"/>
          <w:bookmarkEnd w:id="21"/>
          <w:bookmarkEnd w:id="22"/>
        </w:p>
      </w:tc>
    </w:tr>
  </w:tbl>
  <w:p w:rsidR="00D46FDE" w:rsidRPr="007307A8" w:rsidRDefault="00D46FDE" w:rsidP="005167F3">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599"/>
    <w:multiLevelType w:val="hybridMultilevel"/>
    <w:tmpl w:val="EF6E1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A650308"/>
    <w:multiLevelType w:val="multilevel"/>
    <w:tmpl w:val="0FD0E5B0"/>
    <w:lvl w:ilvl="0">
      <w:start w:val="1"/>
      <w:numFmt w:val="decimal"/>
      <w:lvlText w:val="%1."/>
      <w:lvlJc w:val="left"/>
      <w:pPr>
        <w:tabs>
          <w:tab w:val="num" w:pos="360"/>
        </w:tabs>
        <w:ind w:left="0" w:firstLine="0"/>
      </w:pPr>
    </w:lvl>
    <w:lvl w:ilvl="1">
      <w:start w:val="1"/>
      <w:numFmt w:val="decimal"/>
      <w:suff w:val="nothing"/>
      <w:lvlText w:val=" %1.%2."/>
      <w:lvlJc w:val="left"/>
      <w:pPr>
        <w:ind w:left="1512" w:hanging="151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3">
    <w:nsid w:val="0CB936FA"/>
    <w:multiLevelType w:val="multilevel"/>
    <w:tmpl w:val="FC0E6F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4">
    <w:nsid w:val="14FD7560"/>
    <w:multiLevelType w:val="hybridMultilevel"/>
    <w:tmpl w:val="5EDA4092"/>
    <w:lvl w:ilvl="0" w:tplc="387C74E8">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1B6AF8"/>
    <w:multiLevelType w:val="multilevel"/>
    <w:tmpl w:val="F048B4C2"/>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6">
    <w:nsid w:val="32D55FC1"/>
    <w:multiLevelType w:val="hybridMultilevel"/>
    <w:tmpl w:val="8E8401D4"/>
    <w:lvl w:ilvl="0" w:tplc="0758F3F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5C43098"/>
    <w:multiLevelType w:val="hybridMultilevel"/>
    <w:tmpl w:val="03B48E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46DF12DC"/>
    <w:multiLevelType w:val="multilevel"/>
    <w:tmpl w:val="4B44D6C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9">
    <w:nsid w:val="4BFB2ECF"/>
    <w:multiLevelType w:val="multilevel"/>
    <w:tmpl w:val="0B02A7C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0">
    <w:nsid w:val="4DD40C8A"/>
    <w:multiLevelType w:val="hybridMultilevel"/>
    <w:tmpl w:val="6A0CA81C"/>
    <w:lvl w:ilvl="0" w:tplc="0BBC7FA6">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EC560F"/>
    <w:multiLevelType w:val="hybridMultilevel"/>
    <w:tmpl w:val="AD4478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2640DA"/>
    <w:multiLevelType w:val="hybridMultilevel"/>
    <w:tmpl w:val="5A7CB534"/>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8D37AE"/>
    <w:multiLevelType w:val="hybridMultilevel"/>
    <w:tmpl w:val="B8E6D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91E61BA"/>
    <w:multiLevelType w:val="multilevel"/>
    <w:tmpl w:val="A4FCCD1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abstractNumId w:val="16"/>
  </w:num>
  <w:num w:numId="2">
    <w:abstractNumId w:val="2"/>
  </w:num>
  <w:num w:numId="3">
    <w:abstractNumId w:val="12"/>
  </w:num>
  <w:num w:numId="4">
    <w:abstractNumId w:val="14"/>
  </w:num>
  <w:num w:numId="5">
    <w:abstractNumId w:val="17"/>
  </w:num>
  <w:num w:numId="6">
    <w:abstractNumId w:val="10"/>
  </w:num>
  <w:num w:numId="7">
    <w:abstractNumId w:val="3"/>
  </w:num>
  <w:num w:numId="8">
    <w:abstractNumId w:val="4"/>
  </w:num>
  <w:num w:numId="9">
    <w:abstractNumId w:val="5"/>
  </w:num>
  <w:num w:numId="10">
    <w:abstractNumId w:val="8"/>
  </w:num>
  <w:num w:numId="11">
    <w:abstractNumId w:val="9"/>
  </w:num>
  <w:num w:numId="12">
    <w:abstractNumId w:val="6"/>
  </w:num>
  <w:num w:numId="13">
    <w:abstractNumId w:val="9"/>
  </w:num>
  <w:num w:numId="14">
    <w:abstractNumId w:val="7"/>
  </w:num>
  <w:num w:numId="15">
    <w:abstractNumId w:val="9"/>
    <w:lvlOverride w:ilvl="0">
      <w:startOverride w:val="2"/>
    </w:lvlOverride>
    <w:lvlOverride w:ilvl="1">
      <w:startOverride w:val="2"/>
    </w:lvlOverride>
  </w:num>
  <w:num w:numId="16">
    <w:abstractNumId w:val="11"/>
  </w:num>
  <w:num w:numId="17">
    <w:abstractNumId w:val="15"/>
  </w:num>
  <w:num w:numId="18">
    <w:abstractNumId w:val="1"/>
  </w:num>
  <w:num w:numId="19">
    <w:abstractNumId w:val="13"/>
  </w:num>
  <w:num w:numId="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56"/>
    <w:rsid w:val="00000F00"/>
    <w:rsid w:val="00001A8D"/>
    <w:rsid w:val="000039BB"/>
    <w:rsid w:val="00006C73"/>
    <w:rsid w:val="00006E6D"/>
    <w:rsid w:val="0001049C"/>
    <w:rsid w:val="000109BB"/>
    <w:rsid w:val="00010B27"/>
    <w:rsid w:val="00010EFA"/>
    <w:rsid w:val="000110B7"/>
    <w:rsid w:val="00011A68"/>
    <w:rsid w:val="00011F3A"/>
    <w:rsid w:val="00011F5D"/>
    <w:rsid w:val="00017D53"/>
    <w:rsid w:val="00022A0B"/>
    <w:rsid w:val="0002509E"/>
    <w:rsid w:val="0003526F"/>
    <w:rsid w:val="00037279"/>
    <w:rsid w:val="000400CD"/>
    <w:rsid w:val="00040375"/>
    <w:rsid w:val="00040749"/>
    <w:rsid w:val="00040DC2"/>
    <w:rsid w:val="00041239"/>
    <w:rsid w:val="00043107"/>
    <w:rsid w:val="00044A2B"/>
    <w:rsid w:val="000503C7"/>
    <w:rsid w:val="00051291"/>
    <w:rsid w:val="000525DF"/>
    <w:rsid w:val="00052DD2"/>
    <w:rsid w:val="000530A1"/>
    <w:rsid w:val="0006066B"/>
    <w:rsid w:val="000613FD"/>
    <w:rsid w:val="00062150"/>
    <w:rsid w:val="0006342D"/>
    <w:rsid w:val="000674F9"/>
    <w:rsid w:val="00067C69"/>
    <w:rsid w:val="000758C1"/>
    <w:rsid w:val="000778CE"/>
    <w:rsid w:val="00080164"/>
    <w:rsid w:val="00080B36"/>
    <w:rsid w:val="00081579"/>
    <w:rsid w:val="00082B3C"/>
    <w:rsid w:val="00083E14"/>
    <w:rsid w:val="000864AB"/>
    <w:rsid w:val="000904A7"/>
    <w:rsid w:val="00090BA0"/>
    <w:rsid w:val="00095A55"/>
    <w:rsid w:val="000A3BF2"/>
    <w:rsid w:val="000A577C"/>
    <w:rsid w:val="000A6175"/>
    <w:rsid w:val="000A6243"/>
    <w:rsid w:val="000B45AF"/>
    <w:rsid w:val="000B7372"/>
    <w:rsid w:val="000C32CA"/>
    <w:rsid w:val="000C41AE"/>
    <w:rsid w:val="000C6CE6"/>
    <w:rsid w:val="000D0D75"/>
    <w:rsid w:val="000D168D"/>
    <w:rsid w:val="000E14E4"/>
    <w:rsid w:val="000E3BAF"/>
    <w:rsid w:val="000E5253"/>
    <w:rsid w:val="000E6437"/>
    <w:rsid w:val="000F1DA4"/>
    <w:rsid w:val="000F54CF"/>
    <w:rsid w:val="00105B04"/>
    <w:rsid w:val="0010728C"/>
    <w:rsid w:val="0010769E"/>
    <w:rsid w:val="00113D10"/>
    <w:rsid w:val="0011655D"/>
    <w:rsid w:val="0012363D"/>
    <w:rsid w:val="0012395D"/>
    <w:rsid w:val="001245DD"/>
    <w:rsid w:val="00126842"/>
    <w:rsid w:val="00127CEF"/>
    <w:rsid w:val="00130928"/>
    <w:rsid w:val="001355CC"/>
    <w:rsid w:val="00141B81"/>
    <w:rsid w:val="0014610D"/>
    <w:rsid w:val="001465A4"/>
    <w:rsid w:val="00146D87"/>
    <w:rsid w:val="00146FF3"/>
    <w:rsid w:val="001502B2"/>
    <w:rsid w:val="001526E5"/>
    <w:rsid w:val="00154F8E"/>
    <w:rsid w:val="00157B2B"/>
    <w:rsid w:val="00170455"/>
    <w:rsid w:val="00173A14"/>
    <w:rsid w:val="00176D81"/>
    <w:rsid w:val="00181E75"/>
    <w:rsid w:val="00184818"/>
    <w:rsid w:val="00184CE2"/>
    <w:rsid w:val="00191C62"/>
    <w:rsid w:val="00192C47"/>
    <w:rsid w:val="00196DB4"/>
    <w:rsid w:val="001A3581"/>
    <w:rsid w:val="001B121D"/>
    <w:rsid w:val="001C340A"/>
    <w:rsid w:val="001E27AB"/>
    <w:rsid w:val="001E2C14"/>
    <w:rsid w:val="001E4F02"/>
    <w:rsid w:val="001E6B6C"/>
    <w:rsid w:val="001E7137"/>
    <w:rsid w:val="001F0A0C"/>
    <w:rsid w:val="001F2CBA"/>
    <w:rsid w:val="001F56B6"/>
    <w:rsid w:val="00200372"/>
    <w:rsid w:val="00203F14"/>
    <w:rsid w:val="002073D6"/>
    <w:rsid w:val="00215A9D"/>
    <w:rsid w:val="00215B2F"/>
    <w:rsid w:val="00216253"/>
    <w:rsid w:val="002172F3"/>
    <w:rsid w:val="002221F7"/>
    <w:rsid w:val="002307DB"/>
    <w:rsid w:val="00233600"/>
    <w:rsid w:val="00237206"/>
    <w:rsid w:val="00241E12"/>
    <w:rsid w:val="002544B1"/>
    <w:rsid w:val="00257C95"/>
    <w:rsid w:val="002631D3"/>
    <w:rsid w:val="0027347D"/>
    <w:rsid w:val="0027386E"/>
    <w:rsid w:val="0027499C"/>
    <w:rsid w:val="0027718B"/>
    <w:rsid w:val="00283DBA"/>
    <w:rsid w:val="002854C0"/>
    <w:rsid w:val="002913A1"/>
    <w:rsid w:val="00291414"/>
    <w:rsid w:val="002948ED"/>
    <w:rsid w:val="00295827"/>
    <w:rsid w:val="002A64A6"/>
    <w:rsid w:val="002B12FF"/>
    <w:rsid w:val="002B3E4B"/>
    <w:rsid w:val="002B6E6F"/>
    <w:rsid w:val="002C13D1"/>
    <w:rsid w:val="002C2564"/>
    <w:rsid w:val="002C4C2B"/>
    <w:rsid w:val="002C6255"/>
    <w:rsid w:val="002D7084"/>
    <w:rsid w:val="002D771F"/>
    <w:rsid w:val="002D77B2"/>
    <w:rsid w:val="002E158A"/>
    <w:rsid w:val="002E5A19"/>
    <w:rsid w:val="002E7527"/>
    <w:rsid w:val="002F7117"/>
    <w:rsid w:val="0030311F"/>
    <w:rsid w:val="00303970"/>
    <w:rsid w:val="00305BCF"/>
    <w:rsid w:val="00313284"/>
    <w:rsid w:val="00316EA6"/>
    <w:rsid w:val="003204C7"/>
    <w:rsid w:val="003237F3"/>
    <w:rsid w:val="003247F1"/>
    <w:rsid w:val="0033061D"/>
    <w:rsid w:val="0033600A"/>
    <w:rsid w:val="00337738"/>
    <w:rsid w:val="003403A5"/>
    <w:rsid w:val="00341BAE"/>
    <w:rsid w:val="00350A0B"/>
    <w:rsid w:val="00360852"/>
    <w:rsid w:val="00366139"/>
    <w:rsid w:val="003662BC"/>
    <w:rsid w:val="00367738"/>
    <w:rsid w:val="0037166A"/>
    <w:rsid w:val="00371D4A"/>
    <w:rsid w:val="003820FC"/>
    <w:rsid w:val="003835E2"/>
    <w:rsid w:val="00383FAC"/>
    <w:rsid w:val="00387C77"/>
    <w:rsid w:val="00390A97"/>
    <w:rsid w:val="00392579"/>
    <w:rsid w:val="00394771"/>
    <w:rsid w:val="00395690"/>
    <w:rsid w:val="00395CBA"/>
    <w:rsid w:val="00396A24"/>
    <w:rsid w:val="003A3203"/>
    <w:rsid w:val="003A5FE7"/>
    <w:rsid w:val="003A61A2"/>
    <w:rsid w:val="003A7C0F"/>
    <w:rsid w:val="003B06DD"/>
    <w:rsid w:val="003B7F01"/>
    <w:rsid w:val="003C3311"/>
    <w:rsid w:val="003D02BC"/>
    <w:rsid w:val="003D0D0F"/>
    <w:rsid w:val="003E180C"/>
    <w:rsid w:val="003E41C7"/>
    <w:rsid w:val="003E6D1A"/>
    <w:rsid w:val="003F3E21"/>
    <w:rsid w:val="003F47E1"/>
    <w:rsid w:val="003F5A32"/>
    <w:rsid w:val="004011F4"/>
    <w:rsid w:val="00403EE5"/>
    <w:rsid w:val="004102A5"/>
    <w:rsid w:val="0041070A"/>
    <w:rsid w:val="0041179B"/>
    <w:rsid w:val="00411A65"/>
    <w:rsid w:val="00414636"/>
    <w:rsid w:val="00416B14"/>
    <w:rsid w:val="00422371"/>
    <w:rsid w:val="0042345A"/>
    <w:rsid w:val="00425B0C"/>
    <w:rsid w:val="00426BE1"/>
    <w:rsid w:val="004313BC"/>
    <w:rsid w:val="00437E25"/>
    <w:rsid w:val="00440F86"/>
    <w:rsid w:val="00442A39"/>
    <w:rsid w:val="004476EA"/>
    <w:rsid w:val="00457E78"/>
    <w:rsid w:val="0046064D"/>
    <w:rsid w:val="00461726"/>
    <w:rsid w:val="00463624"/>
    <w:rsid w:val="00471B1C"/>
    <w:rsid w:val="00473CE4"/>
    <w:rsid w:val="00481DB8"/>
    <w:rsid w:val="00486829"/>
    <w:rsid w:val="00492CAA"/>
    <w:rsid w:val="00496D47"/>
    <w:rsid w:val="00496E6F"/>
    <w:rsid w:val="004B23ED"/>
    <w:rsid w:val="004B5954"/>
    <w:rsid w:val="004B75C0"/>
    <w:rsid w:val="004B76E3"/>
    <w:rsid w:val="004C595B"/>
    <w:rsid w:val="004C79B1"/>
    <w:rsid w:val="004D6A3F"/>
    <w:rsid w:val="004E2CA2"/>
    <w:rsid w:val="004F185A"/>
    <w:rsid w:val="004F1CB7"/>
    <w:rsid w:val="00501DCF"/>
    <w:rsid w:val="0050379B"/>
    <w:rsid w:val="005061C9"/>
    <w:rsid w:val="00507204"/>
    <w:rsid w:val="00507A43"/>
    <w:rsid w:val="005118E9"/>
    <w:rsid w:val="00515F71"/>
    <w:rsid w:val="005167F3"/>
    <w:rsid w:val="005240DB"/>
    <w:rsid w:val="005240E8"/>
    <w:rsid w:val="0052689C"/>
    <w:rsid w:val="00532970"/>
    <w:rsid w:val="00535003"/>
    <w:rsid w:val="005438FF"/>
    <w:rsid w:val="00543EEC"/>
    <w:rsid w:val="00544E77"/>
    <w:rsid w:val="005623E0"/>
    <w:rsid w:val="0056386E"/>
    <w:rsid w:val="005721F1"/>
    <w:rsid w:val="00585B62"/>
    <w:rsid w:val="00585E9B"/>
    <w:rsid w:val="005919E5"/>
    <w:rsid w:val="00591F3C"/>
    <w:rsid w:val="005A03A7"/>
    <w:rsid w:val="005A2AA2"/>
    <w:rsid w:val="005A3734"/>
    <w:rsid w:val="005B0D1C"/>
    <w:rsid w:val="005B0DDC"/>
    <w:rsid w:val="005B163C"/>
    <w:rsid w:val="005B17FC"/>
    <w:rsid w:val="005B1885"/>
    <w:rsid w:val="005B6A93"/>
    <w:rsid w:val="005C1AD9"/>
    <w:rsid w:val="005C3C8A"/>
    <w:rsid w:val="005C674F"/>
    <w:rsid w:val="005D3426"/>
    <w:rsid w:val="005D62EA"/>
    <w:rsid w:val="005E33C7"/>
    <w:rsid w:val="005E3CE6"/>
    <w:rsid w:val="005F3188"/>
    <w:rsid w:val="005F32B1"/>
    <w:rsid w:val="006117B7"/>
    <w:rsid w:val="0061266F"/>
    <w:rsid w:val="0061527A"/>
    <w:rsid w:val="0062171A"/>
    <w:rsid w:val="00621B7B"/>
    <w:rsid w:val="00622AE8"/>
    <w:rsid w:val="00625B36"/>
    <w:rsid w:val="0062699A"/>
    <w:rsid w:val="006274E4"/>
    <w:rsid w:val="006408A2"/>
    <w:rsid w:val="00640CEA"/>
    <w:rsid w:val="0064378F"/>
    <w:rsid w:val="00645591"/>
    <w:rsid w:val="00647D1A"/>
    <w:rsid w:val="00654DF6"/>
    <w:rsid w:val="00656C39"/>
    <w:rsid w:val="00662BA9"/>
    <w:rsid w:val="00663DDB"/>
    <w:rsid w:val="00671079"/>
    <w:rsid w:val="00673E01"/>
    <w:rsid w:val="00674B48"/>
    <w:rsid w:val="00677A97"/>
    <w:rsid w:val="00681DF8"/>
    <w:rsid w:val="006832E2"/>
    <w:rsid w:val="00683C8A"/>
    <w:rsid w:val="00686187"/>
    <w:rsid w:val="006918D1"/>
    <w:rsid w:val="00695CB1"/>
    <w:rsid w:val="00697002"/>
    <w:rsid w:val="006A20BA"/>
    <w:rsid w:val="006A2AF2"/>
    <w:rsid w:val="006A54CC"/>
    <w:rsid w:val="006B291C"/>
    <w:rsid w:val="006B2D7D"/>
    <w:rsid w:val="006C1AC7"/>
    <w:rsid w:val="006C22B7"/>
    <w:rsid w:val="006D36F9"/>
    <w:rsid w:val="006E31D3"/>
    <w:rsid w:val="006F501B"/>
    <w:rsid w:val="006F7BB9"/>
    <w:rsid w:val="00702017"/>
    <w:rsid w:val="007062ED"/>
    <w:rsid w:val="007075C2"/>
    <w:rsid w:val="0071315E"/>
    <w:rsid w:val="0071322B"/>
    <w:rsid w:val="007140C2"/>
    <w:rsid w:val="00714A19"/>
    <w:rsid w:val="00721EDB"/>
    <w:rsid w:val="00725FF1"/>
    <w:rsid w:val="00743D85"/>
    <w:rsid w:val="00750AB9"/>
    <w:rsid w:val="00753AFF"/>
    <w:rsid w:val="007544C9"/>
    <w:rsid w:val="007616CA"/>
    <w:rsid w:val="00763B83"/>
    <w:rsid w:val="00764C07"/>
    <w:rsid w:val="00765548"/>
    <w:rsid w:val="00765DD7"/>
    <w:rsid w:val="00770064"/>
    <w:rsid w:val="0077182C"/>
    <w:rsid w:val="007729E3"/>
    <w:rsid w:val="007827BE"/>
    <w:rsid w:val="00783EC5"/>
    <w:rsid w:val="00784016"/>
    <w:rsid w:val="00785A28"/>
    <w:rsid w:val="00790956"/>
    <w:rsid w:val="00795803"/>
    <w:rsid w:val="007A152D"/>
    <w:rsid w:val="007B1BD8"/>
    <w:rsid w:val="007C122A"/>
    <w:rsid w:val="007C297B"/>
    <w:rsid w:val="007D3B90"/>
    <w:rsid w:val="007D61DC"/>
    <w:rsid w:val="007E565C"/>
    <w:rsid w:val="007F2B65"/>
    <w:rsid w:val="007F3EA2"/>
    <w:rsid w:val="007F5850"/>
    <w:rsid w:val="00801993"/>
    <w:rsid w:val="008019CD"/>
    <w:rsid w:val="00803E3E"/>
    <w:rsid w:val="00805C05"/>
    <w:rsid w:val="00810534"/>
    <w:rsid w:val="008169FE"/>
    <w:rsid w:val="00820171"/>
    <w:rsid w:val="00820EB1"/>
    <w:rsid w:val="00821F35"/>
    <w:rsid w:val="00822B86"/>
    <w:rsid w:val="00825115"/>
    <w:rsid w:val="008260F5"/>
    <w:rsid w:val="00827113"/>
    <w:rsid w:val="00831F32"/>
    <w:rsid w:val="00832BB2"/>
    <w:rsid w:val="008346E1"/>
    <w:rsid w:val="00835DFF"/>
    <w:rsid w:val="0084587F"/>
    <w:rsid w:val="00846663"/>
    <w:rsid w:val="008501D8"/>
    <w:rsid w:val="0085081E"/>
    <w:rsid w:val="00851253"/>
    <w:rsid w:val="00851D74"/>
    <w:rsid w:val="00855744"/>
    <w:rsid w:val="008558FF"/>
    <w:rsid w:val="0086014E"/>
    <w:rsid w:val="00860AAE"/>
    <w:rsid w:val="00860ED3"/>
    <w:rsid w:val="00862586"/>
    <w:rsid w:val="00862C58"/>
    <w:rsid w:val="00866193"/>
    <w:rsid w:val="00871292"/>
    <w:rsid w:val="008714B9"/>
    <w:rsid w:val="008739EE"/>
    <w:rsid w:val="00876E2B"/>
    <w:rsid w:val="00877E8A"/>
    <w:rsid w:val="00881091"/>
    <w:rsid w:val="00882405"/>
    <w:rsid w:val="00882BDE"/>
    <w:rsid w:val="008855CB"/>
    <w:rsid w:val="00885CC9"/>
    <w:rsid w:val="00892252"/>
    <w:rsid w:val="00896E8D"/>
    <w:rsid w:val="008A06F0"/>
    <w:rsid w:val="008B1C6D"/>
    <w:rsid w:val="008C56F5"/>
    <w:rsid w:val="008C7456"/>
    <w:rsid w:val="008C74C4"/>
    <w:rsid w:val="008D5EF4"/>
    <w:rsid w:val="008E47BA"/>
    <w:rsid w:val="008E65A0"/>
    <w:rsid w:val="008E7593"/>
    <w:rsid w:val="008F27CC"/>
    <w:rsid w:val="008F7D1B"/>
    <w:rsid w:val="008F7F71"/>
    <w:rsid w:val="009015F4"/>
    <w:rsid w:val="009027C9"/>
    <w:rsid w:val="0090357B"/>
    <w:rsid w:val="0090671B"/>
    <w:rsid w:val="009120B2"/>
    <w:rsid w:val="0091774A"/>
    <w:rsid w:val="009232F4"/>
    <w:rsid w:val="0092368D"/>
    <w:rsid w:val="009241B5"/>
    <w:rsid w:val="00924403"/>
    <w:rsid w:val="00933350"/>
    <w:rsid w:val="009371B7"/>
    <w:rsid w:val="00940ADF"/>
    <w:rsid w:val="009414F0"/>
    <w:rsid w:val="00941ED6"/>
    <w:rsid w:val="00944F00"/>
    <w:rsid w:val="00945C72"/>
    <w:rsid w:val="0094631A"/>
    <w:rsid w:val="00946646"/>
    <w:rsid w:val="00946E35"/>
    <w:rsid w:val="00951A19"/>
    <w:rsid w:val="0095388F"/>
    <w:rsid w:val="00954012"/>
    <w:rsid w:val="0096322C"/>
    <w:rsid w:val="009649B4"/>
    <w:rsid w:val="0096589B"/>
    <w:rsid w:val="00975A68"/>
    <w:rsid w:val="0097633F"/>
    <w:rsid w:val="00977517"/>
    <w:rsid w:val="0098086B"/>
    <w:rsid w:val="00982722"/>
    <w:rsid w:val="0098386B"/>
    <w:rsid w:val="00983E0C"/>
    <w:rsid w:val="009858FD"/>
    <w:rsid w:val="009935B1"/>
    <w:rsid w:val="009A1C81"/>
    <w:rsid w:val="009A2153"/>
    <w:rsid w:val="009A53E6"/>
    <w:rsid w:val="009A61D2"/>
    <w:rsid w:val="009B51E0"/>
    <w:rsid w:val="009C11AF"/>
    <w:rsid w:val="009C1BE5"/>
    <w:rsid w:val="009C3587"/>
    <w:rsid w:val="009D73C0"/>
    <w:rsid w:val="009D7EE5"/>
    <w:rsid w:val="009E0A3E"/>
    <w:rsid w:val="009E1802"/>
    <w:rsid w:val="009E3299"/>
    <w:rsid w:val="009E544D"/>
    <w:rsid w:val="009F2001"/>
    <w:rsid w:val="009F24C5"/>
    <w:rsid w:val="009F2F5B"/>
    <w:rsid w:val="009F45FB"/>
    <w:rsid w:val="009F6544"/>
    <w:rsid w:val="00A01A9D"/>
    <w:rsid w:val="00A03A60"/>
    <w:rsid w:val="00A111A5"/>
    <w:rsid w:val="00A134B4"/>
    <w:rsid w:val="00A1632E"/>
    <w:rsid w:val="00A2022F"/>
    <w:rsid w:val="00A25987"/>
    <w:rsid w:val="00A3102E"/>
    <w:rsid w:val="00A31883"/>
    <w:rsid w:val="00A35A3D"/>
    <w:rsid w:val="00A36835"/>
    <w:rsid w:val="00A42145"/>
    <w:rsid w:val="00A43190"/>
    <w:rsid w:val="00A44AD0"/>
    <w:rsid w:val="00A46DEB"/>
    <w:rsid w:val="00A504AB"/>
    <w:rsid w:val="00A50984"/>
    <w:rsid w:val="00A51C34"/>
    <w:rsid w:val="00A53300"/>
    <w:rsid w:val="00A54294"/>
    <w:rsid w:val="00A55382"/>
    <w:rsid w:val="00A55612"/>
    <w:rsid w:val="00A635C7"/>
    <w:rsid w:val="00A705A8"/>
    <w:rsid w:val="00A721F8"/>
    <w:rsid w:val="00A737B5"/>
    <w:rsid w:val="00A77433"/>
    <w:rsid w:val="00A81826"/>
    <w:rsid w:val="00A870EE"/>
    <w:rsid w:val="00A93EDE"/>
    <w:rsid w:val="00A96719"/>
    <w:rsid w:val="00A9732C"/>
    <w:rsid w:val="00A97742"/>
    <w:rsid w:val="00A97EDA"/>
    <w:rsid w:val="00AA1D9B"/>
    <w:rsid w:val="00AA67CD"/>
    <w:rsid w:val="00AA7A1B"/>
    <w:rsid w:val="00AA7B28"/>
    <w:rsid w:val="00AB54D6"/>
    <w:rsid w:val="00AB5A20"/>
    <w:rsid w:val="00AC32E6"/>
    <w:rsid w:val="00AC4061"/>
    <w:rsid w:val="00AC6FDA"/>
    <w:rsid w:val="00AE28ED"/>
    <w:rsid w:val="00AF0361"/>
    <w:rsid w:val="00AF0E73"/>
    <w:rsid w:val="00AF1E1F"/>
    <w:rsid w:val="00AF2B04"/>
    <w:rsid w:val="00AF65E3"/>
    <w:rsid w:val="00AF70AD"/>
    <w:rsid w:val="00B0163B"/>
    <w:rsid w:val="00B07D50"/>
    <w:rsid w:val="00B12C02"/>
    <w:rsid w:val="00B13225"/>
    <w:rsid w:val="00B15708"/>
    <w:rsid w:val="00B162B6"/>
    <w:rsid w:val="00B210FF"/>
    <w:rsid w:val="00B2300C"/>
    <w:rsid w:val="00B23D9C"/>
    <w:rsid w:val="00B24CB9"/>
    <w:rsid w:val="00B26007"/>
    <w:rsid w:val="00B26D03"/>
    <w:rsid w:val="00B31744"/>
    <w:rsid w:val="00B332C7"/>
    <w:rsid w:val="00B3411E"/>
    <w:rsid w:val="00B41C3E"/>
    <w:rsid w:val="00B473C2"/>
    <w:rsid w:val="00B54C87"/>
    <w:rsid w:val="00B6185C"/>
    <w:rsid w:val="00B64061"/>
    <w:rsid w:val="00B64C2E"/>
    <w:rsid w:val="00B65D2C"/>
    <w:rsid w:val="00B71D78"/>
    <w:rsid w:val="00B72EA4"/>
    <w:rsid w:val="00B76ABE"/>
    <w:rsid w:val="00B8065E"/>
    <w:rsid w:val="00B81AFC"/>
    <w:rsid w:val="00B830DB"/>
    <w:rsid w:val="00B934A2"/>
    <w:rsid w:val="00B96F44"/>
    <w:rsid w:val="00B976BE"/>
    <w:rsid w:val="00BA0E72"/>
    <w:rsid w:val="00BA2089"/>
    <w:rsid w:val="00BA3C55"/>
    <w:rsid w:val="00BA4366"/>
    <w:rsid w:val="00BA4B46"/>
    <w:rsid w:val="00BA60BE"/>
    <w:rsid w:val="00BB09D3"/>
    <w:rsid w:val="00BB44CC"/>
    <w:rsid w:val="00BB4503"/>
    <w:rsid w:val="00BB5BDE"/>
    <w:rsid w:val="00BB605C"/>
    <w:rsid w:val="00BB60E0"/>
    <w:rsid w:val="00BB61B4"/>
    <w:rsid w:val="00BB7E3D"/>
    <w:rsid w:val="00BC0E04"/>
    <w:rsid w:val="00BC1313"/>
    <w:rsid w:val="00BC2472"/>
    <w:rsid w:val="00BE0AD3"/>
    <w:rsid w:val="00BE2341"/>
    <w:rsid w:val="00BE66EC"/>
    <w:rsid w:val="00BF1C87"/>
    <w:rsid w:val="00BF213A"/>
    <w:rsid w:val="00BF2AA8"/>
    <w:rsid w:val="00BF7919"/>
    <w:rsid w:val="00C03659"/>
    <w:rsid w:val="00C05076"/>
    <w:rsid w:val="00C200C1"/>
    <w:rsid w:val="00C22B18"/>
    <w:rsid w:val="00C25185"/>
    <w:rsid w:val="00C25BEA"/>
    <w:rsid w:val="00C26062"/>
    <w:rsid w:val="00C265E2"/>
    <w:rsid w:val="00C26DE6"/>
    <w:rsid w:val="00C32BC0"/>
    <w:rsid w:val="00C34401"/>
    <w:rsid w:val="00C437BA"/>
    <w:rsid w:val="00C44823"/>
    <w:rsid w:val="00C45122"/>
    <w:rsid w:val="00C50BCA"/>
    <w:rsid w:val="00C5363D"/>
    <w:rsid w:val="00C57ED2"/>
    <w:rsid w:val="00C64B08"/>
    <w:rsid w:val="00C77602"/>
    <w:rsid w:val="00C81386"/>
    <w:rsid w:val="00C83CDD"/>
    <w:rsid w:val="00C855D6"/>
    <w:rsid w:val="00C85D20"/>
    <w:rsid w:val="00C874A1"/>
    <w:rsid w:val="00C95B95"/>
    <w:rsid w:val="00C97EA1"/>
    <w:rsid w:val="00CA529A"/>
    <w:rsid w:val="00CB15A3"/>
    <w:rsid w:val="00CB185A"/>
    <w:rsid w:val="00CB5154"/>
    <w:rsid w:val="00CB7997"/>
    <w:rsid w:val="00CC0E60"/>
    <w:rsid w:val="00CC236C"/>
    <w:rsid w:val="00CC4079"/>
    <w:rsid w:val="00CC4486"/>
    <w:rsid w:val="00CD0835"/>
    <w:rsid w:val="00CD09A8"/>
    <w:rsid w:val="00CD1F15"/>
    <w:rsid w:val="00CD2A73"/>
    <w:rsid w:val="00CD2DC4"/>
    <w:rsid w:val="00CD3B7E"/>
    <w:rsid w:val="00CD5E82"/>
    <w:rsid w:val="00CD7C79"/>
    <w:rsid w:val="00CD7CCF"/>
    <w:rsid w:val="00CE1AEE"/>
    <w:rsid w:val="00CF4FB6"/>
    <w:rsid w:val="00D0135C"/>
    <w:rsid w:val="00D02F31"/>
    <w:rsid w:val="00D0398B"/>
    <w:rsid w:val="00D069E7"/>
    <w:rsid w:val="00D06E7C"/>
    <w:rsid w:val="00D10837"/>
    <w:rsid w:val="00D11BFD"/>
    <w:rsid w:val="00D11ED2"/>
    <w:rsid w:val="00D14200"/>
    <w:rsid w:val="00D14701"/>
    <w:rsid w:val="00D21613"/>
    <w:rsid w:val="00D22F4A"/>
    <w:rsid w:val="00D25EA5"/>
    <w:rsid w:val="00D26BDA"/>
    <w:rsid w:val="00D33FC8"/>
    <w:rsid w:val="00D359CC"/>
    <w:rsid w:val="00D36268"/>
    <w:rsid w:val="00D4442E"/>
    <w:rsid w:val="00D4443C"/>
    <w:rsid w:val="00D45ADC"/>
    <w:rsid w:val="00D45BD7"/>
    <w:rsid w:val="00D462A7"/>
    <w:rsid w:val="00D46FDE"/>
    <w:rsid w:val="00D5119B"/>
    <w:rsid w:val="00D52EA0"/>
    <w:rsid w:val="00D54487"/>
    <w:rsid w:val="00D6237E"/>
    <w:rsid w:val="00D67B54"/>
    <w:rsid w:val="00D741BE"/>
    <w:rsid w:val="00D74D3F"/>
    <w:rsid w:val="00D75887"/>
    <w:rsid w:val="00D771A0"/>
    <w:rsid w:val="00D80819"/>
    <w:rsid w:val="00D809BA"/>
    <w:rsid w:val="00D825DF"/>
    <w:rsid w:val="00D83CA5"/>
    <w:rsid w:val="00D84FE8"/>
    <w:rsid w:val="00D86A87"/>
    <w:rsid w:val="00D90E8F"/>
    <w:rsid w:val="00D9353B"/>
    <w:rsid w:val="00D94434"/>
    <w:rsid w:val="00D95498"/>
    <w:rsid w:val="00DA2257"/>
    <w:rsid w:val="00DA3593"/>
    <w:rsid w:val="00DA52CB"/>
    <w:rsid w:val="00DA68DD"/>
    <w:rsid w:val="00DA7731"/>
    <w:rsid w:val="00DC1F9C"/>
    <w:rsid w:val="00DC27E8"/>
    <w:rsid w:val="00DC3C0A"/>
    <w:rsid w:val="00DC5179"/>
    <w:rsid w:val="00DC7D5D"/>
    <w:rsid w:val="00DD1CF6"/>
    <w:rsid w:val="00DF3F20"/>
    <w:rsid w:val="00DF41E7"/>
    <w:rsid w:val="00E003E0"/>
    <w:rsid w:val="00E030A9"/>
    <w:rsid w:val="00E06BD9"/>
    <w:rsid w:val="00E0732C"/>
    <w:rsid w:val="00E11074"/>
    <w:rsid w:val="00E1418A"/>
    <w:rsid w:val="00E1566C"/>
    <w:rsid w:val="00E20AB0"/>
    <w:rsid w:val="00E22BFE"/>
    <w:rsid w:val="00E24FDA"/>
    <w:rsid w:val="00E26DEA"/>
    <w:rsid w:val="00E37BBC"/>
    <w:rsid w:val="00E43CCA"/>
    <w:rsid w:val="00E446F9"/>
    <w:rsid w:val="00E45FD9"/>
    <w:rsid w:val="00E47831"/>
    <w:rsid w:val="00E51716"/>
    <w:rsid w:val="00E52A56"/>
    <w:rsid w:val="00E54A02"/>
    <w:rsid w:val="00E55739"/>
    <w:rsid w:val="00E61423"/>
    <w:rsid w:val="00E63CD1"/>
    <w:rsid w:val="00E65DF5"/>
    <w:rsid w:val="00E71E4C"/>
    <w:rsid w:val="00E76A9B"/>
    <w:rsid w:val="00E81C0F"/>
    <w:rsid w:val="00E8266B"/>
    <w:rsid w:val="00E840AC"/>
    <w:rsid w:val="00E855E9"/>
    <w:rsid w:val="00E92075"/>
    <w:rsid w:val="00E93965"/>
    <w:rsid w:val="00E94026"/>
    <w:rsid w:val="00E95BF7"/>
    <w:rsid w:val="00EA124A"/>
    <w:rsid w:val="00EA20B7"/>
    <w:rsid w:val="00EA3206"/>
    <w:rsid w:val="00EA627B"/>
    <w:rsid w:val="00EA7E74"/>
    <w:rsid w:val="00EB0013"/>
    <w:rsid w:val="00EB1C9E"/>
    <w:rsid w:val="00EB42E5"/>
    <w:rsid w:val="00EB5531"/>
    <w:rsid w:val="00EB5F89"/>
    <w:rsid w:val="00EB6550"/>
    <w:rsid w:val="00EC1A35"/>
    <w:rsid w:val="00ED38C8"/>
    <w:rsid w:val="00ED75D9"/>
    <w:rsid w:val="00EF2A4C"/>
    <w:rsid w:val="00F0352A"/>
    <w:rsid w:val="00F04D7D"/>
    <w:rsid w:val="00F11D94"/>
    <w:rsid w:val="00F12014"/>
    <w:rsid w:val="00F16168"/>
    <w:rsid w:val="00F17194"/>
    <w:rsid w:val="00F2309D"/>
    <w:rsid w:val="00F24614"/>
    <w:rsid w:val="00F26CCC"/>
    <w:rsid w:val="00F34681"/>
    <w:rsid w:val="00F35DB4"/>
    <w:rsid w:val="00F364E2"/>
    <w:rsid w:val="00F41103"/>
    <w:rsid w:val="00F417B6"/>
    <w:rsid w:val="00F4193F"/>
    <w:rsid w:val="00F431E4"/>
    <w:rsid w:val="00F44B6D"/>
    <w:rsid w:val="00F45EAA"/>
    <w:rsid w:val="00F53551"/>
    <w:rsid w:val="00F5378A"/>
    <w:rsid w:val="00F64EB1"/>
    <w:rsid w:val="00F67876"/>
    <w:rsid w:val="00F67BE4"/>
    <w:rsid w:val="00F7107F"/>
    <w:rsid w:val="00F7140F"/>
    <w:rsid w:val="00F73A9E"/>
    <w:rsid w:val="00F77740"/>
    <w:rsid w:val="00F943AA"/>
    <w:rsid w:val="00F96789"/>
    <w:rsid w:val="00FA3156"/>
    <w:rsid w:val="00FA31BA"/>
    <w:rsid w:val="00FA7CD0"/>
    <w:rsid w:val="00FB06AB"/>
    <w:rsid w:val="00FB3396"/>
    <w:rsid w:val="00FB3CD9"/>
    <w:rsid w:val="00FB4006"/>
    <w:rsid w:val="00FB6662"/>
    <w:rsid w:val="00FB7748"/>
    <w:rsid w:val="00FC159B"/>
    <w:rsid w:val="00FC32C3"/>
    <w:rsid w:val="00FC33E7"/>
    <w:rsid w:val="00FD08DE"/>
    <w:rsid w:val="00FD1C17"/>
    <w:rsid w:val="00FD2898"/>
    <w:rsid w:val="00FD470A"/>
    <w:rsid w:val="00FD6295"/>
    <w:rsid w:val="00FD7EEA"/>
    <w:rsid w:val="00FE1C77"/>
    <w:rsid w:val="00FE1E64"/>
    <w:rsid w:val="00FE478C"/>
    <w:rsid w:val="00FE6475"/>
    <w:rsid w:val="00FE64E5"/>
    <w:rsid w:val="00FF00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56"/>
    <w:pPr>
      <w:autoSpaceDE w:val="0"/>
      <w:autoSpaceDN w:val="0"/>
      <w:adjustRightInd w:val="0"/>
      <w:jc w:val="both"/>
    </w:pPr>
    <w:rPr>
      <w:sz w:val="22"/>
      <w:szCs w:val="24"/>
      <w:lang w:val="en-GB"/>
    </w:rPr>
  </w:style>
  <w:style w:type="paragraph" w:styleId="Heading1">
    <w:name w:val="heading 1"/>
    <w:basedOn w:val="Normal"/>
    <w:next w:val="Normal"/>
    <w:qFormat/>
    <w:rsid w:val="00E52A56"/>
    <w:pPr>
      <w:numPr>
        <w:numId w:val="9"/>
      </w:numPr>
      <w:outlineLvl w:val="0"/>
    </w:pPr>
  </w:style>
  <w:style w:type="paragraph" w:styleId="Heading2">
    <w:name w:val="heading 2"/>
    <w:basedOn w:val="Normal"/>
    <w:next w:val="Normal"/>
    <w:qFormat/>
    <w:rsid w:val="00E52A56"/>
    <w:pPr>
      <w:outlineLvl w:val="1"/>
    </w:pPr>
    <w:rPr>
      <w:b/>
      <w:bCs/>
      <w:sz w:val="28"/>
      <w:szCs w:val="28"/>
    </w:rPr>
  </w:style>
  <w:style w:type="paragraph" w:styleId="Heading3">
    <w:name w:val="heading 3"/>
    <w:basedOn w:val="Normal"/>
    <w:next w:val="Normal"/>
    <w:qFormat/>
    <w:rsid w:val="00E52A56"/>
    <w:pPr>
      <w:numPr>
        <w:ilvl w:val="2"/>
        <w:numId w:val="7"/>
      </w:numPr>
      <w:outlineLvl w:val="2"/>
    </w:pPr>
    <w:rPr>
      <w:b/>
      <w:bCs/>
    </w:rPr>
  </w:style>
  <w:style w:type="paragraph" w:styleId="Heading4">
    <w:name w:val="heading 4"/>
    <w:basedOn w:val="Normal"/>
    <w:next w:val="Normal"/>
    <w:qFormat/>
    <w:rsid w:val="00E52A56"/>
    <w:pPr>
      <w:numPr>
        <w:ilvl w:val="3"/>
        <w:numId w:val="10"/>
      </w:numPr>
      <w:ind w:right="2880"/>
      <w:outlineLvl w:val="3"/>
    </w:pPr>
    <w:rPr>
      <w:b/>
      <w:bCs/>
    </w:rPr>
  </w:style>
  <w:style w:type="paragraph" w:styleId="Heading5">
    <w:name w:val="heading 5"/>
    <w:basedOn w:val="Normal"/>
    <w:next w:val="Normal"/>
    <w:qFormat/>
    <w:rsid w:val="00E52A56"/>
    <w:pPr>
      <w:numPr>
        <w:ilvl w:val="4"/>
        <w:numId w:val="10"/>
      </w:numPr>
      <w:ind w:right="2880"/>
      <w:outlineLvl w:val="4"/>
    </w:pPr>
    <w:rPr>
      <w:i/>
      <w:iCs/>
    </w:rPr>
  </w:style>
  <w:style w:type="paragraph" w:styleId="Heading6">
    <w:name w:val="heading 6"/>
    <w:basedOn w:val="Normal"/>
    <w:next w:val="Normal"/>
    <w:qFormat/>
    <w:rsid w:val="00E52A56"/>
    <w:pPr>
      <w:numPr>
        <w:ilvl w:val="5"/>
        <w:numId w:val="10"/>
      </w:numPr>
      <w:spacing w:before="240" w:after="60"/>
      <w:outlineLvl w:val="5"/>
    </w:pPr>
    <w:rPr>
      <w:b/>
      <w:bCs/>
      <w:szCs w:val="22"/>
    </w:rPr>
  </w:style>
  <w:style w:type="paragraph" w:styleId="Heading7">
    <w:name w:val="heading 7"/>
    <w:basedOn w:val="Normal"/>
    <w:next w:val="Normal"/>
    <w:qFormat/>
    <w:rsid w:val="00E52A56"/>
    <w:pPr>
      <w:numPr>
        <w:ilvl w:val="6"/>
        <w:numId w:val="10"/>
      </w:numPr>
      <w:spacing w:before="240" w:after="60"/>
      <w:outlineLvl w:val="6"/>
    </w:pPr>
  </w:style>
  <w:style w:type="paragraph" w:styleId="Heading8">
    <w:name w:val="heading 8"/>
    <w:basedOn w:val="Normal"/>
    <w:next w:val="Normal"/>
    <w:qFormat/>
    <w:rsid w:val="00E52A56"/>
    <w:pPr>
      <w:numPr>
        <w:ilvl w:val="7"/>
        <w:numId w:val="10"/>
      </w:numPr>
      <w:spacing w:before="240" w:after="60"/>
      <w:outlineLvl w:val="7"/>
    </w:pPr>
    <w:rPr>
      <w:i/>
      <w:iCs/>
    </w:rPr>
  </w:style>
  <w:style w:type="paragraph" w:styleId="Heading9">
    <w:name w:val="heading 9"/>
    <w:basedOn w:val="Normal"/>
    <w:next w:val="Normal"/>
    <w:qFormat/>
    <w:rsid w:val="00E52A56"/>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52A56"/>
    <w:pPr>
      <w:numPr>
        <w:numId w:val="2"/>
      </w:numPr>
      <w:spacing w:after="260"/>
      <w:jc w:val="both"/>
    </w:pPr>
    <w:rPr>
      <w:i/>
      <w:sz w:val="22"/>
      <w:szCs w:val="24"/>
      <w:lang w:val="en-GB"/>
    </w:rPr>
  </w:style>
  <w:style w:type="paragraph" w:customStyle="1" w:styleId="1Para">
    <w:name w:val="1Para"/>
    <w:basedOn w:val="Normal"/>
    <w:rsid w:val="00E52A56"/>
    <w:pPr>
      <w:numPr>
        <w:numId w:val="12"/>
      </w:numPr>
      <w:tabs>
        <w:tab w:val="left" w:pos="1440"/>
      </w:tabs>
      <w:autoSpaceDE/>
      <w:autoSpaceDN/>
      <w:adjustRightInd/>
      <w:spacing w:before="260" w:after="260"/>
    </w:pPr>
    <w:rPr>
      <w:szCs w:val="22"/>
    </w:rPr>
  </w:style>
  <w:style w:type="paragraph" w:customStyle="1" w:styleId="2Para">
    <w:name w:val="2Para"/>
    <w:basedOn w:val="Normal"/>
    <w:rsid w:val="00E52A56"/>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E52A56"/>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52A56"/>
    <w:pPr>
      <w:numPr>
        <w:ilvl w:val="2"/>
        <w:numId w:val="11"/>
      </w:numPr>
      <w:tabs>
        <w:tab w:val="left" w:pos="1440"/>
      </w:tabs>
      <w:spacing w:before="260" w:after="260"/>
    </w:pPr>
  </w:style>
  <w:style w:type="paragraph" w:customStyle="1" w:styleId="4Para">
    <w:name w:val="4Para"/>
    <w:basedOn w:val="Normal"/>
    <w:rsid w:val="00E52A56"/>
    <w:pPr>
      <w:numPr>
        <w:ilvl w:val="3"/>
        <w:numId w:val="11"/>
      </w:numPr>
      <w:tabs>
        <w:tab w:val="left" w:pos="1440"/>
      </w:tabs>
      <w:autoSpaceDE/>
      <w:autoSpaceDN/>
      <w:adjustRightInd/>
      <w:spacing w:before="260" w:after="260"/>
    </w:pPr>
  </w:style>
  <w:style w:type="paragraph" w:customStyle="1" w:styleId="5Para">
    <w:name w:val="5Para"/>
    <w:basedOn w:val="Normal"/>
    <w:rsid w:val="00E52A56"/>
    <w:pPr>
      <w:numPr>
        <w:ilvl w:val="4"/>
        <w:numId w:val="11"/>
      </w:numPr>
      <w:tabs>
        <w:tab w:val="left" w:pos="1440"/>
      </w:tabs>
      <w:autoSpaceDE/>
      <w:autoSpaceDN/>
      <w:adjustRightInd/>
      <w:spacing w:before="260" w:after="260"/>
    </w:pPr>
  </w:style>
  <w:style w:type="paragraph" w:customStyle="1" w:styleId="6Para">
    <w:name w:val="6Para"/>
    <w:basedOn w:val="Normal"/>
    <w:rsid w:val="00E52A56"/>
    <w:pPr>
      <w:numPr>
        <w:ilvl w:val="5"/>
        <w:numId w:val="11"/>
      </w:numPr>
      <w:tabs>
        <w:tab w:val="left" w:pos="1440"/>
      </w:tabs>
      <w:autoSpaceDE/>
      <w:autoSpaceDN/>
      <w:adjustRightInd/>
      <w:spacing w:before="260" w:after="260"/>
    </w:pPr>
  </w:style>
  <w:style w:type="paragraph" w:customStyle="1" w:styleId="7Para">
    <w:name w:val="7Para"/>
    <w:basedOn w:val="Normal"/>
    <w:rsid w:val="00E52A56"/>
    <w:pPr>
      <w:numPr>
        <w:ilvl w:val="6"/>
        <w:numId w:val="11"/>
      </w:numPr>
      <w:tabs>
        <w:tab w:val="left" w:pos="1440"/>
      </w:tabs>
      <w:autoSpaceDE/>
      <w:autoSpaceDN/>
      <w:adjustRightInd/>
      <w:spacing w:before="260" w:after="260"/>
    </w:pPr>
  </w:style>
  <w:style w:type="paragraph" w:customStyle="1" w:styleId="8Para">
    <w:name w:val="8Para"/>
    <w:basedOn w:val="Normal"/>
    <w:rsid w:val="00E52A56"/>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52A56"/>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E52A56"/>
    <w:pPr>
      <w:numPr>
        <w:ilvl w:val="2"/>
        <w:numId w:val="10"/>
      </w:numPr>
      <w:spacing w:before="260" w:after="260"/>
    </w:pPr>
  </w:style>
  <w:style w:type="paragraph" w:customStyle="1" w:styleId="List123">
    <w:name w:val="List_1_2_3"/>
    <w:basedOn w:val="Normal"/>
    <w:rsid w:val="00E52A56"/>
    <w:pPr>
      <w:numPr>
        <w:ilvl w:val="1"/>
        <w:numId w:val="10"/>
      </w:numPr>
      <w:spacing w:before="260" w:after="260"/>
    </w:pPr>
  </w:style>
  <w:style w:type="paragraph" w:customStyle="1" w:styleId="Listabc">
    <w:name w:val="List_a_b_c"/>
    <w:basedOn w:val="Normal"/>
    <w:rsid w:val="00E52A56"/>
    <w:pPr>
      <w:numPr>
        <w:numId w:val="10"/>
      </w:numPr>
      <w:spacing w:before="260" w:after="260"/>
    </w:pPr>
  </w:style>
  <w:style w:type="paragraph" w:customStyle="1" w:styleId="ListIndt2">
    <w:name w:val="ListIndt_2"/>
    <w:basedOn w:val="Normal"/>
    <w:rsid w:val="00E52A56"/>
    <w:pPr>
      <w:spacing w:before="260" w:after="260"/>
      <w:ind w:left="1440"/>
    </w:pPr>
  </w:style>
  <w:style w:type="paragraph" w:customStyle="1" w:styleId="ListIndt3">
    <w:name w:val="ListIndt_3"/>
    <w:basedOn w:val="Normal"/>
    <w:rsid w:val="00E52A56"/>
    <w:pPr>
      <w:spacing w:before="260" w:after="260"/>
      <w:ind w:left="1800"/>
    </w:pPr>
  </w:style>
  <w:style w:type="paragraph" w:customStyle="1" w:styleId="ListIndt4">
    <w:name w:val="ListIndt_4"/>
    <w:basedOn w:val="Normal"/>
    <w:rsid w:val="00E52A56"/>
    <w:pPr>
      <w:spacing w:before="260" w:after="260"/>
      <w:ind w:left="2160"/>
    </w:pPr>
  </w:style>
  <w:style w:type="paragraph" w:customStyle="1" w:styleId="ListTab0">
    <w:name w:val="ListTab_0"/>
    <w:basedOn w:val="Normal"/>
    <w:rsid w:val="00E52A56"/>
    <w:pPr>
      <w:spacing w:before="260" w:after="260"/>
    </w:pPr>
  </w:style>
  <w:style w:type="paragraph" w:customStyle="1" w:styleId="ListTab2">
    <w:name w:val="ListTab_2"/>
    <w:basedOn w:val="Normal"/>
    <w:rsid w:val="00E52A56"/>
    <w:pPr>
      <w:spacing w:before="260" w:after="260"/>
      <w:ind w:firstLine="1440"/>
    </w:pPr>
  </w:style>
  <w:style w:type="paragraph" w:customStyle="1" w:styleId="ListTab3">
    <w:name w:val="ListTab_3"/>
    <w:basedOn w:val="Normal"/>
    <w:rsid w:val="00E52A56"/>
    <w:pPr>
      <w:spacing w:before="260" w:after="260"/>
      <w:ind w:firstLine="1800"/>
    </w:pPr>
  </w:style>
  <w:style w:type="paragraph" w:customStyle="1" w:styleId="ListTab4">
    <w:name w:val="ListTab_4"/>
    <w:basedOn w:val="Normal"/>
    <w:rsid w:val="00E52A56"/>
    <w:pPr>
      <w:spacing w:before="260" w:after="260"/>
      <w:ind w:firstLine="2160"/>
    </w:pPr>
  </w:style>
  <w:style w:type="paragraph" w:customStyle="1" w:styleId="Note">
    <w:name w:val="Note"/>
    <w:next w:val="Normal"/>
    <w:rsid w:val="00E52A56"/>
    <w:pPr>
      <w:numPr>
        <w:numId w:val="5"/>
      </w:numPr>
      <w:spacing w:after="260"/>
      <w:ind w:firstLine="1800"/>
      <w:jc w:val="both"/>
    </w:pPr>
    <w:rPr>
      <w:i/>
      <w:sz w:val="22"/>
      <w:szCs w:val="24"/>
      <w:lang w:val="en-GB"/>
    </w:rPr>
  </w:style>
  <w:style w:type="paragraph" w:customStyle="1" w:styleId="ParaIndt2">
    <w:name w:val="ParaIndt_2"/>
    <w:basedOn w:val="Normal"/>
    <w:rsid w:val="00E52A56"/>
    <w:pPr>
      <w:spacing w:before="260" w:after="260"/>
      <w:ind w:left="1440"/>
    </w:pPr>
  </w:style>
  <w:style w:type="paragraph" w:customStyle="1" w:styleId="ParaIndt3">
    <w:name w:val="ParaIndt_3"/>
    <w:basedOn w:val="Normal"/>
    <w:rsid w:val="00E52A56"/>
    <w:pPr>
      <w:spacing w:before="260" w:after="260"/>
      <w:ind w:left="1800"/>
    </w:pPr>
  </w:style>
  <w:style w:type="paragraph" w:customStyle="1" w:styleId="ParaIndt4">
    <w:name w:val="ParaIndt_4"/>
    <w:basedOn w:val="Normal"/>
    <w:rsid w:val="00E52A56"/>
    <w:pPr>
      <w:spacing w:before="260" w:after="260"/>
      <w:ind w:left="2160"/>
    </w:pPr>
  </w:style>
  <w:style w:type="paragraph" w:customStyle="1" w:styleId="ParaTab0">
    <w:name w:val="ParaTab_0"/>
    <w:basedOn w:val="Normal"/>
    <w:rsid w:val="00E52A56"/>
    <w:pPr>
      <w:spacing w:before="260" w:after="260"/>
    </w:pPr>
  </w:style>
  <w:style w:type="paragraph" w:customStyle="1" w:styleId="ParaTab2">
    <w:name w:val="ParaTab_2"/>
    <w:basedOn w:val="Normal"/>
    <w:rsid w:val="00E52A56"/>
    <w:pPr>
      <w:spacing w:before="260" w:after="260"/>
      <w:ind w:firstLine="1440"/>
    </w:pPr>
  </w:style>
  <w:style w:type="paragraph" w:customStyle="1" w:styleId="ParaTab3">
    <w:name w:val="ParaTab_3"/>
    <w:basedOn w:val="Normal"/>
    <w:rsid w:val="00E52A56"/>
    <w:pPr>
      <w:spacing w:before="260" w:after="260"/>
      <w:ind w:firstLine="1800"/>
    </w:pPr>
  </w:style>
  <w:style w:type="paragraph" w:customStyle="1" w:styleId="ParaTab4">
    <w:name w:val="ParaTab_4"/>
    <w:basedOn w:val="Normal"/>
    <w:rsid w:val="00E52A56"/>
    <w:pPr>
      <w:spacing w:before="260" w:after="260"/>
      <w:ind w:firstLine="2160"/>
    </w:pPr>
  </w:style>
  <w:style w:type="paragraph" w:customStyle="1" w:styleId="1Heading">
    <w:name w:val="1Heading"/>
    <w:basedOn w:val="TOC1"/>
    <w:next w:val="2Para"/>
    <w:rsid w:val="00E52A56"/>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52A56"/>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52A56"/>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aliases w:val="WP Header"/>
    <w:basedOn w:val="Normal"/>
    <w:link w:val="HeaderChar"/>
    <w:uiPriority w:val="99"/>
    <w:rsid w:val="00DA52CB"/>
    <w:pPr>
      <w:tabs>
        <w:tab w:val="center" w:pos="4320"/>
        <w:tab w:val="right" w:pos="8640"/>
      </w:tabs>
      <w:autoSpaceDE/>
      <w:autoSpaceDN/>
      <w:adjustRightInd/>
    </w:pPr>
  </w:style>
  <w:style w:type="paragraph" w:styleId="Footer">
    <w:name w:val="footer"/>
    <w:basedOn w:val="Normal"/>
    <w:link w:val="FooterChar"/>
    <w:uiPriority w:val="99"/>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52A5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52A56"/>
    <w:pPr>
      <w:numPr>
        <w:numId w:val="6"/>
      </w:numPr>
    </w:pPr>
  </w:style>
  <w:style w:type="paragraph" w:styleId="FootnoteText">
    <w:name w:val="footnote text"/>
    <w:basedOn w:val="Normal"/>
    <w:rsid w:val="00686187"/>
    <w:pPr>
      <w:ind w:left="115" w:hanging="115"/>
    </w:pPr>
    <w:rPr>
      <w:sz w:val="18"/>
      <w:szCs w:val="20"/>
    </w:rPr>
  </w:style>
  <w:style w:type="paragraph" w:customStyle="1" w:styleId="ListExSum">
    <w:name w:val="List_ExSum"/>
    <w:basedOn w:val="Normal"/>
    <w:rsid w:val="00E52A56"/>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character" w:customStyle="1" w:styleId="FooterChar">
    <w:name w:val="Footer Char"/>
    <w:basedOn w:val="DefaultParagraphFont"/>
    <w:link w:val="Footer"/>
    <w:uiPriority w:val="99"/>
    <w:rsid w:val="0012363D"/>
    <w:rPr>
      <w:sz w:val="22"/>
      <w:szCs w:val="24"/>
      <w:lang w:val="en-GB"/>
    </w:rPr>
  </w:style>
  <w:style w:type="paragraph" w:styleId="ListParagraph">
    <w:name w:val="List Paragraph"/>
    <w:basedOn w:val="Normal"/>
    <w:uiPriority w:val="34"/>
    <w:qFormat/>
    <w:rsid w:val="000674F9"/>
    <w:pPr>
      <w:ind w:left="720"/>
      <w:contextualSpacing/>
    </w:pPr>
  </w:style>
  <w:style w:type="paragraph" w:customStyle="1" w:styleId="Default">
    <w:name w:val="Default"/>
    <w:rsid w:val="00EB42E5"/>
    <w:pPr>
      <w:autoSpaceDE w:val="0"/>
      <w:autoSpaceDN w:val="0"/>
      <w:adjustRightInd w:val="0"/>
    </w:pPr>
    <w:rPr>
      <w:color w:val="000000"/>
      <w:sz w:val="24"/>
      <w:szCs w:val="24"/>
      <w:lang w:val="de-DE"/>
    </w:rPr>
  </w:style>
  <w:style w:type="paragraph" w:styleId="Title">
    <w:name w:val="Title"/>
    <w:basedOn w:val="Normal"/>
    <w:link w:val="TitleChar"/>
    <w:qFormat/>
    <w:rsid w:val="00B23D9C"/>
    <w:pPr>
      <w:autoSpaceDE/>
      <w:autoSpaceDN/>
      <w:adjustRightInd/>
      <w:jc w:val="center"/>
    </w:pPr>
    <w:rPr>
      <w:b/>
      <w:szCs w:val="20"/>
    </w:rPr>
  </w:style>
  <w:style w:type="character" w:customStyle="1" w:styleId="TitleChar">
    <w:name w:val="Title Char"/>
    <w:basedOn w:val="DefaultParagraphFont"/>
    <w:link w:val="Title"/>
    <w:rsid w:val="00B23D9C"/>
    <w:rPr>
      <w:b/>
      <w:sz w:val="22"/>
      <w:lang w:val="en-GB"/>
    </w:rPr>
  </w:style>
  <w:style w:type="character" w:customStyle="1" w:styleId="HeaderChar">
    <w:name w:val="Header Char"/>
    <w:aliases w:val="WP Header Char"/>
    <w:basedOn w:val="DefaultParagraphFont"/>
    <w:link w:val="Header"/>
    <w:uiPriority w:val="99"/>
    <w:rsid w:val="00B23D9C"/>
    <w:rPr>
      <w:sz w:val="22"/>
      <w:szCs w:val="24"/>
      <w:lang w:val="en-GB"/>
    </w:rPr>
  </w:style>
  <w:style w:type="paragraph" w:customStyle="1" w:styleId="Maintitle">
    <w:name w:val="Main title"/>
    <w:basedOn w:val="Normal"/>
    <w:rsid w:val="00E92075"/>
    <w:pPr>
      <w:autoSpaceDE/>
      <w:autoSpaceDN/>
      <w:adjustRightInd/>
      <w:ind w:left="1080" w:right="1080"/>
      <w:jc w:val="center"/>
    </w:pPr>
    <w:rPr>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56"/>
    <w:pPr>
      <w:autoSpaceDE w:val="0"/>
      <w:autoSpaceDN w:val="0"/>
      <w:adjustRightInd w:val="0"/>
      <w:jc w:val="both"/>
    </w:pPr>
    <w:rPr>
      <w:sz w:val="22"/>
      <w:szCs w:val="24"/>
      <w:lang w:val="en-GB"/>
    </w:rPr>
  </w:style>
  <w:style w:type="paragraph" w:styleId="Heading1">
    <w:name w:val="heading 1"/>
    <w:basedOn w:val="Normal"/>
    <w:next w:val="Normal"/>
    <w:qFormat/>
    <w:rsid w:val="00E52A56"/>
    <w:pPr>
      <w:numPr>
        <w:numId w:val="9"/>
      </w:numPr>
      <w:outlineLvl w:val="0"/>
    </w:pPr>
  </w:style>
  <w:style w:type="paragraph" w:styleId="Heading2">
    <w:name w:val="heading 2"/>
    <w:basedOn w:val="Normal"/>
    <w:next w:val="Normal"/>
    <w:qFormat/>
    <w:rsid w:val="00E52A56"/>
    <w:pPr>
      <w:outlineLvl w:val="1"/>
    </w:pPr>
    <w:rPr>
      <w:b/>
      <w:bCs/>
      <w:sz w:val="28"/>
      <w:szCs w:val="28"/>
    </w:rPr>
  </w:style>
  <w:style w:type="paragraph" w:styleId="Heading3">
    <w:name w:val="heading 3"/>
    <w:basedOn w:val="Normal"/>
    <w:next w:val="Normal"/>
    <w:qFormat/>
    <w:rsid w:val="00E52A56"/>
    <w:pPr>
      <w:numPr>
        <w:ilvl w:val="2"/>
        <w:numId w:val="7"/>
      </w:numPr>
      <w:outlineLvl w:val="2"/>
    </w:pPr>
    <w:rPr>
      <w:b/>
      <w:bCs/>
    </w:rPr>
  </w:style>
  <w:style w:type="paragraph" w:styleId="Heading4">
    <w:name w:val="heading 4"/>
    <w:basedOn w:val="Normal"/>
    <w:next w:val="Normal"/>
    <w:qFormat/>
    <w:rsid w:val="00E52A56"/>
    <w:pPr>
      <w:numPr>
        <w:ilvl w:val="3"/>
        <w:numId w:val="10"/>
      </w:numPr>
      <w:ind w:right="2880"/>
      <w:outlineLvl w:val="3"/>
    </w:pPr>
    <w:rPr>
      <w:b/>
      <w:bCs/>
    </w:rPr>
  </w:style>
  <w:style w:type="paragraph" w:styleId="Heading5">
    <w:name w:val="heading 5"/>
    <w:basedOn w:val="Normal"/>
    <w:next w:val="Normal"/>
    <w:qFormat/>
    <w:rsid w:val="00E52A56"/>
    <w:pPr>
      <w:numPr>
        <w:ilvl w:val="4"/>
        <w:numId w:val="10"/>
      </w:numPr>
      <w:ind w:right="2880"/>
      <w:outlineLvl w:val="4"/>
    </w:pPr>
    <w:rPr>
      <w:i/>
      <w:iCs/>
    </w:rPr>
  </w:style>
  <w:style w:type="paragraph" w:styleId="Heading6">
    <w:name w:val="heading 6"/>
    <w:basedOn w:val="Normal"/>
    <w:next w:val="Normal"/>
    <w:qFormat/>
    <w:rsid w:val="00E52A56"/>
    <w:pPr>
      <w:numPr>
        <w:ilvl w:val="5"/>
        <w:numId w:val="10"/>
      </w:numPr>
      <w:spacing w:before="240" w:after="60"/>
      <w:outlineLvl w:val="5"/>
    </w:pPr>
    <w:rPr>
      <w:b/>
      <w:bCs/>
      <w:szCs w:val="22"/>
    </w:rPr>
  </w:style>
  <w:style w:type="paragraph" w:styleId="Heading7">
    <w:name w:val="heading 7"/>
    <w:basedOn w:val="Normal"/>
    <w:next w:val="Normal"/>
    <w:qFormat/>
    <w:rsid w:val="00E52A56"/>
    <w:pPr>
      <w:numPr>
        <w:ilvl w:val="6"/>
        <w:numId w:val="10"/>
      </w:numPr>
      <w:spacing w:before="240" w:after="60"/>
      <w:outlineLvl w:val="6"/>
    </w:pPr>
  </w:style>
  <w:style w:type="paragraph" w:styleId="Heading8">
    <w:name w:val="heading 8"/>
    <w:basedOn w:val="Normal"/>
    <w:next w:val="Normal"/>
    <w:qFormat/>
    <w:rsid w:val="00E52A56"/>
    <w:pPr>
      <w:numPr>
        <w:ilvl w:val="7"/>
        <w:numId w:val="10"/>
      </w:numPr>
      <w:spacing w:before="240" w:after="60"/>
      <w:outlineLvl w:val="7"/>
    </w:pPr>
    <w:rPr>
      <w:i/>
      <w:iCs/>
    </w:rPr>
  </w:style>
  <w:style w:type="paragraph" w:styleId="Heading9">
    <w:name w:val="heading 9"/>
    <w:basedOn w:val="Normal"/>
    <w:next w:val="Normal"/>
    <w:qFormat/>
    <w:rsid w:val="00E52A56"/>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52A56"/>
    <w:pPr>
      <w:numPr>
        <w:numId w:val="2"/>
      </w:numPr>
      <w:spacing w:after="260"/>
      <w:jc w:val="both"/>
    </w:pPr>
    <w:rPr>
      <w:i/>
      <w:sz w:val="22"/>
      <w:szCs w:val="24"/>
      <w:lang w:val="en-GB"/>
    </w:rPr>
  </w:style>
  <w:style w:type="paragraph" w:customStyle="1" w:styleId="1Para">
    <w:name w:val="1Para"/>
    <w:basedOn w:val="Normal"/>
    <w:rsid w:val="00E52A56"/>
    <w:pPr>
      <w:numPr>
        <w:numId w:val="12"/>
      </w:numPr>
      <w:tabs>
        <w:tab w:val="left" w:pos="1440"/>
      </w:tabs>
      <w:autoSpaceDE/>
      <w:autoSpaceDN/>
      <w:adjustRightInd/>
      <w:spacing w:before="260" w:after="260"/>
    </w:pPr>
    <w:rPr>
      <w:szCs w:val="22"/>
    </w:rPr>
  </w:style>
  <w:style w:type="paragraph" w:customStyle="1" w:styleId="2Para">
    <w:name w:val="2Para"/>
    <w:basedOn w:val="Normal"/>
    <w:rsid w:val="00E52A56"/>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E52A56"/>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52A56"/>
    <w:pPr>
      <w:numPr>
        <w:ilvl w:val="2"/>
        <w:numId w:val="11"/>
      </w:numPr>
      <w:tabs>
        <w:tab w:val="left" w:pos="1440"/>
      </w:tabs>
      <w:spacing w:before="260" w:after="260"/>
    </w:pPr>
  </w:style>
  <w:style w:type="paragraph" w:customStyle="1" w:styleId="4Para">
    <w:name w:val="4Para"/>
    <w:basedOn w:val="Normal"/>
    <w:rsid w:val="00E52A56"/>
    <w:pPr>
      <w:numPr>
        <w:ilvl w:val="3"/>
        <w:numId w:val="11"/>
      </w:numPr>
      <w:tabs>
        <w:tab w:val="left" w:pos="1440"/>
      </w:tabs>
      <w:autoSpaceDE/>
      <w:autoSpaceDN/>
      <w:adjustRightInd/>
      <w:spacing w:before="260" w:after="260"/>
    </w:pPr>
  </w:style>
  <w:style w:type="paragraph" w:customStyle="1" w:styleId="5Para">
    <w:name w:val="5Para"/>
    <w:basedOn w:val="Normal"/>
    <w:rsid w:val="00E52A56"/>
    <w:pPr>
      <w:numPr>
        <w:ilvl w:val="4"/>
        <w:numId w:val="11"/>
      </w:numPr>
      <w:tabs>
        <w:tab w:val="left" w:pos="1440"/>
      </w:tabs>
      <w:autoSpaceDE/>
      <w:autoSpaceDN/>
      <w:adjustRightInd/>
      <w:spacing w:before="260" w:after="260"/>
    </w:pPr>
  </w:style>
  <w:style w:type="paragraph" w:customStyle="1" w:styleId="6Para">
    <w:name w:val="6Para"/>
    <w:basedOn w:val="Normal"/>
    <w:rsid w:val="00E52A56"/>
    <w:pPr>
      <w:numPr>
        <w:ilvl w:val="5"/>
        <w:numId w:val="11"/>
      </w:numPr>
      <w:tabs>
        <w:tab w:val="left" w:pos="1440"/>
      </w:tabs>
      <w:autoSpaceDE/>
      <w:autoSpaceDN/>
      <w:adjustRightInd/>
      <w:spacing w:before="260" w:after="260"/>
    </w:pPr>
  </w:style>
  <w:style w:type="paragraph" w:customStyle="1" w:styleId="7Para">
    <w:name w:val="7Para"/>
    <w:basedOn w:val="Normal"/>
    <w:rsid w:val="00E52A56"/>
    <w:pPr>
      <w:numPr>
        <w:ilvl w:val="6"/>
        <w:numId w:val="11"/>
      </w:numPr>
      <w:tabs>
        <w:tab w:val="left" w:pos="1440"/>
      </w:tabs>
      <w:autoSpaceDE/>
      <w:autoSpaceDN/>
      <w:adjustRightInd/>
      <w:spacing w:before="260" w:after="260"/>
    </w:pPr>
  </w:style>
  <w:style w:type="paragraph" w:customStyle="1" w:styleId="8Para">
    <w:name w:val="8Para"/>
    <w:basedOn w:val="Normal"/>
    <w:rsid w:val="00E52A56"/>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52A56"/>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E52A56"/>
    <w:pPr>
      <w:numPr>
        <w:ilvl w:val="2"/>
        <w:numId w:val="10"/>
      </w:numPr>
      <w:spacing w:before="260" w:after="260"/>
    </w:pPr>
  </w:style>
  <w:style w:type="paragraph" w:customStyle="1" w:styleId="List123">
    <w:name w:val="List_1_2_3"/>
    <w:basedOn w:val="Normal"/>
    <w:rsid w:val="00E52A56"/>
    <w:pPr>
      <w:numPr>
        <w:ilvl w:val="1"/>
        <w:numId w:val="10"/>
      </w:numPr>
      <w:spacing w:before="260" w:after="260"/>
    </w:pPr>
  </w:style>
  <w:style w:type="paragraph" w:customStyle="1" w:styleId="Listabc">
    <w:name w:val="List_a_b_c"/>
    <w:basedOn w:val="Normal"/>
    <w:rsid w:val="00E52A56"/>
    <w:pPr>
      <w:numPr>
        <w:numId w:val="10"/>
      </w:numPr>
      <w:spacing w:before="260" w:after="260"/>
    </w:pPr>
  </w:style>
  <w:style w:type="paragraph" w:customStyle="1" w:styleId="ListIndt2">
    <w:name w:val="ListIndt_2"/>
    <w:basedOn w:val="Normal"/>
    <w:rsid w:val="00E52A56"/>
    <w:pPr>
      <w:spacing w:before="260" w:after="260"/>
      <w:ind w:left="1440"/>
    </w:pPr>
  </w:style>
  <w:style w:type="paragraph" w:customStyle="1" w:styleId="ListIndt3">
    <w:name w:val="ListIndt_3"/>
    <w:basedOn w:val="Normal"/>
    <w:rsid w:val="00E52A56"/>
    <w:pPr>
      <w:spacing w:before="260" w:after="260"/>
      <w:ind w:left="1800"/>
    </w:pPr>
  </w:style>
  <w:style w:type="paragraph" w:customStyle="1" w:styleId="ListIndt4">
    <w:name w:val="ListIndt_4"/>
    <w:basedOn w:val="Normal"/>
    <w:rsid w:val="00E52A56"/>
    <w:pPr>
      <w:spacing w:before="260" w:after="260"/>
      <w:ind w:left="2160"/>
    </w:pPr>
  </w:style>
  <w:style w:type="paragraph" w:customStyle="1" w:styleId="ListTab0">
    <w:name w:val="ListTab_0"/>
    <w:basedOn w:val="Normal"/>
    <w:rsid w:val="00E52A56"/>
    <w:pPr>
      <w:spacing w:before="260" w:after="260"/>
    </w:pPr>
  </w:style>
  <w:style w:type="paragraph" w:customStyle="1" w:styleId="ListTab2">
    <w:name w:val="ListTab_2"/>
    <w:basedOn w:val="Normal"/>
    <w:rsid w:val="00E52A56"/>
    <w:pPr>
      <w:spacing w:before="260" w:after="260"/>
      <w:ind w:firstLine="1440"/>
    </w:pPr>
  </w:style>
  <w:style w:type="paragraph" w:customStyle="1" w:styleId="ListTab3">
    <w:name w:val="ListTab_3"/>
    <w:basedOn w:val="Normal"/>
    <w:rsid w:val="00E52A56"/>
    <w:pPr>
      <w:spacing w:before="260" w:after="260"/>
      <w:ind w:firstLine="1800"/>
    </w:pPr>
  </w:style>
  <w:style w:type="paragraph" w:customStyle="1" w:styleId="ListTab4">
    <w:name w:val="ListTab_4"/>
    <w:basedOn w:val="Normal"/>
    <w:rsid w:val="00E52A56"/>
    <w:pPr>
      <w:spacing w:before="260" w:after="260"/>
      <w:ind w:firstLine="2160"/>
    </w:pPr>
  </w:style>
  <w:style w:type="paragraph" w:customStyle="1" w:styleId="Note">
    <w:name w:val="Note"/>
    <w:next w:val="Normal"/>
    <w:rsid w:val="00E52A56"/>
    <w:pPr>
      <w:numPr>
        <w:numId w:val="5"/>
      </w:numPr>
      <w:spacing w:after="260"/>
      <w:ind w:firstLine="1800"/>
      <w:jc w:val="both"/>
    </w:pPr>
    <w:rPr>
      <w:i/>
      <w:sz w:val="22"/>
      <w:szCs w:val="24"/>
      <w:lang w:val="en-GB"/>
    </w:rPr>
  </w:style>
  <w:style w:type="paragraph" w:customStyle="1" w:styleId="ParaIndt2">
    <w:name w:val="ParaIndt_2"/>
    <w:basedOn w:val="Normal"/>
    <w:rsid w:val="00E52A56"/>
    <w:pPr>
      <w:spacing w:before="260" w:after="260"/>
      <w:ind w:left="1440"/>
    </w:pPr>
  </w:style>
  <w:style w:type="paragraph" w:customStyle="1" w:styleId="ParaIndt3">
    <w:name w:val="ParaIndt_3"/>
    <w:basedOn w:val="Normal"/>
    <w:rsid w:val="00E52A56"/>
    <w:pPr>
      <w:spacing w:before="260" w:after="260"/>
      <w:ind w:left="1800"/>
    </w:pPr>
  </w:style>
  <w:style w:type="paragraph" w:customStyle="1" w:styleId="ParaIndt4">
    <w:name w:val="ParaIndt_4"/>
    <w:basedOn w:val="Normal"/>
    <w:rsid w:val="00E52A56"/>
    <w:pPr>
      <w:spacing w:before="260" w:after="260"/>
      <w:ind w:left="2160"/>
    </w:pPr>
  </w:style>
  <w:style w:type="paragraph" w:customStyle="1" w:styleId="ParaTab0">
    <w:name w:val="ParaTab_0"/>
    <w:basedOn w:val="Normal"/>
    <w:rsid w:val="00E52A56"/>
    <w:pPr>
      <w:spacing w:before="260" w:after="260"/>
    </w:pPr>
  </w:style>
  <w:style w:type="paragraph" w:customStyle="1" w:styleId="ParaTab2">
    <w:name w:val="ParaTab_2"/>
    <w:basedOn w:val="Normal"/>
    <w:rsid w:val="00E52A56"/>
    <w:pPr>
      <w:spacing w:before="260" w:after="260"/>
      <w:ind w:firstLine="1440"/>
    </w:pPr>
  </w:style>
  <w:style w:type="paragraph" w:customStyle="1" w:styleId="ParaTab3">
    <w:name w:val="ParaTab_3"/>
    <w:basedOn w:val="Normal"/>
    <w:rsid w:val="00E52A56"/>
    <w:pPr>
      <w:spacing w:before="260" w:after="260"/>
      <w:ind w:firstLine="1800"/>
    </w:pPr>
  </w:style>
  <w:style w:type="paragraph" w:customStyle="1" w:styleId="ParaTab4">
    <w:name w:val="ParaTab_4"/>
    <w:basedOn w:val="Normal"/>
    <w:rsid w:val="00E52A56"/>
    <w:pPr>
      <w:spacing w:before="260" w:after="260"/>
      <w:ind w:firstLine="2160"/>
    </w:pPr>
  </w:style>
  <w:style w:type="paragraph" w:customStyle="1" w:styleId="1Heading">
    <w:name w:val="1Heading"/>
    <w:basedOn w:val="TOC1"/>
    <w:next w:val="2Para"/>
    <w:rsid w:val="00E52A56"/>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52A56"/>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52A56"/>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aliases w:val="WP Header"/>
    <w:basedOn w:val="Normal"/>
    <w:link w:val="HeaderChar"/>
    <w:uiPriority w:val="99"/>
    <w:rsid w:val="00DA52CB"/>
    <w:pPr>
      <w:tabs>
        <w:tab w:val="center" w:pos="4320"/>
        <w:tab w:val="right" w:pos="8640"/>
      </w:tabs>
      <w:autoSpaceDE/>
      <w:autoSpaceDN/>
      <w:adjustRightInd/>
    </w:pPr>
  </w:style>
  <w:style w:type="paragraph" w:styleId="Footer">
    <w:name w:val="footer"/>
    <w:basedOn w:val="Normal"/>
    <w:link w:val="FooterChar"/>
    <w:uiPriority w:val="99"/>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52A5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52A56"/>
    <w:pPr>
      <w:numPr>
        <w:numId w:val="6"/>
      </w:numPr>
    </w:pPr>
  </w:style>
  <w:style w:type="paragraph" w:styleId="FootnoteText">
    <w:name w:val="footnote text"/>
    <w:basedOn w:val="Normal"/>
    <w:rsid w:val="00686187"/>
    <w:pPr>
      <w:ind w:left="115" w:hanging="115"/>
    </w:pPr>
    <w:rPr>
      <w:sz w:val="18"/>
      <w:szCs w:val="20"/>
    </w:rPr>
  </w:style>
  <w:style w:type="paragraph" w:customStyle="1" w:styleId="ListExSum">
    <w:name w:val="List_ExSum"/>
    <w:basedOn w:val="Normal"/>
    <w:rsid w:val="00E52A56"/>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character" w:customStyle="1" w:styleId="FooterChar">
    <w:name w:val="Footer Char"/>
    <w:basedOn w:val="DefaultParagraphFont"/>
    <w:link w:val="Footer"/>
    <w:uiPriority w:val="99"/>
    <w:rsid w:val="0012363D"/>
    <w:rPr>
      <w:sz w:val="22"/>
      <w:szCs w:val="24"/>
      <w:lang w:val="en-GB"/>
    </w:rPr>
  </w:style>
  <w:style w:type="paragraph" w:styleId="ListParagraph">
    <w:name w:val="List Paragraph"/>
    <w:basedOn w:val="Normal"/>
    <w:uiPriority w:val="34"/>
    <w:qFormat/>
    <w:rsid w:val="000674F9"/>
    <w:pPr>
      <w:ind w:left="720"/>
      <w:contextualSpacing/>
    </w:pPr>
  </w:style>
  <w:style w:type="paragraph" w:customStyle="1" w:styleId="Default">
    <w:name w:val="Default"/>
    <w:rsid w:val="00EB42E5"/>
    <w:pPr>
      <w:autoSpaceDE w:val="0"/>
      <w:autoSpaceDN w:val="0"/>
      <w:adjustRightInd w:val="0"/>
    </w:pPr>
    <w:rPr>
      <w:color w:val="000000"/>
      <w:sz w:val="24"/>
      <w:szCs w:val="24"/>
      <w:lang w:val="de-DE"/>
    </w:rPr>
  </w:style>
  <w:style w:type="paragraph" w:styleId="Title">
    <w:name w:val="Title"/>
    <w:basedOn w:val="Normal"/>
    <w:link w:val="TitleChar"/>
    <w:qFormat/>
    <w:rsid w:val="00B23D9C"/>
    <w:pPr>
      <w:autoSpaceDE/>
      <w:autoSpaceDN/>
      <w:adjustRightInd/>
      <w:jc w:val="center"/>
    </w:pPr>
    <w:rPr>
      <w:b/>
      <w:szCs w:val="20"/>
    </w:rPr>
  </w:style>
  <w:style w:type="character" w:customStyle="1" w:styleId="TitleChar">
    <w:name w:val="Title Char"/>
    <w:basedOn w:val="DefaultParagraphFont"/>
    <w:link w:val="Title"/>
    <w:rsid w:val="00B23D9C"/>
    <w:rPr>
      <w:b/>
      <w:sz w:val="22"/>
      <w:lang w:val="en-GB"/>
    </w:rPr>
  </w:style>
  <w:style w:type="character" w:customStyle="1" w:styleId="HeaderChar">
    <w:name w:val="Header Char"/>
    <w:aliases w:val="WP Header Char"/>
    <w:basedOn w:val="DefaultParagraphFont"/>
    <w:link w:val="Header"/>
    <w:uiPriority w:val="99"/>
    <w:rsid w:val="00B23D9C"/>
    <w:rPr>
      <w:sz w:val="22"/>
      <w:szCs w:val="24"/>
      <w:lang w:val="en-GB"/>
    </w:rPr>
  </w:style>
  <w:style w:type="paragraph" w:customStyle="1" w:styleId="Maintitle">
    <w:name w:val="Main title"/>
    <w:basedOn w:val="Normal"/>
    <w:rsid w:val="00E92075"/>
    <w:pPr>
      <w:autoSpaceDE/>
      <w:autoSpaceDN/>
      <w:adjustRightInd/>
      <w:ind w:left="1080" w:right="1080"/>
      <w:jc w:val="center"/>
    </w:pPr>
    <w:rPr>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65616">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DAFFF-05E8-4B5F-A4A5-DDAB1C488ACB}"/>
</file>

<file path=customXml/itemProps2.xml><?xml version="1.0" encoding="utf-8"?>
<ds:datastoreItem xmlns:ds="http://schemas.openxmlformats.org/officeDocument/2006/customXml" ds:itemID="{4956A3DA-BCF5-46A6-90A3-8B228D563012}"/>
</file>

<file path=customXml/itemProps3.xml><?xml version="1.0" encoding="utf-8"?>
<ds:datastoreItem xmlns:ds="http://schemas.openxmlformats.org/officeDocument/2006/customXml" ds:itemID="{C31BFB5E-5392-4934-B5BD-D66D58E4CD6B}"/>
</file>

<file path=customXml/itemProps4.xml><?xml version="1.0" encoding="utf-8"?>
<ds:datastoreItem xmlns:ds="http://schemas.openxmlformats.org/officeDocument/2006/customXml" ds:itemID="{7DA0A19D-3493-4948-8398-E1C7DA052D92}"/>
</file>

<file path=docProps/app.xml><?xml version="1.0" encoding="utf-8"?>
<Properties xmlns="http://schemas.openxmlformats.org/officeDocument/2006/extended-properties" xmlns:vt="http://schemas.openxmlformats.org/officeDocument/2006/docPropsVTypes">
  <Template>WorkingPaper.dotx</Template>
  <TotalTime>6</TotalTime>
  <Pages>13</Pages>
  <Words>5701</Words>
  <Characters>30238</Characters>
  <Application>Microsoft Office Word</Application>
  <DocSecurity>0</DocSecurity>
  <Lines>822</Lines>
  <Paragraphs>296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I.C.A.O</Company>
  <LinksUpToDate>false</LinksUpToDate>
  <CharactersWithSpaces>35684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Ville, Geoffroy</dc:creator>
  <cp:lastModifiedBy>Loftur Jonasson2</cp:lastModifiedBy>
  <cp:revision>23</cp:revision>
  <cp:lastPrinted>2016-07-29T18:52:00Z</cp:lastPrinted>
  <dcterms:created xsi:type="dcterms:W3CDTF">2016-07-26T11:22:00Z</dcterms:created>
  <dcterms:modified xsi:type="dcterms:W3CDTF">2016-07-29T18:55:00Z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AP</vt:lpwstr>
  </property>
  <property fmtid="{D5CDD505-2E9C-101B-9397-08002B2CF9AE}" pid="3" name="BodySession">
    <vt:lpwstr>3</vt:lpwstr>
  </property>
  <property fmtid="{D5CDD505-2E9C-101B-9397-08002B2CF9AE}" pid="4" name="BodyAbbrev">
    <vt:lpwstr>AP</vt:lpwstr>
  </property>
  <property fmtid="{D5CDD505-2E9C-101B-9397-08002B2CF9AE}" pid="5" name="SessionNum">
    <vt:lpwstr>3</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AP/3-WP/xxxx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ies>
</file>