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B1" w:rsidRPr="00987D40" w:rsidRDefault="005F14B1" w:rsidP="005F14B1">
      <w:pPr>
        <w:suppressAutoHyphens/>
        <w:jc w:val="right"/>
        <w:rPr>
          <w:b/>
          <w:sz w:val="28"/>
          <w:szCs w:val="28"/>
        </w:rPr>
      </w:pPr>
    </w:p>
    <w:p w:rsidR="005F14B1" w:rsidRPr="00987D40" w:rsidRDefault="005F14B1" w:rsidP="005F14B1">
      <w:pPr>
        <w:suppressAutoHyphens/>
        <w:jc w:val="right"/>
        <w:rPr>
          <w:b/>
          <w:sz w:val="28"/>
          <w:szCs w:val="28"/>
        </w:rPr>
      </w:pPr>
    </w:p>
    <w:p w:rsidR="005F14B1" w:rsidRPr="00987D40" w:rsidRDefault="005F14B1" w:rsidP="005F14B1">
      <w:pPr>
        <w:ind w:left="-180"/>
        <w:jc w:val="center"/>
        <w:rPr>
          <w:b/>
          <w:caps/>
        </w:rPr>
      </w:pPr>
      <w:r w:rsidRPr="00987D40">
        <w:rPr>
          <w:b/>
          <w:caps/>
        </w:rPr>
        <w:t>FIFTEENth working Group Meeting of the</w:t>
      </w:r>
    </w:p>
    <w:p w:rsidR="005F14B1" w:rsidRPr="00987D40" w:rsidRDefault="005F14B1" w:rsidP="005F14B1">
      <w:pPr>
        <w:ind w:left="-180"/>
        <w:jc w:val="center"/>
        <w:rPr>
          <w:b/>
          <w:caps/>
        </w:rPr>
      </w:pPr>
      <w:r w:rsidRPr="00987D40">
        <w:rPr>
          <w:b/>
          <w:caps/>
        </w:rPr>
        <w:t>Frequency Spectrum Management Panel</w:t>
      </w:r>
    </w:p>
    <w:p w:rsidR="005F14B1" w:rsidRPr="00987D40" w:rsidRDefault="005F14B1" w:rsidP="005F14B1">
      <w:pPr>
        <w:ind w:left="-180"/>
        <w:jc w:val="center"/>
        <w:rPr>
          <w:b/>
          <w:caps/>
        </w:rPr>
      </w:pPr>
      <w:r w:rsidRPr="00987D40">
        <w:rPr>
          <w:b/>
          <w:caps/>
        </w:rPr>
        <w:t>(FSMP-WG/15)</w:t>
      </w:r>
    </w:p>
    <w:p w:rsidR="005F14B1" w:rsidRPr="00987D40" w:rsidRDefault="005F14B1" w:rsidP="005F14B1">
      <w:pPr>
        <w:jc w:val="center"/>
        <w:rPr>
          <w:b/>
        </w:rPr>
      </w:pPr>
    </w:p>
    <w:p w:rsidR="005F14B1" w:rsidRPr="00987D40" w:rsidRDefault="005F14B1" w:rsidP="005F14B1">
      <w:pPr>
        <w:jc w:val="center"/>
        <w:rPr>
          <w:b/>
        </w:rPr>
      </w:pPr>
      <w:r w:rsidRPr="00987D40">
        <w:rPr>
          <w:b/>
        </w:rPr>
        <w:t>(Hybrid meeting, Montréal, QC, Canada, 22 August – 1 September, 2022)</w:t>
      </w:r>
    </w:p>
    <w:p w:rsidR="005F14B1" w:rsidRPr="00987D40" w:rsidRDefault="005F14B1" w:rsidP="005F14B1"/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290" w:right="3290"/>
        <w:jc w:val="center"/>
        <w:rPr>
          <w:rFonts w:eastAsia="Calibri"/>
          <w:b/>
          <w:bCs/>
          <w:szCs w:val="22"/>
          <w:lang w:val="en-US"/>
        </w:rPr>
      </w:pPr>
      <w:bookmarkStart w:id="0" w:name="Attachment_1A"/>
      <w:bookmarkEnd w:id="0"/>
      <w:r w:rsidRPr="00987D40">
        <w:rPr>
          <w:rFonts w:eastAsia="Calibri"/>
          <w:b/>
          <w:bCs/>
          <w:szCs w:val="22"/>
          <w:lang w:val="en-US"/>
        </w:rPr>
        <w:t>DRAFT AGENDA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290" w:right="3290"/>
        <w:jc w:val="center"/>
        <w:rPr>
          <w:rFonts w:eastAsia="Calibri"/>
          <w:b/>
          <w:bCs/>
          <w:szCs w:val="22"/>
          <w:lang w:val="en-US"/>
        </w:rPr>
      </w:pP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right="3156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1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Opening and Working</w:t>
      </w:r>
      <w:r>
        <w:rPr>
          <w:rFonts w:eastAsia="Calibri"/>
          <w:bCs/>
          <w:szCs w:val="22"/>
          <w:lang w:val="en-US"/>
        </w:rPr>
        <w:t xml:space="preserve"> </w:t>
      </w:r>
      <w:r w:rsidRPr="00987D40">
        <w:rPr>
          <w:rFonts w:eastAsia="Calibri"/>
          <w:bCs/>
          <w:szCs w:val="22"/>
          <w:lang w:val="en-US"/>
        </w:rPr>
        <w:t>Arrangements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2160" w:right="329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a)</w:t>
      </w:r>
      <w:r w:rsidRPr="00987D40">
        <w:rPr>
          <w:rFonts w:eastAsia="Calibri"/>
          <w:bCs/>
          <w:szCs w:val="22"/>
          <w:lang w:val="en-US"/>
        </w:rPr>
        <w:tab/>
        <w:t>Action Item Review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2160"/>
        <w:rPr>
          <w:rFonts w:eastAsia="Calibri"/>
          <w:bCs/>
          <w:szCs w:val="22"/>
          <w:lang w:val="en-US"/>
        </w:rPr>
      </w:pPr>
      <w:proofErr w:type="gramStart"/>
      <w:r w:rsidRPr="00987D40">
        <w:rPr>
          <w:rFonts w:eastAsia="Calibri"/>
          <w:bCs/>
          <w:szCs w:val="22"/>
          <w:lang w:val="en-US"/>
        </w:rPr>
        <w:t>b</w:t>
      </w:r>
      <w:proofErr w:type="gramEnd"/>
      <w:r w:rsidRPr="00987D40">
        <w:rPr>
          <w:rFonts w:eastAsia="Calibri"/>
          <w:bCs/>
          <w:szCs w:val="22"/>
          <w:lang w:val="en-US"/>
        </w:rPr>
        <w:t xml:space="preserve">) </w:t>
      </w:r>
      <w:r w:rsidRPr="00987D40">
        <w:rPr>
          <w:rFonts w:eastAsia="Calibri"/>
          <w:bCs/>
          <w:szCs w:val="22"/>
          <w:lang w:val="en-US"/>
        </w:rPr>
        <w:tab/>
        <w:t>Status of tasks identified on Job Cards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2160"/>
        <w:rPr>
          <w:rFonts w:eastAsia="Calibri"/>
          <w:bCs/>
          <w:szCs w:val="22"/>
          <w:lang w:val="en-US"/>
        </w:rPr>
      </w:pP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2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ICAO WRC-23 Position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2880" w:hanging="72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 xml:space="preserve">a) </w:t>
      </w:r>
      <w:r w:rsidRPr="00987D40">
        <w:rPr>
          <w:rFonts w:eastAsia="Calibri"/>
          <w:bCs/>
          <w:szCs w:val="22"/>
          <w:lang w:val="en-US"/>
        </w:rPr>
        <w:tab/>
        <w:t>Identified conflicts between administration preliminary proposals and ICAO Position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2880" w:hanging="72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b)</w:t>
      </w:r>
      <w:r w:rsidRPr="00987D40">
        <w:rPr>
          <w:rFonts w:eastAsia="Calibri"/>
          <w:bCs/>
          <w:szCs w:val="22"/>
          <w:lang w:val="en-US"/>
        </w:rPr>
        <w:tab/>
        <w:t>Discussion of possible future agenda item proposals from administrations</w:t>
      </w:r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2880" w:hanging="720"/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c)</w:t>
      </w:r>
      <w:r w:rsidRPr="00987D40">
        <w:rPr>
          <w:rFonts w:eastAsia="Calibri"/>
          <w:bCs/>
          <w:szCs w:val="22"/>
          <w:lang w:val="en-US"/>
        </w:rPr>
        <w:tab/>
        <w:t>Modifications/Updates to the ICAO WRC-23 Position</w:t>
      </w:r>
      <w:r w:rsidR="003E51A8">
        <w:rPr>
          <w:rFonts w:eastAsia="Calibri"/>
          <w:bCs/>
          <w:color w:val="FF0000"/>
          <w:szCs w:val="22"/>
          <w:lang w:val="en-US"/>
        </w:rPr>
        <w:t xml:space="preserve"> WP06, WP09</w:t>
      </w:r>
      <w:r w:rsidR="005F1D41">
        <w:rPr>
          <w:rFonts w:eastAsia="Calibri"/>
          <w:bCs/>
          <w:color w:val="FF0000"/>
          <w:szCs w:val="22"/>
          <w:lang w:val="en-US"/>
        </w:rPr>
        <w:t>, WP23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2970" w:hanging="810"/>
        <w:rPr>
          <w:rFonts w:eastAsia="Calibri"/>
          <w:bCs/>
          <w:szCs w:val="22"/>
          <w:lang w:val="en-US"/>
        </w:rPr>
      </w:pP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3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Development of (planned) Material for ITU-R Studies on:</w:t>
      </w:r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color w:val="FF0000"/>
          <w:szCs w:val="22"/>
          <w:lang w:val="en-US"/>
        </w:rPr>
      </w:pPr>
      <w:proofErr w:type="gramStart"/>
      <w:r w:rsidRPr="00987D40">
        <w:rPr>
          <w:rFonts w:eastAsia="Calibri"/>
          <w:bCs/>
          <w:szCs w:val="22"/>
          <w:lang w:val="en-US"/>
        </w:rPr>
        <w:t>a</w:t>
      </w:r>
      <w:proofErr w:type="gramEnd"/>
      <w:r w:rsidRPr="00987D40">
        <w:rPr>
          <w:rFonts w:eastAsia="Calibri"/>
          <w:bCs/>
          <w:szCs w:val="22"/>
          <w:lang w:val="en-US"/>
        </w:rPr>
        <w:t>)</w:t>
      </w:r>
      <w:r w:rsidRPr="00987D40">
        <w:rPr>
          <w:rFonts w:eastAsia="Calibri"/>
          <w:bCs/>
          <w:szCs w:val="22"/>
          <w:lang w:val="en-US"/>
        </w:rPr>
        <w:tab/>
        <w:t>WRC-23 AI1.6 Suborbital Vehicles</w:t>
      </w:r>
      <w:r w:rsidR="003E51A8">
        <w:rPr>
          <w:rFonts w:eastAsia="Calibri"/>
          <w:bCs/>
          <w:szCs w:val="22"/>
          <w:lang w:val="en-US"/>
        </w:rPr>
        <w:t xml:space="preserve"> </w:t>
      </w:r>
      <w:r w:rsidR="003E51A8">
        <w:rPr>
          <w:rFonts w:eastAsia="Calibri"/>
          <w:bCs/>
          <w:color w:val="FF0000"/>
          <w:szCs w:val="22"/>
          <w:lang w:val="en-US"/>
        </w:rPr>
        <w:t>WP04, WP20</w:t>
      </w:r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b)</w:t>
      </w:r>
      <w:r w:rsidRPr="00987D40">
        <w:rPr>
          <w:rFonts w:eastAsia="Calibri"/>
          <w:bCs/>
          <w:szCs w:val="22"/>
          <w:lang w:val="en-US"/>
        </w:rPr>
        <w:tab/>
        <w:t>WRC-23 AI1.7 VHF AMS(R</w:t>
      </w:r>
      <w:proofErr w:type="gramStart"/>
      <w:r w:rsidRPr="00987D40">
        <w:rPr>
          <w:rFonts w:eastAsia="Calibri"/>
          <w:bCs/>
          <w:szCs w:val="22"/>
          <w:lang w:val="en-US"/>
        </w:rPr>
        <w:t>)S</w:t>
      </w:r>
      <w:proofErr w:type="gramEnd"/>
      <w:r w:rsidR="003E51A8">
        <w:rPr>
          <w:rFonts w:eastAsia="Calibri"/>
          <w:bCs/>
          <w:color w:val="FF0000"/>
          <w:szCs w:val="22"/>
          <w:lang w:val="en-US"/>
        </w:rPr>
        <w:t xml:space="preserve"> WP02, WP03, WP11, WP12, WP13, WP14, WP15, WP16, WP17, WP18, WP22, </w:t>
      </w:r>
      <w:r w:rsidR="005F1D41">
        <w:rPr>
          <w:rFonts w:eastAsia="Calibri"/>
          <w:bCs/>
          <w:color w:val="FF0000"/>
          <w:szCs w:val="22"/>
          <w:lang w:val="en-US"/>
        </w:rPr>
        <w:t xml:space="preserve">WP24, WP25, </w:t>
      </w:r>
      <w:r w:rsidR="003E51A8">
        <w:rPr>
          <w:rFonts w:eastAsia="Calibri"/>
          <w:bCs/>
          <w:color w:val="FF0000"/>
          <w:szCs w:val="22"/>
          <w:lang w:val="en-US"/>
        </w:rPr>
        <w:t>IP04 w/attach, IP05 w/attach</w:t>
      </w:r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color w:val="FF0000"/>
          <w:szCs w:val="22"/>
          <w:lang w:val="en-US"/>
        </w:rPr>
      </w:pPr>
      <w:proofErr w:type="gramStart"/>
      <w:r w:rsidRPr="00987D40">
        <w:rPr>
          <w:rFonts w:eastAsia="Calibri"/>
          <w:bCs/>
          <w:szCs w:val="22"/>
          <w:lang w:val="en-US"/>
        </w:rPr>
        <w:t>c</w:t>
      </w:r>
      <w:proofErr w:type="gramEnd"/>
      <w:r w:rsidRPr="00987D40">
        <w:rPr>
          <w:rFonts w:eastAsia="Calibri"/>
          <w:bCs/>
          <w:szCs w:val="22"/>
          <w:lang w:val="en-US"/>
        </w:rPr>
        <w:t>)</w:t>
      </w:r>
      <w:r w:rsidRPr="00987D40">
        <w:rPr>
          <w:rFonts w:eastAsia="Calibri"/>
          <w:bCs/>
          <w:szCs w:val="22"/>
          <w:lang w:val="en-US"/>
        </w:rPr>
        <w:tab/>
        <w:t>WRC-23 AI1.8 FSS for UAS</w:t>
      </w:r>
      <w:r w:rsidR="003E51A8">
        <w:rPr>
          <w:rFonts w:eastAsia="Calibri"/>
          <w:bCs/>
          <w:szCs w:val="22"/>
          <w:lang w:val="en-US"/>
        </w:rPr>
        <w:t xml:space="preserve"> </w:t>
      </w:r>
      <w:r w:rsidR="003E51A8">
        <w:rPr>
          <w:rFonts w:eastAsia="Calibri"/>
          <w:bCs/>
          <w:color w:val="FF0000"/>
          <w:szCs w:val="22"/>
          <w:lang w:val="en-US"/>
        </w:rPr>
        <w:t>WP05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d)</w:t>
      </w:r>
      <w:r w:rsidRPr="00987D40">
        <w:rPr>
          <w:rFonts w:eastAsia="Calibri"/>
          <w:bCs/>
          <w:szCs w:val="22"/>
          <w:lang w:val="en-US"/>
        </w:rPr>
        <w:tab/>
        <w:t>WRC-23 AI1.9 Wideband HF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e)</w:t>
      </w:r>
      <w:r w:rsidRPr="00987D40">
        <w:rPr>
          <w:rFonts w:eastAsia="Calibri"/>
          <w:bCs/>
          <w:szCs w:val="22"/>
          <w:lang w:val="en-US"/>
        </w:rPr>
        <w:tab/>
        <w:t>WRC-23 AI1.10 Non-safety AMS</w:t>
      </w:r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f)</w:t>
      </w:r>
      <w:r w:rsidRPr="00987D40">
        <w:rPr>
          <w:rFonts w:eastAsia="Calibri"/>
          <w:bCs/>
          <w:szCs w:val="22"/>
          <w:lang w:val="en-US"/>
        </w:rPr>
        <w:tab/>
        <w:t>WRC-23 AI9.2 Radio Regulations clean-up</w:t>
      </w:r>
      <w:r w:rsidR="003E51A8">
        <w:rPr>
          <w:rFonts w:eastAsia="Calibri"/>
          <w:bCs/>
          <w:color w:val="FF0000"/>
          <w:szCs w:val="22"/>
          <w:lang w:val="en-US"/>
        </w:rPr>
        <w:t xml:space="preserve"> WP19</w:t>
      </w:r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g)</w:t>
      </w:r>
      <w:r w:rsidRPr="00987D40">
        <w:rPr>
          <w:rFonts w:eastAsia="Calibri"/>
          <w:bCs/>
          <w:szCs w:val="22"/>
          <w:lang w:val="en-US"/>
        </w:rPr>
        <w:tab/>
        <w:t>Other</w:t>
      </w:r>
      <w:r w:rsidR="003E51A8">
        <w:rPr>
          <w:rFonts w:eastAsia="Calibri"/>
          <w:bCs/>
          <w:szCs w:val="22"/>
          <w:lang w:val="en-US"/>
        </w:rPr>
        <w:t xml:space="preserve"> </w:t>
      </w:r>
      <w:r w:rsidR="003E51A8">
        <w:rPr>
          <w:rFonts w:eastAsia="Calibri"/>
          <w:bCs/>
          <w:color w:val="FF0000"/>
          <w:szCs w:val="22"/>
          <w:lang w:val="en-US"/>
        </w:rPr>
        <w:t>WP01, WP21, IP06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szCs w:val="22"/>
          <w:lang w:val="en-US"/>
        </w:rPr>
      </w:pPr>
    </w:p>
    <w:p w:rsidR="005F14B1" w:rsidRPr="005F1D41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4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Radio Altimeter issues</w:t>
      </w:r>
      <w:r w:rsidR="005F1D41">
        <w:rPr>
          <w:rFonts w:eastAsia="Calibri"/>
          <w:bCs/>
          <w:szCs w:val="22"/>
          <w:lang w:val="en-US"/>
        </w:rPr>
        <w:t xml:space="preserve"> </w:t>
      </w:r>
      <w:r w:rsidR="005F1D41">
        <w:rPr>
          <w:rFonts w:eastAsia="Calibri"/>
          <w:bCs/>
          <w:color w:val="FF0000"/>
          <w:szCs w:val="22"/>
          <w:lang w:val="en-US"/>
        </w:rPr>
        <w:t>IP0</w:t>
      </w:r>
      <w:r w:rsidR="00C449A2">
        <w:rPr>
          <w:rFonts w:eastAsia="Calibri"/>
          <w:bCs/>
          <w:color w:val="FF0000"/>
          <w:szCs w:val="22"/>
          <w:lang w:val="en-US"/>
        </w:rPr>
        <w:t>3, IP0</w:t>
      </w:r>
      <w:r w:rsidR="005F1D41">
        <w:rPr>
          <w:rFonts w:eastAsia="Calibri"/>
          <w:bCs/>
          <w:color w:val="FF0000"/>
          <w:szCs w:val="22"/>
          <w:lang w:val="en-US"/>
        </w:rPr>
        <w:t>7</w:t>
      </w:r>
    </w:p>
    <w:p w:rsidR="005F14B1" w:rsidRPr="003E51A8" w:rsidRDefault="009C29D7" w:rsidP="005F14B1">
      <w:pPr>
        <w:widowControl/>
        <w:kinsoku w:val="0"/>
        <w:overflowPunct w:val="0"/>
        <w:spacing w:line="237" w:lineRule="exact"/>
        <w:ind w:left="1440" w:right="-174" w:firstLine="720"/>
        <w:rPr>
          <w:rFonts w:eastAsia="Calibri"/>
          <w:bCs/>
          <w:color w:val="FF0000"/>
          <w:szCs w:val="22"/>
          <w:lang w:val="en-US"/>
        </w:rPr>
      </w:pPr>
      <w:r>
        <w:rPr>
          <w:rFonts w:eastAsia="Calibri"/>
          <w:bCs/>
          <w:szCs w:val="22"/>
          <w:lang w:val="en-US"/>
        </w:rPr>
        <w:t>a</w:t>
      </w:r>
      <w:r w:rsidR="005F14B1" w:rsidRPr="00987D40">
        <w:rPr>
          <w:rFonts w:eastAsia="Calibri"/>
          <w:bCs/>
          <w:szCs w:val="22"/>
          <w:lang w:val="en-US"/>
        </w:rPr>
        <w:t>)</w:t>
      </w:r>
      <w:r w:rsidR="005F14B1" w:rsidRPr="00987D40">
        <w:rPr>
          <w:rFonts w:eastAsia="Calibri"/>
          <w:bCs/>
          <w:szCs w:val="22"/>
          <w:lang w:val="en-US"/>
        </w:rPr>
        <w:tab/>
        <w:t xml:space="preserve">  Report from correspondence group on radio altimeters (CG-RA)</w:t>
      </w:r>
      <w:r w:rsidR="00C449A2">
        <w:rPr>
          <w:rFonts w:eastAsia="Calibri"/>
          <w:bCs/>
          <w:color w:val="FF0000"/>
          <w:szCs w:val="22"/>
          <w:lang w:val="en-US"/>
        </w:rPr>
        <w:t xml:space="preserve"> IP08</w:t>
      </w:r>
    </w:p>
    <w:p w:rsidR="005F14B1" w:rsidRPr="00987D40" w:rsidRDefault="009C29D7" w:rsidP="005F14B1">
      <w:pPr>
        <w:widowControl/>
        <w:kinsoku w:val="0"/>
        <w:overflowPunct w:val="0"/>
        <w:spacing w:line="237" w:lineRule="exact"/>
        <w:ind w:left="1440" w:right="-804" w:firstLine="720"/>
        <w:rPr>
          <w:rFonts w:eastAsia="Calibri"/>
          <w:bCs/>
          <w:szCs w:val="22"/>
          <w:lang w:val="en-US"/>
        </w:rPr>
      </w:pPr>
      <w:r>
        <w:rPr>
          <w:rFonts w:eastAsia="Calibri"/>
          <w:bCs/>
          <w:szCs w:val="22"/>
          <w:lang w:val="en-US"/>
        </w:rPr>
        <w:t>b</w:t>
      </w:r>
      <w:r w:rsidR="005F14B1" w:rsidRPr="00987D40">
        <w:rPr>
          <w:rFonts w:eastAsia="Calibri"/>
          <w:bCs/>
          <w:szCs w:val="22"/>
          <w:lang w:val="en-US"/>
        </w:rPr>
        <w:t>)</w:t>
      </w:r>
      <w:r w:rsidR="005F14B1" w:rsidRPr="00987D40">
        <w:rPr>
          <w:rFonts w:eastAsia="Calibri"/>
          <w:bCs/>
          <w:szCs w:val="22"/>
          <w:lang w:val="en-US"/>
        </w:rPr>
        <w:tab/>
        <w:t xml:space="preserve">  National efforts to implement broadband mobile near 4200-4400 MHz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1440" w:firstLine="72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ab/>
        <w:t xml:space="preserve">  - Mitigation measures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18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 xml:space="preserve">  - Safety Cases/Compatibility Analyses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szCs w:val="22"/>
          <w:lang w:val="en-US"/>
        </w:rPr>
      </w:pP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5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5 GHz Band Planning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a)</w:t>
      </w:r>
      <w:r w:rsidRPr="00987D40">
        <w:rPr>
          <w:rFonts w:eastAsia="Calibri"/>
          <w:bCs/>
          <w:szCs w:val="22"/>
          <w:lang w:val="en-US"/>
        </w:rPr>
        <w:tab/>
      </w:r>
      <w:proofErr w:type="spellStart"/>
      <w:r w:rsidRPr="00987D40">
        <w:rPr>
          <w:rFonts w:eastAsia="Calibri"/>
          <w:bCs/>
          <w:szCs w:val="22"/>
          <w:lang w:val="en-US"/>
        </w:rPr>
        <w:t>AeroMACS</w:t>
      </w:r>
      <w:proofErr w:type="spellEnd"/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b)</w:t>
      </w:r>
      <w:r w:rsidRPr="00987D40">
        <w:rPr>
          <w:rFonts w:eastAsia="Calibri"/>
          <w:bCs/>
          <w:szCs w:val="22"/>
          <w:lang w:val="en-US"/>
        </w:rPr>
        <w:tab/>
        <w:t>Global UAS/Remotely Piloted Aircraft Systems (RPAS) channel plan</w:t>
      </w:r>
      <w:r w:rsidR="003E51A8">
        <w:rPr>
          <w:rFonts w:eastAsia="Calibri"/>
          <w:bCs/>
          <w:color w:val="FF0000"/>
          <w:szCs w:val="22"/>
          <w:lang w:val="en-US"/>
        </w:rPr>
        <w:t xml:space="preserve"> WP10, IP02 w/presentation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150" w:hanging="990"/>
        <w:rPr>
          <w:rFonts w:eastAsia="Calibri"/>
          <w:bCs/>
          <w:szCs w:val="22"/>
          <w:lang w:val="en-US"/>
        </w:rPr>
      </w:pP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6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Interference from Non-Aeronautical Sources</w:t>
      </w:r>
    </w:p>
    <w:p w:rsidR="005F14B1" w:rsidRPr="003E51A8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a)</w:t>
      </w:r>
      <w:r w:rsidRPr="00987D40">
        <w:rPr>
          <w:rFonts w:eastAsia="Calibri"/>
          <w:bCs/>
          <w:szCs w:val="22"/>
          <w:lang w:val="en-US"/>
        </w:rPr>
        <w:tab/>
        <w:t>Mobile service communications adjacent to 1518 MHz satellite communications frequency band (see action item 14-04)</w:t>
      </w:r>
      <w:r w:rsidR="003E51A8">
        <w:rPr>
          <w:rFonts w:eastAsia="Calibri"/>
          <w:bCs/>
          <w:color w:val="FF0000"/>
          <w:szCs w:val="22"/>
          <w:lang w:val="en-US"/>
        </w:rPr>
        <w:t xml:space="preserve"> WP08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  <w:proofErr w:type="gramStart"/>
      <w:r w:rsidRPr="00987D40">
        <w:rPr>
          <w:rFonts w:eastAsia="Calibri"/>
          <w:bCs/>
          <w:szCs w:val="22"/>
          <w:lang w:val="en-US"/>
        </w:rPr>
        <w:t>b</w:t>
      </w:r>
      <w:proofErr w:type="gramEnd"/>
      <w:r w:rsidRPr="00987D40">
        <w:rPr>
          <w:rFonts w:eastAsia="Calibri"/>
          <w:bCs/>
          <w:szCs w:val="22"/>
          <w:lang w:val="en-US"/>
        </w:rPr>
        <w:t>)</w:t>
      </w:r>
      <w:r w:rsidRPr="00987D40">
        <w:rPr>
          <w:rFonts w:eastAsia="Calibri"/>
          <w:bCs/>
          <w:szCs w:val="22"/>
          <w:lang w:val="en-US"/>
        </w:rPr>
        <w:tab/>
        <w:t>LED lighting systems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7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Revision of ICAO Frequency Spectrum Handbook (Doc 9718)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a)</w:t>
      </w:r>
      <w:r w:rsidRPr="00987D40">
        <w:rPr>
          <w:rFonts w:eastAsia="Calibri"/>
          <w:bCs/>
          <w:szCs w:val="22"/>
          <w:lang w:val="en-US"/>
        </w:rPr>
        <w:tab/>
        <w:t>Restructure of Volume I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b)</w:t>
      </w:r>
      <w:r w:rsidRPr="00987D40">
        <w:rPr>
          <w:rFonts w:eastAsia="Calibri"/>
          <w:bCs/>
          <w:szCs w:val="22"/>
          <w:lang w:val="en-US"/>
        </w:rPr>
        <w:tab/>
        <w:t>Update of Volume II</w:t>
      </w:r>
    </w:p>
    <w:p w:rsidR="005F14B1" w:rsidRPr="00987D40" w:rsidRDefault="005F14B1" w:rsidP="005F14B1">
      <w:pPr>
        <w:widowControl/>
        <w:kinsoku w:val="0"/>
        <w:overflowPunct w:val="0"/>
        <w:spacing w:line="237" w:lineRule="exact"/>
        <w:ind w:left="3060" w:hanging="900"/>
        <w:rPr>
          <w:rFonts w:eastAsia="Calibri"/>
          <w:bCs/>
          <w:szCs w:val="22"/>
          <w:lang w:val="en-US"/>
        </w:rPr>
      </w:pPr>
    </w:p>
    <w:p w:rsidR="009E3FBB" w:rsidRDefault="005F14B1" w:rsidP="005F14B1">
      <w:pPr>
        <w:rPr>
          <w:rFonts w:eastAsia="Calibri"/>
          <w:bCs/>
          <w:color w:val="FF0000"/>
          <w:szCs w:val="22"/>
          <w:lang w:val="en-US"/>
        </w:rPr>
      </w:pPr>
      <w:r w:rsidRPr="00987D40">
        <w:rPr>
          <w:rFonts w:eastAsia="Calibri"/>
          <w:bCs/>
          <w:szCs w:val="22"/>
          <w:lang w:val="en-US"/>
        </w:rPr>
        <w:t>Agenda Item 8</w:t>
      </w:r>
      <w:r w:rsidRPr="00987D40">
        <w:rPr>
          <w:rFonts w:eastAsia="Calibri"/>
          <w:bCs/>
          <w:szCs w:val="22"/>
          <w:lang w:val="en-US"/>
        </w:rPr>
        <w:tab/>
      </w:r>
      <w:r w:rsidRPr="00987D40">
        <w:rPr>
          <w:rFonts w:eastAsia="Calibri"/>
          <w:bCs/>
          <w:szCs w:val="22"/>
          <w:lang w:val="en-US"/>
        </w:rPr>
        <w:tab/>
        <w:t>Any Other Business</w:t>
      </w:r>
      <w:r w:rsidR="003E51A8">
        <w:rPr>
          <w:rFonts w:eastAsia="Calibri"/>
          <w:bCs/>
          <w:color w:val="FF0000"/>
          <w:szCs w:val="22"/>
          <w:lang w:val="en-US"/>
        </w:rPr>
        <w:t xml:space="preserve"> WP07, IP01</w:t>
      </w:r>
    </w:p>
    <w:p w:rsidR="007467B0" w:rsidRDefault="000D23EC" w:rsidP="005F14B1">
      <w:pPr>
        <w:rPr>
          <w:rFonts w:eastAsia="Calibri"/>
          <w:bCs/>
          <w:color w:val="FF0000"/>
          <w:szCs w:val="22"/>
          <w:lang w:val="en-US"/>
        </w:rPr>
      </w:pPr>
      <w:r>
        <w:rPr>
          <w:rFonts w:eastAsia="Calibri"/>
          <w:bCs/>
          <w:color w:val="FF0000"/>
          <w:szCs w:val="22"/>
          <w:lang w:val="en-US"/>
        </w:rPr>
        <w:lastRenderedPageBreak/>
        <w:t>Working Hours 9-5 Montreal time</w:t>
      </w:r>
    </w:p>
    <w:p w:rsidR="000D23EC" w:rsidRDefault="000D23EC" w:rsidP="005F14B1">
      <w:pPr>
        <w:rPr>
          <w:rFonts w:eastAsia="Calibri"/>
          <w:bCs/>
          <w:color w:val="FF0000"/>
          <w:szCs w:val="22"/>
          <w:lang w:val="en-US"/>
        </w:rPr>
      </w:pPr>
      <w:r>
        <w:rPr>
          <w:rFonts w:eastAsia="Calibri"/>
          <w:bCs/>
          <w:color w:val="FF0000"/>
          <w:szCs w:val="22"/>
          <w:lang w:val="en-US"/>
        </w:rPr>
        <w:t>Daily Schedule: S1:0900-1030; coffee; S2:1100-1230; lunch; S3:1330-1500; coffee; S4:1530-1700</w:t>
      </w:r>
    </w:p>
    <w:p w:rsidR="000D23EC" w:rsidRDefault="000D23EC" w:rsidP="005F14B1">
      <w:pPr>
        <w:rPr>
          <w:rFonts w:eastAsia="Calibri"/>
          <w:bCs/>
          <w:color w:val="FF0000"/>
          <w:szCs w:val="22"/>
          <w:lang w:val="en-US"/>
        </w:rPr>
      </w:pPr>
    </w:p>
    <w:p w:rsidR="007467B0" w:rsidRDefault="00AE29BA" w:rsidP="005F14B1">
      <w:pPr>
        <w:rPr>
          <w:rFonts w:eastAsia="Calibri"/>
          <w:bCs/>
          <w:color w:val="FF0000"/>
          <w:szCs w:val="22"/>
          <w:lang w:val="en-US"/>
        </w:rPr>
      </w:pPr>
      <w:r>
        <w:rPr>
          <w:rFonts w:eastAsia="Calibri"/>
          <w:bCs/>
          <w:color w:val="FF0000"/>
          <w:szCs w:val="22"/>
          <w:lang w:val="en-US"/>
        </w:rPr>
        <w:t xml:space="preserve">Draft </w:t>
      </w:r>
      <w:r w:rsidR="000D23EC">
        <w:rPr>
          <w:rFonts w:eastAsia="Calibri"/>
          <w:bCs/>
          <w:color w:val="FF0000"/>
          <w:szCs w:val="22"/>
          <w:lang w:val="en-US"/>
        </w:rPr>
        <w:t xml:space="preserve">Meeting </w:t>
      </w:r>
      <w:r>
        <w:rPr>
          <w:rFonts w:eastAsia="Calibri"/>
          <w:bCs/>
          <w:color w:val="FF0000"/>
          <w:szCs w:val="22"/>
          <w:lang w:val="en-US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173"/>
        <w:gridCol w:w="1188"/>
        <w:gridCol w:w="1191"/>
        <w:gridCol w:w="1189"/>
        <w:gridCol w:w="1191"/>
        <w:gridCol w:w="1155"/>
        <w:gridCol w:w="1161"/>
      </w:tblGrid>
      <w:tr w:rsidR="007467B0" w:rsidRPr="007467B0" w:rsidTr="007467B0">
        <w:tc>
          <w:tcPr>
            <w:tcW w:w="1102" w:type="dxa"/>
            <w:shd w:val="clear" w:color="auto" w:fill="A6A6A6" w:themeFill="background1" w:themeFillShade="A6"/>
          </w:tcPr>
          <w:p w:rsidR="007467B0" w:rsidRDefault="007467B0" w:rsidP="005F14B1"/>
        </w:tc>
        <w:tc>
          <w:tcPr>
            <w:tcW w:w="1173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Sun 21</w:t>
            </w:r>
          </w:p>
        </w:tc>
        <w:tc>
          <w:tcPr>
            <w:tcW w:w="1188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Mon 22</w:t>
            </w:r>
          </w:p>
        </w:tc>
        <w:tc>
          <w:tcPr>
            <w:tcW w:w="1191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Tues 23</w:t>
            </w:r>
          </w:p>
        </w:tc>
        <w:tc>
          <w:tcPr>
            <w:tcW w:w="1189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Wed 24</w:t>
            </w:r>
          </w:p>
        </w:tc>
        <w:tc>
          <w:tcPr>
            <w:tcW w:w="1191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proofErr w:type="spellStart"/>
            <w:r w:rsidRPr="003F1CB5">
              <w:rPr>
                <w:b/>
              </w:rPr>
              <w:t>Thur</w:t>
            </w:r>
            <w:proofErr w:type="spellEnd"/>
            <w:r w:rsidRPr="003F1CB5">
              <w:rPr>
                <w:b/>
              </w:rPr>
              <w:t xml:space="preserve"> 25</w:t>
            </w:r>
          </w:p>
        </w:tc>
        <w:tc>
          <w:tcPr>
            <w:tcW w:w="1155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Fri 26</w:t>
            </w:r>
          </w:p>
        </w:tc>
        <w:tc>
          <w:tcPr>
            <w:tcW w:w="1161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Sat 27</w:t>
            </w:r>
          </w:p>
        </w:tc>
      </w:tr>
      <w:tr w:rsidR="007467B0" w:rsidRPr="007467B0" w:rsidTr="007467B0">
        <w:tc>
          <w:tcPr>
            <w:tcW w:w="1102" w:type="dxa"/>
          </w:tcPr>
          <w:p w:rsidR="007467B0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AM</w:t>
            </w:r>
          </w:p>
          <w:p w:rsidR="005F1D41" w:rsidRPr="003F1CB5" w:rsidRDefault="005F1D41" w:rsidP="003F1CB5">
            <w:pPr>
              <w:jc w:val="center"/>
              <w:rPr>
                <w:b/>
              </w:rPr>
            </w:pPr>
          </w:p>
        </w:tc>
        <w:tc>
          <w:tcPr>
            <w:tcW w:w="1173" w:type="dxa"/>
            <w:shd w:val="clear" w:color="auto" w:fill="A6A6A6" w:themeFill="background1" w:themeFillShade="A6"/>
          </w:tcPr>
          <w:p w:rsidR="007467B0" w:rsidRPr="007467B0" w:rsidRDefault="007467B0" w:rsidP="005F14B1"/>
        </w:tc>
        <w:tc>
          <w:tcPr>
            <w:tcW w:w="1188" w:type="dxa"/>
          </w:tcPr>
          <w:p w:rsidR="007467B0" w:rsidRPr="007467B0" w:rsidRDefault="007467B0" w:rsidP="005F14B1">
            <w:r>
              <w:t>AI1, AI2</w:t>
            </w:r>
          </w:p>
        </w:tc>
        <w:tc>
          <w:tcPr>
            <w:tcW w:w="1191" w:type="dxa"/>
          </w:tcPr>
          <w:p w:rsidR="007467B0" w:rsidRPr="007467B0" w:rsidRDefault="007467B0" w:rsidP="005F14B1">
            <w:r>
              <w:t>AI2</w:t>
            </w:r>
          </w:p>
        </w:tc>
        <w:tc>
          <w:tcPr>
            <w:tcW w:w="1189" w:type="dxa"/>
          </w:tcPr>
          <w:p w:rsidR="007467B0" w:rsidRPr="007467B0" w:rsidRDefault="003F1CB5" w:rsidP="005F14B1">
            <w:r>
              <w:t>AI3a</w:t>
            </w:r>
          </w:p>
        </w:tc>
        <w:tc>
          <w:tcPr>
            <w:tcW w:w="1191" w:type="dxa"/>
          </w:tcPr>
          <w:p w:rsidR="007467B0" w:rsidRPr="007467B0" w:rsidRDefault="003F1CB5" w:rsidP="005F14B1">
            <w:r>
              <w:t>AI3b</w:t>
            </w:r>
          </w:p>
        </w:tc>
        <w:tc>
          <w:tcPr>
            <w:tcW w:w="1155" w:type="dxa"/>
          </w:tcPr>
          <w:p w:rsidR="00875EFE" w:rsidRDefault="00875EFE" w:rsidP="005F14B1">
            <w:r w:rsidRPr="00875EFE">
              <w:rPr>
                <w:highlight w:val="green"/>
              </w:rPr>
              <w:t>AI3c</w:t>
            </w:r>
          </w:p>
          <w:p w:rsidR="007467B0" w:rsidRPr="007467B0" w:rsidRDefault="005F1D41" w:rsidP="005F14B1">
            <w:r>
              <w:t>AI3b</w:t>
            </w:r>
          </w:p>
        </w:tc>
        <w:tc>
          <w:tcPr>
            <w:tcW w:w="1161" w:type="dxa"/>
          </w:tcPr>
          <w:p w:rsidR="007467B0" w:rsidRPr="007467B0" w:rsidRDefault="007467B0" w:rsidP="005F14B1"/>
        </w:tc>
      </w:tr>
      <w:tr w:rsidR="007467B0" w:rsidRPr="007467B0" w:rsidTr="007467B0">
        <w:tc>
          <w:tcPr>
            <w:tcW w:w="1102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PM</w:t>
            </w:r>
          </w:p>
        </w:tc>
        <w:tc>
          <w:tcPr>
            <w:tcW w:w="1173" w:type="dxa"/>
            <w:shd w:val="clear" w:color="auto" w:fill="A6A6A6" w:themeFill="background1" w:themeFillShade="A6"/>
          </w:tcPr>
          <w:p w:rsidR="007467B0" w:rsidRPr="007467B0" w:rsidRDefault="007467B0" w:rsidP="005F14B1"/>
        </w:tc>
        <w:tc>
          <w:tcPr>
            <w:tcW w:w="1188" w:type="dxa"/>
          </w:tcPr>
          <w:p w:rsidR="007467B0" w:rsidRPr="007467B0" w:rsidRDefault="007467B0" w:rsidP="005F14B1">
            <w:r>
              <w:t>AI2</w:t>
            </w:r>
          </w:p>
        </w:tc>
        <w:tc>
          <w:tcPr>
            <w:tcW w:w="1191" w:type="dxa"/>
          </w:tcPr>
          <w:p w:rsidR="007467B0" w:rsidRPr="007467B0" w:rsidRDefault="003F1CB5" w:rsidP="003F1CB5">
            <w:r>
              <w:t>AI2</w:t>
            </w:r>
          </w:p>
        </w:tc>
        <w:tc>
          <w:tcPr>
            <w:tcW w:w="1189" w:type="dxa"/>
          </w:tcPr>
          <w:p w:rsidR="007467B0" w:rsidRPr="007467B0" w:rsidRDefault="003F1CB5" w:rsidP="005F14B1">
            <w:r>
              <w:t>AI3b</w:t>
            </w:r>
          </w:p>
        </w:tc>
        <w:tc>
          <w:tcPr>
            <w:tcW w:w="1191" w:type="dxa"/>
          </w:tcPr>
          <w:p w:rsidR="007467B0" w:rsidRPr="007467B0" w:rsidRDefault="003F1CB5" w:rsidP="005F14B1">
            <w:r>
              <w:t>AI3b</w:t>
            </w:r>
          </w:p>
        </w:tc>
        <w:tc>
          <w:tcPr>
            <w:tcW w:w="1155" w:type="dxa"/>
          </w:tcPr>
          <w:p w:rsidR="007467B0" w:rsidRDefault="00875EFE" w:rsidP="005F14B1">
            <w:r>
              <w:t>AI3b</w:t>
            </w:r>
          </w:p>
          <w:p w:rsidR="00875EFE" w:rsidRPr="007467B0" w:rsidRDefault="00875EFE" w:rsidP="005F14B1">
            <w:r>
              <w:t>DG setup</w:t>
            </w:r>
          </w:p>
        </w:tc>
        <w:tc>
          <w:tcPr>
            <w:tcW w:w="1161" w:type="dxa"/>
          </w:tcPr>
          <w:p w:rsidR="007467B0" w:rsidRPr="007467B0" w:rsidRDefault="007467B0" w:rsidP="005F14B1"/>
        </w:tc>
      </w:tr>
      <w:tr w:rsidR="007467B0" w:rsidRPr="007467B0" w:rsidTr="007467B0">
        <w:tc>
          <w:tcPr>
            <w:tcW w:w="1102" w:type="dxa"/>
          </w:tcPr>
          <w:p w:rsidR="007467B0" w:rsidRDefault="007467B0" w:rsidP="003F1CB5">
            <w:pPr>
              <w:jc w:val="center"/>
            </w:pPr>
          </w:p>
        </w:tc>
        <w:tc>
          <w:tcPr>
            <w:tcW w:w="1173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Sun 28</w:t>
            </w:r>
          </w:p>
        </w:tc>
        <w:tc>
          <w:tcPr>
            <w:tcW w:w="1188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Mon 29</w:t>
            </w:r>
          </w:p>
        </w:tc>
        <w:tc>
          <w:tcPr>
            <w:tcW w:w="1191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Tues 30</w:t>
            </w:r>
          </w:p>
        </w:tc>
        <w:tc>
          <w:tcPr>
            <w:tcW w:w="1189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Wed 31</w:t>
            </w:r>
          </w:p>
        </w:tc>
        <w:tc>
          <w:tcPr>
            <w:tcW w:w="1191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proofErr w:type="spellStart"/>
            <w:r w:rsidRPr="003F1CB5">
              <w:rPr>
                <w:b/>
              </w:rPr>
              <w:t>Thur</w:t>
            </w:r>
            <w:proofErr w:type="spellEnd"/>
            <w:r w:rsidRPr="003F1CB5">
              <w:rPr>
                <w:b/>
              </w:rPr>
              <w:t xml:space="preserve"> 01</w:t>
            </w:r>
          </w:p>
        </w:tc>
        <w:tc>
          <w:tcPr>
            <w:tcW w:w="1155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Fri 02</w:t>
            </w:r>
          </w:p>
        </w:tc>
        <w:tc>
          <w:tcPr>
            <w:tcW w:w="1161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Sat 03</w:t>
            </w:r>
          </w:p>
        </w:tc>
      </w:tr>
      <w:tr w:rsidR="007467B0" w:rsidRPr="007467B0" w:rsidTr="007467B0">
        <w:tc>
          <w:tcPr>
            <w:tcW w:w="1102" w:type="dxa"/>
          </w:tcPr>
          <w:p w:rsidR="007467B0" w:rsidRPr="003F1CB5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AM</w:t>
            </w:r>
          </w:p>
        </w:tc>
        <w:tc>
          <w:tcPr>
            <w:tcW w:w="1173" w:type="dxa"/>
          </w:tcPr>
          <w:p w:rsidR="007467B0" w:rsidRPr="007467B0" w:rsidRDefault="007467B0" w:rsidP="005F14B1"/>
        </w:tc>
        <w:tc>
          <w:tcPr>
            <w:tcW w:w="1188" w:type="dxa"/>
          </w:tcPr>
          <w:p w:rsidR="007467B0" w:rsidRPr="007467B0" w:rsidRDefault="00875EFE" w:rsidP="00875EFE">
            <w:r>
              <w:t>DG reports</w:t>
            </w:r>
          </w:p>
        </w:tc>
        <w:tc>
          <w:tcPr>
            <w:tcW w:w="1191" w:type="dxa"/>
          </w:tcPr>
          <w:p w:rsidR="007467B0" w:rsidRPr="007467B0" w:rsidRDefault="00875EFE" w:rsidP="00875EFE">
            <w:r>
              <w:t xml:space="preserve">AI3f, AI3g </w:t>
            </w:r>
          </w:p>
        </w:tc>
        <w:tc>
          <w:tcPr>
            <w:tcW w:w="1189" w:type="dxa"/>
          </w:tcPr>
          <w:p w:rsidR="007467B0" w:rsidRDefault="003F1CB5" w:rsidP="005F14B1">
            <w:r>
              <w:t xml:space="preserve">Panel </w:t>
            </w:r>
            <w:proofErr w:type="spellStart"/>
            <w:r>
              <w:t>Mtg</w:t>
            </w:r>
            <w:proofErr w:type="spellEnd"/>
            <w:r>
              <w:t xml:space="preserve"> (9-10)</w:t>
            </w:r>
          </w:p>
          <w:p w:rsidR="00875EFE" w:rsidRPr="007467B0" w:rsidRDefault="00875EFE" w:rsidP="005F14B1">
            <w:r>
              <w:t>AI6,</w:t>
            </w:r>
          </w:p>
        </w:tc>
        <w:tc>
          <w:tcPr>
            <w:tcW w:w="1191" w:type="dxa"/>
          </w:tcPr>
          <w:p w:rsidR="007467B0" w:rsidRPr="007467B0" w:rsidRDefault="003F1CB5" w:rsidP="005F14B1">
            <w:r>
              <w:t>Report</w:t>
            </w:r>
          </w:p>
        </w:tc>
        <w:tc>
          <w:tcPr>
            <w:tcW w:w="1155" w:type="dxa"/>
            <w:shd w:val="clear" w:color="auto" w:fill="A6A6A6" w:themeFill="background1" w:themeFillShade="A6"/>
          </w:tcPr>
          <w:p w:rsidR="007467B0" w:rsidRPr="007467B0" w:rsidRDefault="007467B0" w:rsidP="005F14B1"/>
        </w:tc>
        <w:tc>
          <w:tcPr>
            <w:tcW w:w="1161" w:type="dxa"/>
            <w:shd w:val="clear" w:color="auto" w:fill="A6A6A6" w:themeFill="background1" w:themeFillShade="A6"/>
          </w:tcPr>
          <w:p w:rsidR="007467B0" w:rsidRPr="007467B0" w:rsidRDefault="007467B0" w:rsidP="005F14B1"/>
        </w:tc>
      </w:tr>
      <w:tr w:rsidR="007467B0" w:rsidRPr="007467B0" w:rsidTr="007467B0">
        <w:tc>
          <w:tcPr>
            <w:tcW w:w="1102" w:type="dxa"/>
          </w:tcPr>
          <w:p w:rsidR="007467B0" w:rsidRDefault="007467B0" w:rsidP="003F1CB5">
            <w:pPr>
              <w:jc w:val="center"/>
              <w:rPr>
                <w:b/>
              </w:rPr>
            </w:pPr>
            <w:r w:rsidRPr="003F1CB5">
              <w:rPr>
                <w:b/>
              </w:rPr>
              <w:t>PM</w:t>
            </w:r>
          </w:p>
          <w:p w:rsidR="00011CF5" w:rsidRPr="003F1CB5" w:rsidRDefault="00011CF5" w:rsidP="003F1CB5">
            <w:pPr>
              <w:jc w:val="center"/>
              <w:rPr>
                <w:b/>
              </w:rPr>
            </w:pPr>
          </w:p>
        </w:tc>
        <w:tc>
          <w:tcPr>
            <w:tcW w:w="1173" w:type="dxa"/>
          </w:tcPr>
          <w:p w:rsidR="007467B0" w:rsidRPr="007467B0" w:rsidRDefault="007467B0" w:rsidP="005F14B1"/>
        </w:tc>
        <w:tc>
          <w:tcPr>
            <w:tcW w:w="1188" w:type="dxa"/>
          </w:tcPr>
          <w:p w:rsidR="007467B0" w:rsidRPr="007467B0" w:rsidRDefault="00875EFE" w:rsidP="005F14B1">
            <w:r>
              <w:t>AI5b</w:t>
            </w:r>
          </w:p>
        </w:tc>
        <w:tc>
          <w:tcPr>
            <w:tcW w:w="1191" w:type="dxa"/>
          </w:tcPr>
          <w:p w:rsidR="008607A0" w:rsidRDefault="008607A0" w:rsidP="005F14B1">
            <w:r w:rsidRPr="008607A0">
              <w:rPr>
                <w:highlight w:val="green"/>
              </w:rPr>
              <w:t>IP06</w:t>
            </w:r>
          </w:p>
          <w:p w:rsidR="007467B0" w:rsidRPr="007467B0" w:rsidRDefault="00875EFE" w:rsidP="005F14B1">
            <w:r>
              <w:t>AI4</w:t>
            </w:r>
          </w:p>
        </w:tc>
        <w:tc>
          <w:tcPr>
            <w:tcW w:w="1189" w:type="dxa"/>
          </w:tcPr>
          <w:p w:rsidR="007467B0" w:rsidRPr="007467B0" w:rsidRDefault="00875EFE" w:rsidP="005F14B1">
            <w:r>
              <w:t>AI8</w:t>
            </w:r>
            <w:r w:rsidR="007C543B">
              <w:t>, AI7</w:t>
            </w:r>
          </w:p>
        </w:tc>
        <w:tc>
          <w:tcPr>
            <w:tcW w:w="1191" w:type="dxa"/>
          </w:tcPr>
          <w:p w:rsidR="007467B0" w:rsidRPr="007467B0" w:rsidRDefault="007467B0" w:rsidP="005F14B1"/>
        </w:tc>
        <w:tc>
          <w:tcPr>
            <w:tcW w:w="1155" w:type="dxa"/>
            <w:shd w:val="clear" w:color="auto" w:fill="A6A6A6" w:themeFill="background1" w:themeFillShade="A6"/>
          </w:tcPr>
          <w:p w:rsidR="007467B0" w:rsidRPr="007467B0" w:rsidRDefault="007467B0" w:rsidP="005F14B1"/>
        </w:tc>
        <w:tc>
          <w:tcPr>
            <w:tcW w:w="1161" w:type="dxa"/>
            <w:shd w:val="clear" w:color="auto" w:fill="A6A6A6" w:themeFill="background1" w:themeFillShade="A6"/>
          </w:tcPr>
          <w:p w:rsidR="007467B0" w:rsidRPr="007467B0" w:rsidRDefault="007467B0" w:rsidP="005F14B1"/>
        </w:tc>
      </w:tr>
    </w:tbl>
    <w:p w:rsidR="00674D47" w:rsidRDefault="00674D47" w:rsidP="00875EFE"/>
    <w:p w:rsidR="007467B0" w:rsidRDefault="00674D47" w:rsidP="00875EFE">
      <w:proofErr w:type="gramStart"/>
      <w:r w:rsidRPr="007C543B">
        <w:rPr>
          <w:highlight w:val="green"/>
        </w:rPr>
        <w:t>WP05</w:t>
      </w:r>
      <w:r>
        <w:t>(</w:t>
      </w:r>
      <w:proofErr w:type="gramEnd"/>
      <w:r>
        <w:t>AI3c) – Author only available Fri 26</w:t>
      </w:r>
      <w:r w:rsidRPr="00674D47">
        <w:rPr>
          <w:vertAlign w:val="superscript"/>
        </w:rPr>
        <w:t>th</w:t>
      </w:r>
      <w:r>
        <w:t xml:space="preserve"> </w:t>
      </w:r>
    </w:p>
    <w:p w:rsidR="008607A0" w:rsidRDefault="008607A0" w:rsidP="00875EFE">
      <w:r w:rsidRPr="008607A0">
        <w:rPr>
          <w:highlight w:val="green"/>
        </w:rPr>
        <w:t>IP06</w:t>
      </w:r>
      <w:bookmarkStart w:id="1" w:name="_GoBack"/>
      <w:bookmarkEnd w:id="1"/>
      <w:r>
        <w:t xml:space="preserve"> at 1330 on Tues Aug 30.</w:t>
      </w:r>
    </w:p>
    <w:p w:rsidR="00C071A0" w:rsidRDefault="00C071A0" w:rsidP="00875EFE"/>
    <w:p w:rsidR="00C071A0" w:rsidRDefault="00C071A0" w:rsidP="00875EFE">
      <w:r>
        <w:t>Proposed Approach for AI3b (WRC AI1.7)</w:t>
      </w:r>
    </w:p>
    <w:p w:rsidR="00C071A0" w:rsidRPr="00C071A0" w:rsidRDefault="00C071A0" w:rsidP="00C071A0">
      <w:pPr>
        <w:pStyle w:val="ListParagraph"/>
        <w:numPr>
          <w:ilvl w:val="0"/>
          <w:numId w:val="1"/>
        </w:numPr>
        <w:rPr>
          <w:b/>
          <w:bCs/>
        </w:rPr>
      </w:pPr>
      <w:r w:rsidRPr="00C071A0">
        <w:rPr>
          <w:b/>
          <w:bCs/>
        </w:rPr>
        <w:t>LS</w:t>
      </w:r>
    </w:p>
    <w:p w:rsidR="00C071A0" w:rsidRDefault="00C071A0" w:rsidP="00C071A0"/>
    <w:p w:rsidR="00C071A0" w:rsidRDefault="00C071A0" w:rsidP="00C071A0">
      <w:r>
        <w:t>WP3 – ITU-R LS</w:t>
      </w:r>
    </w:p>
    <w:p w:rsidR="00C071A0" w:rsidRDefault="00C071A0" w:rsidP="00C071A0">
      <w:r>
        <w:t>WP16 – Proposed ICAO LS</w:t>
      </w:r>
    </w:p>
    <w:p w:rsidR="00C071A0" w:rsidRDefault="00C071A0" w:rsidP="00C071A0"/>
    <w:p w:rsidR="00C071A0" w:rsidRPr="00C071A0" w:rsidRDefault="00C071A0" w:rsidP="00C071A0">
      <w:pPr>
        <w:pStyle w:val="ListParagraph"/>
        <w:numPr>
          <w:ilvl w:val="0"/>
          <w:numId w:val="1"/>
        </w:numPr>
        <w:rPr>
          <w:b/>
          <w:bCs/>
        </w:rPr>
      </w:pPr>
      <w:r w:rsidRPr="00C071A0">
        <w:rPr>
          <w:b/>
          <w:bCs/>
        </w:rPr>
        <w:t>Operational and technical</w:t>
      </w:r>
    </w:p>
    <w:p w:rsidR="00C071A0" w:rsidRDefault="00C071A0" w:rsidP="00C071A0"/>
    <w:p w:rsidR="00C071A0" w:rsidRDefault="00C071A0" w:rsidP="00C071A0">
      <w:r>
        <w:t>WP12 – airline and CSP ops</w:t>
      </w:r>
    </w:p>
    <w:p w:rsidR="00C071A0" w:rsidRDefault="00C071A0" w:rsidP="00C071A0">
      <w:r>
        <w:t>WP13 – Technical – Doppler with IP04 w/attach</w:t>
      </w:r>
    </w:p>
    <w:p w:rsidR="00C071A0" w:rsidRDefault="00C071A0" w:rsidP="00C071A0">
      <w:r>
        <w:t>WP14 – implementation method</w:t>
      </w:r>
    </w:p>
    <w:p w:rsidR="00C071A0" w:rsidRDefault="00C071A0" w:rsidP="00C071A0">
      <w:r>
        <w:t>IP05 w/attach – Tech Q&amp;A</w:t>
      </w:r>
    </w:p>
    <w:p w:rsidR="00C071A0" w:rsidRDefault="00C071A0" w:rsidP="00C071A0"/>
    <w:p w:rsidR="00C071A0" w:rsidRPr="00C071A0" w:rsidRDefault="00C071A0" w:rsidP="00C071A0">
      <w:pPr>
        <w:pStyle w:val="ListParagraph"/>
        <w:numPr>
          <w:ilvl w:val="0"/>
          <w:numId w:val="1"/>
        </w:numPr>
        <w:rPr>
          <w:b/>
          <w:bCs/>
        </w:rPr>
      </w:pPr>
      <w:r w:rsidRPr="00C071A0">
        <w:rPr>
          <w:b/>
          <w:bCs/>
        </w:rPr>
        <w:t>Coordination questions:</w:t>
      </w:r>
    </w:p>
    <w:p w:rsidR="00C071A0" w:rsidRDefault="00C071A0" w:rsidP="00C071A0"/>
    <w:p w:rsidR="00C071A0" w:rsidRDefault="00C071A0" w:rsidP="00C071A0">
      <w:r>
        <w:t>WP2 – Coordination question</w:t>
      </w:r>
    </w:p>
    <w:p w:rsidR="00C071A0" w:rsidRDefault="00C071A0" w:rsidP="00C071A0">
      <w:r>
        <w:t xml:space="preserve">WP11 – Position (but more </w:t>
      </w:r>
      <w:proofErr w:type="spellStart"/>
      <w:r>
        <w:t>coord</w:t>
      </w:r>
      <w:proofErr w:type="spellEnd"/>
      <w:r>
        <w:t>)</w:t>
      </w:r>
    </w:p>
    <w:p w:rsidR="00C071A0" w:rsidRDefault="00C071A0" w:rsidP="00C071A0">
      <w:r>
        <w:t xml:space="preserve">WP15 - ICAO </w:t>
      </w:r>
      <w:proofErr w:type="spellStart"/>
      <w:r>
        <w:t>freq</w:t>
      </w:r>
      <w:proofErr w:type="spellEnd"/>
      <w:r>
        <w:t xml:space="preserve"> </w:t>
      </w:r>
      <w:proofErr w:type="spellStart"/>
      <w:r>
        <w:t>coord</w:t>
      </w:r>
      <w:proofErr w:type="spellEnd"/>
    </w:p>
    <w:p w:rsidR="00C071A0" w:rsidRDefault="00C071A0" w:rsidP="00C071A0">
      <w:r>
        <w:t xml:space="preserve">WP17 – discussion of </w:t>
      </w:r>
      <w:proofErr w:type="spellStart"/>
      <w:r>
        <w:t>coord</w:t>
      </w:r>
      <w:proofErr w:type="spellEnd"/>
      <w:r>
        <w:t xml:space="preserve"> options</w:t>
      </w:r>
    </w:p>
    <w:p w:rsidR="00C071A0" w:rsidRDefault="00C071A0" w:rsidP="00C071A0">
      <w:r>
        <w:t>WP18 – analysis of Article 9 options</w:t>
      </w:r>
    </w:p>
    <w:p w:rsidR="00C071A0" w:rsidRDefault="00C071A0" w:rsidP="00C071A0">
      <w:r>
        <w:t xml:space="preserve">WP22 – Article 9 </w:t>
      </w:r>
      <w:proofErr w:type="spellStart"/>
      <w:r>
        <w:t>coord</w:t>
      </w:r>
      <w:proofErr w:type="spellEnd"/>
      <w:r>
        <w:t xml:space="preserve"> option</w:t>
      </w:r>
    </w:p>
    <w:p w:rsidR="00C071A0" w:rsidRPr="007467B0" w:rsidRDefault="00C071A0" w:rsidP="00C071A0">
      <w:r>
        <w:t xml:space="preserve">WP25 – APAC region </w:t>
      </w:r>
      <w:proofErr w:type="spellStart"/>
      <w:r>
        <w:t>coord</w:t>
      </w:r>
      <w:proofErr w:type="spellEnd"/>
      <w:r>
        <w:t xml:space="preserve"> process</w:t>
      </w:r>
    </w:p>
    <w:sectPr w:rsidR="00C071A0" w:rsidRPr="0074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243D"/>
    <w:multiLevelType w:val="hybridMultilevel"/>
    <w:tmpl w:val="6DCE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B1"/>
    <w:rsid w:val="00011CF5"/>
    <w:rsid w:val="000D23EC"/>
    <w:rsid w:val="003E51A8"/>
    <w:rsid w:val="003F1CB5"/>
    <w:rsid w:val="005F14B1"/>
    <w:rsid w:val="005F1D41"/>
    <w:rsid w:val="00604188"/>
    <w:rsid w:val="00674D47"/>
    <w:rsid w:val="007467B0"/>
    <w:rsid w:val="007C543B"/>
    <w:rsid w:val="008607A0"/>
    <w:rsid w:val="00875EFE"/>
    <w:rsid w:val="009C29D7"/>
    <w:rsid w:val="009E3FBB"/>
    <w:rsid w:val="00AE29BA"/>
    <w:rsid w:val="00C071A0"/>
    <w:rsid w:val="00C449A2"/>
    <w:rsid w:val="00E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2FB5"/>
  <w15:chartTrackingRefBased/>
  <w15:docId w15:val="{2CE33974-61DF-4419-86AE-017E0981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4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DFA56-1426-4C92-9F7E-44148BD6828D}"/>
</file>

<file path=customXml/itemProps2.xml><?xml version="1.0" encoding="utf-8"?>
<ds:datastoreItem xmlns:ds="http://schemas.openxmlformats.org/officeDocument/2006/customXml" ds:itemID="{D88CDCCD-1520-4154-8B75-A25027111755}"/>
</file>

<file path=customXml/itemProps3.xml><?xml version="1.0" encoding="utf-8"?>
<ds:datastoreItem xmlns:ds="http://schemas.openxmlformats.org/officeDocument/2006/customXml" ds:itemID="{520F48CA-E853-46EE-B345-A25A48D38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Biggs, Michael (FAA)</dc:creator>
  <cp:keywords/>
  <dc:description/>
  <cp:lastModifiedBy>Biggs, Michael (FAA)</cp:lastModifiedBy>
  <cp:revision>3</cp:revision>
  <dcterms:created xsi:type="dcterms:W3CDTF">2022-08-21T19:43:00Z</dcterms:created>
  <dcterms:modified xsi:type="dcterms:W3CDTF">2022-08-21T19:46:00Z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