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B52F9A" w14:textId="77777777" w:rsidR="00C62653" w:rsidRDefault="001449D6" w:rsidP="001449D6">
      <w:pPr>
        <w:jc w:val="center"/>
        <w:rPr>
          <w:b/>
        </w:rPr>
      </w:pPr>
      <w:r>
        <w:rPr>
          <w:b/>
          <w:sz w:val="24"/>
          <w:lang w:val="en-US"/>
        </w:rPr>
        <w:t>FREQUENCY SPECTRUM</w:t>
      </w:r>
      <w:r>
        <w:rPr>
          <w:b/>
        </w:rPr>
        <w:t xml:space="preserve"> </w:t>
      </w:r>
      <w:proofErr w:type="gramStart"/>
      <w:r>
        <w:rPr>
          <w:b/>
        </w:rPr>
        <w:t>MANGEMENT  PANEL</w:t>
      </w:r>
      <w:proofErr w:type="gramEnd"/>
      <w:r>
        <w:rPr>
          <w:b/>
        </w:rPr>
        <w:t xml:space="preserve"> (FS</w:t>
      </w:r>
      <w:r w:rsidR="00C62653">
        <w:rPr>
          <w:b/>
        </w:rPr>
        <w:t>MP)</w:t>
      </w:r>
    </w:p>
    <w:p w14:paraId="40EFD22E" w14:textId="77777777" w:rsidR="00C62653" w:rsidRDefault="00C62653" w:rsidP="00C62653">
      <w:pPr>
        <w:tabs>
          <w:tab w:val="left" w:pos="6972"/>
        </w:tabs>
        <w:jc w:val="center"/>
        <w:rPr>
          <w:b/>
        </w:rPr>
      </w:pPr>
    </w:p>
    <w:p w14:paraId="4B5F0122" w14:textId="77777777" w:rsidR="00C62653" w:rsidRDefault="005519FD" w:rsidP="00C62653">
      <w:pPr>
        <w:pStyle w:val="Maintitle"/>
      </w:pPr>
      <w:r>
        <w:t>SIXTH</w:t>
      </w:r>
      <w:r w:rsidR="00C62653">
        <w:t xml:space="preserve"> MEETING</w:t>
      </w:r>
    </w:p>
    <w:p w14:paraId="16BB47B3" w14:textId="77777777" w:rsidR="00C62653" w:rsidRDefault="001449D6" w:rsidP="001449D6">
      <w:pPr>
        <w:tabs>
          <w:tab w:val="left" w:pos="6551"/>
        </w:tabs>
      </w:pPr>
      <w:r>
        <w:tab/>
      </w:r>
    </w:p>
    <w:p w14:paraId="29BA6968" w14:textId="77777777" w:rsidR="00C62653" w:rsidRDefault="005519FD" w:rsidP="001449D6">
      <w:pPr>
        <w:pStyle w:val="Maintitle"/>
      </w:pPr>
      <w:r>
        <w:t>Mexico City, Mexico 8-15 February 2018</w:t>
      </w:r>
    </w:p>
    <w:p w14:paraId="6F6A8A47" w14:textId="77777777" w:rsidR="00770160" w:rsidRDefault="00770160" w:rsidP="00C62653">
      <w:pPr>
        <w:jc w:val="center"/>
      </w:pPr>
    </w:p>
    <w:p w14:paraId="6547BB47" w14:textId="77777777" w:rsidR="00770160" w:rsidRDefault="00770160">
      <w:pPr>
        <w:tabs>
          <w:tab w:val="left" w:pos="0"/>
          <w:tab w:val="left" w:pos="1570"/>
          <w:tab w:val="left" w:pos="1857"/>
        </w:tabs>
      </w:pPr>
      <w:bookmarkStart w:id="0" w:name="agenda_item"/>
      <w:bookmarkEnd w:id="0"/>
    </w:p>
    <w:p w14:paraId="0BE88BCE" w14:textId="77777777" w:rsidR="00770160" w:rsidRDefault="00770160">
      <w:pPr>
        <w:tabs>
          <w:tab w:val="left" w:pos="0"/>
          <w:tab w:val="left" w:pos="1570"/>
          <w:tab w:val="left" w:pos="1857"/>
        </w:tabs>
      </w:pPr>
    </w:p>
    <w:p w14:paraId="73481EB9" w14:textId="5C1855FB" w:rsidR="00770160" w:rsidRDefault="00770160">
      <w:pPr>
        <w:pStyle w:val="Agendaitemtitle"/>
        <w:rPr>
          <w:lang w:val="sv-SE"/>
        </w:rPr>
      </w:pPr>
      <w:r>
        <w:rPr>
          <w:lang w:val="sv-SE"/>
        </w:rPr>
        <w:t>Agenda Item </w:t>
      </w:r>
      <w:r w:rsidR="002A3EA5">
        <w:rPr>
          <w:lang w:val="sv-SE"/>
        </w:rPr>
        <w:t>XX</w:t>
      </w:r>
      <w:r>
        <w:rPr>
          <w:lang w:val="sv-SE"/>
        </w:rPr>
        <w:t>:</w:t>
      </w:r>
      <w:r>
        <w:rPr>
          <w:lang w:val="sv-SE"/>
        </w:rPr>
        <w:tab/>
      </w:r>
      <w:r w:rsidR="002A3EA5">
        <w:rPr>
          <w:lang w:val="sv-SE"/>
        </w:rPr>
        <w:t>Sharing and compatibility of systems in the RNS in the 31.8-33.4GHZ frequency range and IMT operating in the 31.8-33.4GHz frequency range</w:t>
      </w:r>
    </w:p>
    <w:p w14:paraId="30CF8496" w14:textId="77777777" w:rsidR="00770160" w:rsidRDefault="00770160">
      <w:pPr>
        <w:pStyle w:val="Agendaitemtitle"/>
        <w:rPr>
          <w:b w:val="0"/>
          <w:lang w:val="sv-SE"/>
        </w:rPr>
      </w:pPr>
    </w:p>
    <w:p w14:paraId="241E3F31" w14:textId="77777777" w:rsidR="00770160" w:rsidRDefault="00770160">
      <w:pPr>
        <w:tabs>
          <w:tab w:val="left" w:pos="6972"/>
        </w:tabs>
        <w:rPr>
          <w:b/>
          <w:lang w:val="sv-SE"/>
        </w:rPr>
      </w:pPr>
    </w:p>
    <w:p w14:paraId="376B0654" w14:textId="7D8E60FF" w:rsidR="00770160" w:rsidRDefault="005519FD">
      <w:pPr>
        <w:pStyle w:val="Maintitle"/>
      </w:pPr>
      <w:r>
        <w:t xml:space="preserve">Update on </w:t>
      </w:r>
      <w:r w:rsidR="002A3EA5">
        <w:t xml:space="preserve">TG 5/1 study </w:t>
      </w:r>
    </w:p>
    <w:p w14:paraId="1FDEA1F4" w14:textId="77777777" w:rsidR="00770160" w:rsidRDefault="00770160">
      <w:pPr>
        <w:tabs>
          <w:tab w:val="left" w:pos="6972"/>
        </w:tabs>
      </w:pPr>
    </w:p>
    <w:p w14:paraId="3AF7D486" w14:textId="77777777" w:rsidR="00770160" w:rsidRDefault="00770160">
      <w:pPr>
        <w:tabs>
          <w:tab w:val="left" w:pos="6972"/>
        </w:tabs>
      </w:pPr>
    </w:p>
    <w:p w14:paraId="50A0EC13" w14:textId="70877438" w:rsidR="00770160" w:rsidRDefault="00770160">
      <w:pPr>
        <w:jc w:val="center"/>
      </w:pPr>
      <w:r>
        <w:t>(Presented by</w:t>
      </w:r>
      <w:bookmarkStart w:id="1" w:name="presented_by"/>
      <w:bookmarkEnd w:id="1"/>
      <w:r>
        <w:t xml:space="preserve"> </w:t>
      </w:r>
      <w:r w:rsidR="002A3EA5">
        <w:t>XXX</w:t>
      </w:r>
      <w:r>
        <w:t>)</w:t>
      </w:r>
    </w:p>
    <w:p w14:paraId="488D751C" w14:textId="77777777" w:rsidR="00770160" w:rsidRDefault="00770160"/>
    <w:p w14:paraId="75D295B3" w14:textId="77777777" w:rsidR="00770160" w:rsidRDefault="00770160">
      <w:bookmarkStart w:id="2" w:name="_GoBack"/>
      <w:bookmarkEnd w:id="2"/>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112" w:type="dxa"/>
          <w:right w:w="112" w:type="dxa"/>
        </w:tblCellMar>
        <w:tblLook w:val="0000" w:firstRow="0" w:lastRow="0" w:firstColumn="0" w:lastColumn="0" w:noHBand="0" w:noVBand="0"/>
      </w:tblPr>
      <w:tblGrid>
        <w:gridCol w:w="7200"/>
      </w:tblGrid>
      <w:tr w:rsidR="00770160" w14:paraId="066576B3" w14:textId="77777777">
        <w:trPr>
          <w:cantSplit/>
          <w:trHeight w:hRule="exact" w:val="480"/>
          <w:jc w:val="center"/>
        </w:trPr>
        <w:tc>
          <w:tcPr>
            <w:tcW w:w="7200" w:type="dxa"/>
            <w:vAlign w:val="center"/>
          </w:tcPr>
          <w:p w14:paraId="2AC5EEC3" w14:textId="77777777" w:rsidR="00770160" w:rsidRDefault="00770160">
            <w:pPr>
              <w:jc w:val="center"/>
              <w:rPr>
                <w:sz w:val="24"/>
                <w:lang w:val="en-US"/>
              </w:rPr>
            </w:pPr>
            <w:r>
              <w:rPr>
                <w:b/>
              </w:rPr>
              <w:t>SUMMARY</w:t>
            </w:r>
          </w:p>
        </w:tc>
      </w:tr>
      <w:tr w:rsidR="00770160" w14:paraId="4F440DBB" w14:textId="77777777">
        <w:trPr>
          <w:cantSplit/>
          <w:jc w:val="center"/>
        </w:trPr>
        <w:tc>
          <w:tcPr>
            <w:tcW w:w="7200" w:type="dxa"/>
          </w:tcPr>
          <w:p w14:paraId="7D876BEB" w14:textId="1D35B2E6" w:rsidR="00770160" w:rsidRDefault="005519FD" w:rsidP="002A3EA5">
            <w:pPr>
              <w:rPr>
                <w:lang w:val="en-US"/>
              </w:rPr>
            </w:pPr>
            <w:r>
              <w:rPr>
                <w:lang w:val="en-US"/>
              </w:rPr>
              <w:t xml:space="preserve">This paper provides an update on the </w:t>
            </w:r>
            <w:r w:rsidR="0078457A">
              <w:rPr>
                <w:lang w:val="en-US"/>
              </w:rPr>
              <w:t xml:space="preserve">work carried out within </w:t>
            </w:r>
            <w:r w:rsidR="002A3EA5">
              <w:rPr>
                <w:lang w:val="en-US"/>
              </w:rPr>
              <w:t xml:space="preserve">ITU-R TG5/1 group </w:t>
            </w:r>
            <w:r w:rsidR="0078457A">
              <w:rPr>
                <w:lang w:val="en-US"/>
              </w:rPr>
              <w:t xml:space="preserve">on the </w:t>
            </w:r>
            <w:r w:rsidR="002A3EA5">
              <w:rPr>
                <w:lang w:val="en-US"/>
              </w:rPr>
              <w:t>sharing and compatibility studies between RNS and IMT 5G in the frequency band 31.8-33.4 GHz</w:t>
            </w:r>
          </w:p>
        </w:tc>
      </w:tr>
    </w:tbl>
    <w:p w14:paraId="00CFA66A" w14:textId="77777777" w:rsidR="00770160" w:rsidRDefault="00770160"/>
    <w:p w14:paraId="7C66F66F" w14:textId="77777777" w:rsidR="00770160" w:rsidRDefault="00770160">
      <w:pPr>
        <w:pStyle w:val="1Heading"/>
      </w:pPr>
      <w:r>
        <w:t>INTRODUCTION</w:t>
      </w:r>
    </w:p>
    <w:p w14:paraId="6981107A" w14:textId="77777777" w:rsidR="00677E20" w:rsidRDefault="00677E20" w:rsidP="00677E20">
      <w:pPr>
        <w:pStyle w:val="2para"/>
        <w:numPr>
          <w:ilvl w:val="0"/>
          <w:numId w:val="0"/>
        </w:numPr>
      </w:pPr>
      <w:r>
        <w:t xml:space="preserve">Recommendation M.1466-1 contains technical and operational characteristics of aeronautical </w:t>
      </w:r>
      <w:proofErr w:type="spellStart"/>
      <w:r>
        <w:t>radionavigation</w:t>
      </w:r>
      <w:proofErr w:type="spellEnd"/>
      <w:r>
        <w:t xml:space="preserve"> radars in particular a radar for Enhanced Flight Vision System (EFVS) fitted </w:t>
      </w:r>
      <w:proofErr w:type="spellStart"/>
      <w:r>
        <w:t>onboard</w:t>
      </w:r>
      <w:proofErr w:type="spellEnd"/>
      <w:r>
        <w:t xml:space="preserve"> aircraft that provides data to the pilot in order to reduce the decision height during landing phases in adverse weather conditions</w:t>
      </w:r>
      <w:r w:rsidR="00702279">
        <w:t>.</w:t>
      </w:r>
      <w:r>
        <w:t xml:space="preserve"> The progress of the development of the EFVS system in the frequency band 31.8-33.4GHz is provided in FSMP-WG06-Presentation04_EFVS 2018 02 –DA4.</w:t>
      </w:r>
    </w:p>
    <w:p w14:paraId="1508F7D6" w14:textId="1A821DF2" w:rsidR="00770160" w:rsidRDefault="00FA5C37" w:rsidP="00677E20">
      <w:pPr>
        <w:pStyle w:val="2para"/>
        <w:numPr>
          <w:ilvl w:val="0"/>
          <w:numId w:val="0"/>
        </w:numPr>
      </w:pPr>
      <w:hyperlink r:id="rId11" w:history="1">
        <w:r w:rsidR="00677E20" w:rsidRPr="00C513B0">
          <w:rPr>
            <w:rStyle w:val="Hyperlink"/>
          </w:rPr>
          <w:t>https://www.icao.int/safety/FSMP/MeetingDocs/FSMP%20WG6/Presentations/FSMP-WG06-Presentation04_EFVS%202018%2002%20-DA4.pdf</w:t>
        </w:r>
      </w:hyperlink>
    </w:p>
    <w:p w14:paraId="14189BCB" w14:textId="77777777" w:rsidR="00770160" w:rsidRDefault="00770160">
      <w:pPr>
        <w:pStyle w:val="1Heading"/>
      </w:pPr>
      <w:r>
        <w:t>DISCUSSION</w:t>
      </w:r>
    </w:p>
    <w:p w14:paraId="0FA18577" w14:textId="59600DA4" w:rsidR="00677E20" w:rsidRDefault="00702279" w:rsidP="00A459F8">
      <w:pPr>
        <w:pStyle w:val="2para"/>
      </w:pPr>
      <w:r>
        <w:t xml:space="preserve">As a result of the identification of the frequency bands </w:t>
      </w:r>
      <w:r w:rsidR="00677E20">
        <w:t xml:space="preserve">31.8-33.4GHz </w:t>
      </w:r>
      <w:r w:rsidR="00B639A8">
        <w:t xml:space="preserve">in Resolution </w:t>
      </w:r>
      <w:r w:rsidR="00B639A8" w:rsidRPr="00B639A8">
        <w:rPr>
          <w:b/>
        </w:rPr>
        <w:t>238 (WRC-15)</w:t>
      </w:r>
      <w:r w:rsidR="00B639A8">
        <w:t xml:space="preserve"> for </w:t>
      </w:r>
      <w:r w:rsidR="00677E20">
        <w:t xml:space="preserve">IMT 5G, TG5/1 is conducting the sharing and compatibility studies </w:t>
      </w:r>
      <w:r w:rsidR="00B639A8">
        <w:t>with RNS describes in Recommendation M.1466-1.</w:t>
      </w:r>
    </w:p>
    <w:p w14:paraId="0CA442A3" w14:textId="77777777" w:rsidR="00B563CE" w:rsidRDefault="00B639A8" w:rsidP="00B639A8">
      <w:pPr>
        <w:pStyle w:val="2para"/>
        <w:numPr>
          <w:ilvl w:val="0"/>
          <w:numId w:val="0"/>
        </w:numPr>
      </w:pPr>
      <w:r>
        <w:t xml:space="preserve">The last version of studies are available on IUT-R website under </w:t>
      </w:r>
      <w:hyperlink r:id="rId12" w:history="1">
        <w:r w:rsidRPr="00B639A8">
          <w:rPr>
            <w:rStyle w:val="Hyperlink"/>
          </w:rPr>
          <w:t>Attachment 1 to Annex 4 to 5-1/287</w:t>
        </w:r>
      </w:hyperlink>
      <w:r>
        <w:t>.</w:t>
      </w:r>
      <w:r w:rsidR="00B563CE">
        <w:t xml:space="preserve"> </w:t>
      </w:r>
    </w:p>
    <w:p w14:paraId="39A2AD7E" w14:textId="6ABF6257" w:rsidR="00B639A8" w:rsidRDefault="00B563CE" w:rsidP="00B639A8">
      <w:pPr>
        <w:pStyle w:val="2para"/>
        <w:numPr>
          <w:ilvl w:val="0"/>
          <w:numId w:val="0"/>
        </w:numPr>
      </w:pPr>
      <w:r>
        <w:t>Note: an ITU TIES account is required</w:t>
      </w:r>
      <w:r w:rsidR="00B639A8">
        <w:t>.</w:t>
      </w:r>
    </w:p>
    <w:p w14:paraId="0F1D866D" w14:textId="03F346F3" w:rsidR="00B72E78" w:rsidRDefault="00B639A8" w:rsidP="00B639A8">
      <w:pPr>
        <w:pStyle w:val="2para"/>
      </w:pPr>
      <w:r>
        <w:lastRenderedPageBreak/>
        <w:t xml:space="preserve">The </w:t>
      </w:r>
      <w:r w:rsidR="0071513D">
        <w:t xml:space="preserve">results of the various studies </w:t>
      </w:r>
      <w:r>
        <w:t xml:space="preserve">are summarized in the </w:t>
      </w:r>
      <w:proofErr w:type="spellStart"/>
      <w:r>
        <w:t>followingtable</w:t>
      </w:r>
      <w:proofErr w:type="spellEnd"/>
      <w:r>
        <w:t xml:space="preserve"> extracted from ITU-R document:</w:t>
      </w:r>
    </w:p>
    <w:p w14:paraId="3CDE1A52" w14:textId="7786E0B5" w:rsidR="008274CD" w:rsidRDefault="008274CD" w:rsidP="008274CD">
      <w:pPr>
        <w:pStyle w:val="2para"/>
        <w:numPr>
          <w:ilvl w:val="0"/>
          <w:numId w:val="0"/>
        </w:numPr>
      </w:pP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2212"/>
        <w:gridCol w:w="1984"/>
        <w:gridCol w:w="1701"/>
        <w:gridCol w:w="2126"/>
      </w:tblGrid>
      <w:tr w:rsidR="003C7BE7" w:rsidRPr="00894508" w14:paraId="72C7D6E1" w14:textId="77777777" w:rsidTr="003C7BE7">
        <w:trPr>
          <w:tblHeader/>
        </w:trPr>
        <w:tc>
          <w:tcPr>
            <w:tcW w:w="1724" w:type="dxa"/>
            <w:shd w:val="clear" w:color="auto" w:fill="BFBFBF"/>
          </w:tcPr>
          <w:p w14:paraId="76F5AA95" w14:textId="77777777" w:rsidR="008274CD" w:rsidRPr="003C7BE7" w:rsidRDefault="008274CD" w:rsidP="003606CA">
            <w:pPr>
              <w:pStyle w:val="Tablehead"/>
              <w:rPr>
                <w:rFonts w:eastAsia="Calibri"/>
                <w:sz w:val="16"/>
                <w:szCs w:val="16"/>
                <w:lang w:val="en-CA" w:eastAsia="ja-JP"/>
              </w:rPr>
            </w:pPr>
          </w:p>
        </w:tc>
        <w:tc>
          <w:tcPr>
            <w:tcW w:w="2212" w:type="dxa"/>
            <w:shd w:val="clear" w:color="auto" w:fill="BFBFBF"/>
          </w:tcPr>
          <w:p w14:paraId="4EDA42EC" w14:textId="77777777" w:rsidR="008274CD" w:rsidRPr="003C7BE7" w:rsidRDefault="008274CD" w:rsidP="003606CA">
            <w:pPr>
              <w:pStyle w:val="Tablehead"/>
              <w:rPr>
                <w:rFonts w:eastAsia="Calibri"/>
                <w:sz w:val="16"/>
                <w:szCs w:val="16"/>
                <w:lang w:val="en-CA" w:eastAsia="ja-JP"/>
              </w:rPr>
            </w:pPr>
            <w:r w:rsidRPr="003C7BE7">
              <w:rPr>
                <w:rFonts w:eastAsia="Calibri"/>
                <w:sz w:val="16"/>
                <w:szCs w:val="16"/>
                <w:lang w:val="en-CA" w:eastAsia="ja-JP"/>
              </w:rPr>
              <w:t>Study A</w:t>
            </w:r>
            <w:r w:rsidRPr="003C7BE7">
              <w:rPr>
                <w:rFonts w:eastAsia="Calibri"/>
                <w:sz w:val="16"/>
                <w:szCs w:val="16"/>
                <w:lang w:val="en-CA" w:eastAsia="ja-JP"/>
              </w:rPr>
              <w:br/>
              <w:t>[5-1/</w:t>
            </w:r>
            <w:hyperlink r:id="rId13" w:history="1">
              <w:r w:rsidRPr="003C7BE7">
                <w:rPr>
                  <w:rStyle w:val="Hyperlink"/>
                  <w:rFonts w:eastAsia="Calibri"/>
                  <w:sz w:val="16"/>
                  <w:szCs w:val="16"/>
                  <w:lang w:val="en-CA" w:eastAsia="ja-JP"/>
                </w:rPr>
                <w:t>69</w:t>
              </w:r>
            </w:hyperlink>
            <w:r w:rsidRPr="003C7BE7">
              <w:rPr>
                <w:rFonts w:eastAsia="Calibri"/>
                <w:sz w:val="16"/>
                <w:szCs w:val="16"/>
                <w:lang w:val="en-CA" w:eastAsia="ja-JP"/>
              </w:rPr>
              <w:t xml:space="preserve">, </w:t>
            </w:r>
            <w:hyperlink r:id="rId14" w:history="1">
              <w:r w:rsidRPr="003C7BE7">
                <w:rPr>
                  <w:rStyle w:val="Hyperlink"/>
                  <w:rFonts w:eastAsia="Calibri"/>
                  <w:sz w:val="16"/>
                  <w:szCs w:val="16"/>
                  <w:lang w:val="en-CA" w:eastAsia="ja-JP"/>
                </w:rPr>
                <w:t>252</w:t>
              </w:r>
            </w:hyperlink>
            <w:r w:rsidRPr="003C7BE7">
              <w:rPr>
                <w:rFonts w:eastAsia="Calibri"/>
                <w:sz w:val="16"/>
                <w:szCs w:val="16"/>
                <w:lang w:val="en-CA" w:eastAsia="ja-JP"/>
              </w:rPr>
              <w:t xml:space="preserve"> (F)]</w:t>
            </w:r>
          </w:p>
        </w:tc>
        <w:tc>
          <w:tcPr>
            <w:tcW w:w="1984" w:type="dxa"/>
            <w:shd w:val="clear" w:color="auto" w:fill="BFBFBF"/>
          </w:tcPr>
          <w:p w14:paraId="26464787" w14:textId="77777777" w:rsidR="008274CD" w:rsidRPr="003C7BE7" w:rsidRDefault="008274CD" w:rsidP="003606CA">
            <w:pPr>
              <w:pStyle w:val="Tablehead"/>
              <w:rPr>
                <w:rFonts w:eastAsia="Calibri"/>
                <w:sz w:val="16"/>
                <w:szCs w:val="16"/>
                <w:lang w:val="en-CA" w:eastAsia="ja-JP"/>
              </w:rPr>
            </w:pPr>
            <w:r w:rsidRPr="003C7BE7">
              <w:rPr>
                <w:rFonts w:eastAsia="Calibri"/>
                <w:sz w:val="16"/>
                <w:szCs w:val="16"/>
                <w:lang w:val="en-CA" w:eastAsia="ja-JP"/>
              </w:rPr>
              <w:t>Study B</w:t>
            </w:r>
            <w:r w:rsidRPr="003C7BE7">
              <w:rPr>
                <w:rFonts w:eastAsia="Calibri"/>
                <w:sz w:val="16"/>
                <w:szCs w:val="16"/>
                <w:lang w:val="en-CA" w:eastAsia="ja-JP"/>
              </w:rPr>
              <w:br/>
              <w:t>[5-1/</w:t>
            </w:r>
            <w:hyperlink r:id="rId15" w:history="1">
              <w:r w:rsidRPr="003C7BE7">
                <w:rPr>
                  <w:rStyle w:val="Hyperlink"/>
                  <w:rFonts w:eastAsia="MS Mincho"/>
                  <w:sz w:val="16"/>
                  <w:szCs w:val="16"/>
                  <w:lang w:val="en-CA" w:eastAsia="ja-JP"/>
                </w:rPr>
                <w:t>222</w:t>
              </w:r>
            </w:hyperlink>
            <w:r w:rsidRPr="003C7BE7">
              <w:rPr>
                <w:rFonts w:eastAsia="Calibri"/>
                <w:sz w:val="16"/>
                <w:szCs w:val="16"/>
                <w:lang w:val="en-CA" w:eastAsia="ja-JP"/>
              </w:rPr>
              <w:t xml:space="preserve"> (CHN)]</w:t>
            </w:r>
          </w:p>
        </w:tc>
        <w:tc>
          <w:tcPr>
            <w:tcW w:w="1701" w:type="dxa"/>
            <w:shd w:val="clear" w:color="auto" w:fill="BFBFBF"/>
          </w:tcPr>
          <w:p w14:paraId="7132E02E" w14:textId="77777777" w:rsidR="008274CD" w:rsidRPr="003C7BE7" w:rsidRDefault="008274CD" w:rsidP="003606CA">
            <w:pPr>
              <w:pStyle w:val="Tablehead"/>
              <w:rPr>
                <w:rFonts w:eastAsia="Calibri"/>
                <w:sz w:val="16"/>
                <w:szCs w:val="16"/>
                <w:lang w:val="en-CA" w:eastAsia="ja-JP"/>
              </w:rPr>
            </w:pPr>
            <w:r w:rsidRPr="003C7BE7">
              <w:rPr>
                <w:rFonts w:eastAsia="Calibri"/>
                <w:sz w:val="16"/>
                <w:szCs w:val="16"/>
                <w:lang w:val="en-CA" w:eastAsia="ja-JP"/>
              </w:rPr>
              <w:t>Study C</w:t>
            </w:r>
            <w:r w:rsidRPr="003C7BE7">
              <w:rPr>
                <w:rFonts w:eastAsia="Calibri"/>
                <w:sz w:val="16"/>
                <w:szCs w:val="16"/>
                <w:lang w:val="en-CA" w:eastAsia="ja-JP"/>
              </w:rPr>
              <w:br/>
              <w:t>[5-1/</w:t>
            </w:r>
            <w:hyperlink r:id="rId16" w:history="1">
              <w:r w:rsidRPr="003C7BE7">
                <w:rPr>
                  <w:rStyle w:val="Hyperlink"/>
                  <w:rFonts w:eastAsia="Calibri"/>
                  <w:sz w:val="16"/>
                  <w:szCs w:val="16"/>
                  <w:lang w:val="en-CA" w:eastAsia="ja-JP"/>
                </w:rPr>
                <w:t>214</w:t>
              </w:r>
            </w:hyperlink>
            <w:r w:rsidRPr="003C7BE7">
              <w:rPr>
                <w:rFonts w:eastAsia="Calibri"/>
                <w:sz w:val="16"/>
                <w:szCs w:val="16"/>
                <w:lang w:val="en-CA" w:eastAsia="ja-JP"/>
              </w:rPr>
              <w:t xml:space="preserve"> (USA)]</w:t>
            </w:r>
          </w:p>
        </w:tc>
        <w:tc>
          <w:tcPr>
            <w:tcW w:w="2126" w:type="dxa"/>
            <w:shd w:val="clear" w:color="auto" w:fill="BFBFBF"/>
          </w:tcPr>
          <w:p w14:paraId="47CF3242" w14:textId="77777777" w:rsidR="008274CD" w:rsidRPr="003C7BE7" w:rsidRDefault="008274CD" w:rsidP="003606CA">
            <w:pPr>
              <w:pStyle w:val="Tablehead"/>
              <w:rPr>
                <w:rFonts w:eastAsia="Calibri"/>
                <w:sz w:val="16"/>
                <w:szCs w:val="16"/>
                <w:lang w:val="en-CA" w:eastAsia="ja-JP"/>
              </w:rPr>
            </w:pPr>
            <w:r w:rsidRPr="003C7BE7">
              <w:rPr>
                <w:rFonts w:eastAsia="Calibri"/>
                <w:sz w:val="16"/>
                <w:szCs w:val="16"/>
                <w:lang w:val="en-CA" w:eastAsia="ja-JP"/>
              </w:rPr>
              <w:t>Study D</w:t>
            </w:r>
            <w:r w:rsidRPr="003C7BE7">
              <w:rPr>
                <w:rFonts w:eastAsia="Calibri"/>
                <w:sz w:val="16"/>
                <w:szCs w:val="16"/>
                <w:lang w:val="en-CA" w:eastAsia="ja-JP"/>
              </w:rPr>
              <w:br/>
              <w:t>[5-1/</w:t>
            </w:r>
            <w:hyperlink r:id="rId17" w:history="1">
              <w:r w:rsidRPr="003C7BE7">
                <w:rPr>
                  <w:rStyle w:val="Hyperlink"/>
                  <w:rFonts w:eastAsia="Calibri"/>
                  <w:sz w:val="16"/>
                  <w:szCs w:val="16"/>
                  <w:lang w:val="en-CA" w:eastAsia="ja-JP"/>
                </w:rPr>
                <w:t>125</w:t>
              </w:r>
            </w:hyperlink>
            <w:r w:rsidRPr="003C7BE7">
              <w:rPr>
                <w:rFonts w:eastAsia="Calibri"/>
                <w:sz w:val="16"/>
                <w:szCs w:val="16"/>
                <w:lang w:val="en-CA" w:eastAsia="ja-JP"/>
              </w:rPr>
              <w:t xml:space="preserve"> (RUS)]</w:t>
            </w:r>
          </w:p>
        </w:tc>
      </w:tr>
      <w:tr w:rsidR="003C7BE7" w:rsidRPr="00894508" w14:paraId="371EAD88" w14:textId="77777777" w:rsidTr="003C7BE7">
        <w:tc>
          <w:tcPr>
            <w:tcW w:w="1724" w:type="dxa"/>
            <w:shd w:val="clear" w:color="auto" w:fill="auto"/>
          </w:tcPr>
          <w:p w14:paraId="08CE0792" w14:textId="77777777" w:rsidR="008274CD" w:rsidRPr="003C7BE7" w:rsidRDefault="008274CD" w:rsidP="003606CA">
            <w:pPr>
              <w:pStyle w:val="Tabletext"/>
              <w:rPr>
                <w:rFonts w:ascii="Calibri" w:eastAsia="Calibri" w:hAnsi="Calibri" w:cs="Arial"/>
                <w:sz w:val="16"/>
                <w:szCs w:val="16"/>
                <w:lang w:val="en-CA" w:eastAsia="ja-JP"/>
              </w:rPr>
            </w:pPr>
            <w:r w:rsidRPr="003C7BE7">
              <w:rPr>
                <w:rFonts w:ascii="Calibri" w:eastAsia="Calibri" w:hAnsi="Calibri" w:cs="Arial"/>
                <w:sz w:val="16"/>
                <w:szCs w:val="16"/>
                <w:lang w:val="en-CA" w:eastAsia="ja-JP"/>
              </w:rPr>
              <w:t>Single-entry interference from an IMT station</w:t>
            </w:r>
          </w:p>
        </w:tc>
        <w:tc>
          <w:tcPr>
            <w:tcW w:w="2212" w:type="dxa"/>
            <w:shd w:val="clear" w:color="auto" w:fill="auto"/>
          </w:tcPr>
          <w:p w14:paraId="5515ADF4" w14:textId="77777777" w:rsidR="008274CD" w:rsidRPr="003C7BE7" w:rsidRDefault="008274CD" w:rsidP="003606CA">
            <w:pPr>
              <w:pStyle w:val="Tabletext"/>
              <w:rPr>
                <w:rFonts w:ascii="Calibri" w:eastAsia="Calibri" w:hAnsi="Calibri" w:cs="Arial"/>
                <w:sz w:val="16"/>
                <w:szCs w:val="16"/>
                <w:lang w:val="en-CA" w:eastAsia="ja-JP"/>
              </w:rPr>
            </w:pPr>
            <w:r w:rsidRPr="003C7BE7">
              <w:rPr>
                <w:rFonts w:ascii="Calibri" w:eastAsia="Calibri" w:hAnsi="Calibri" w:cs="Arial"/>
                <w:sz w:val="16"/>
                <w:szCs w:val="16"/>
                <w:lang w:val="en-CA" w:eastAsia="ja-JP"/>
              </w:rPr>
              <w:t>Deterministic</w:t>
            </w:r>
          </w:p>
          <w:p w14:paraId="3BBF522B" w14:textId="77777777" w:rsidR="008274CD" w:rsidRPr="003C7BE7" w:rsidRDefault="008274CD" w:rsidP="003606CA">
            <w:pPr>
              <w:pStyle w:val="Tabletext"/>
              <w:rPr>
                <w:rFonts w:ascii="Calibri" w:eastAsia="MS Mincho" w:hAnsi="Calibri" w:cs="Arial"/>
                <w:sz w:val="16"/>
                <w:szCs w:val="16"/>
                <w:lang w:val="en-CA" w:eastAsia="ja-JP"/>
              </w:rPr>
            </w:pPr>
            <w:r w:rsidRPr="003C7BE7">
              <w:rPr>
                <w:rFonts w:ascii="Calibri" w:eastAsia="Calibri" w:hAnsi="Calibri" w:cs="Arial"/>
                <w:sz w:val="16"/>
                <w:szCs w:val="16"/>
                <w:lang w:val="en-CA" w:eastAsia="ja-JP"/>
              </w:rPr>
              <w:t>Suburban open space-optional deployment scenario only</w:t>
            </w:r>
          </w:p>
          <w:p w14:paraId="35BFFE02" w14:textId="77777777" w:rsidR="008274CD" w:rsidRPr="003C7BE7" w:rsidRDefault="008274CD" w:rsidP="003606CA">
            <w:pPr>
              <w:pStyle w:val="Tabletext"/>
              <w:rPr>
                <w:rFonts w:ascii="Calibri" w:eastAsia="Calibri" w:hAnsi="Calibri" w:cs="Arial"/>
                <w:b/>
                <w:sz w:val="16"/>
                <w:szCs w:val="16"/>
                <w:lang w:val="en-CA" w:eastAsia="ja-JP"/>
              </w:rPr>
            </w:pPr>
            <w:r w:rsidRPr="003C7BE7">
              <w:rPr>
                <w:rFonts w:ascii="Calibri" w:eastAsia="Calibri" w:hAnsi="Calibri" w:cs="Arial"/>
                <w:b/>
                <w:sz w:val="16"/>
                <w:szCs w:val="16"/>
                <w:lang w:val="en-CA" w:eastAsia="ja-JP"/>
              </w:rPr>
              <w:t>Study A-1</w:t>
            </w:r>
          </w:p>
          <w:p w14:paraId="21806A05" w14:textId="77777777" w:rsidR="008274CD" w:rsidRPr="003C7BE7" w:rsidRDefault="008274CD" w:rsidP="003606CA">
            <w:pPr>
              <w:pStyle w:val="Tabletext"/>
              <w:rPr>
                <w:rFonts w:ascii="Calibri" w:eastAsia="Calibri" w:hAnsi="Calibri" w:cs="Arial"/>
                <w:sz w:val="16"/>
                <w:szCs w:val="16"/>
                <w:lang w:val="en-CA" w:eastAsia="ja-JP"/>
              </w:rPr>
            </w:pPr>
            <w:r w:rsidRPr="003C7BE7">
              <w:rPr>
                <w:rFonts w:ascii="Calibri" w:eastAsia="Calibri" w:hAnsi="Calibri" w:cs="Arial"/>
                <w:sz w:val="16"/>
                <w:szCs w:val="16"/>
                <w:lang w:val="en-CA" w:eastAsia="ja-JP"/>
              </w:rPr>
              <w:t>When considering the case of no discrimination angle (0°), the horizon distance of the aircraft exceeds 60 km resulting in having protection distance close to 100 km because of the additional loss (more than 30 dB) that has to be compensated</w:t>
            </w:r>
          </w:p>
        </w:tc>
        <w:tc>
          <w:tcPr>
            <w:tcW w:w="1984" w:type="dxa"/>
            <w:shd w:val="clear" w:color="auto" w:fill="auto"/>
          </w:tcPr>
          <w:p w14:paraId="56700CBE" w14:textId="77777777" w:rsidR="008274CD" w:rsidRPr="003C7BE7" w:rsidRDefault="008274CD" w:rsidP="003C7BE7">
            <w:pPr>
              <w:pStyle w:val="Tabletext"/>
              <w:jc w:val="center"/>
              <w:rPr>
                <w:rFonts w:ascii="Calibri" w:eastAsia="Calibri" w:hAnsi="Calibri" w:cs="Arial"/>
                <w:sz w:val="16"/>
                <w:szCs w:val="16"/>
                <w:lang w:val="en-CA" w:eastAsia="ja-JP"/>
              </w:rPr>
            </w:pPr>
            <w:r w:rsidRPr="003C7BE7">
              <w:rPr>
                <w:rFonts w:ascii="Calibri" w:eastAsia="Calibri" w:hAnsi="Calibri" w:cs="Arial"/>
                <w:sz w:val="16"/>
                <w:szCs w:val="16"/>
                <w:lang w:val="en-CA" w:eastAsia="ja-JP"/>
              </w:rPr>
              <w:t>–</w:t>
            </w:r>
          </w:p>
        </w:tc>
        <w:tc>
          <w:tcPr>
            <w:tcW w:w="1701" w:type="dxa"/>
            <w:shd w:val="clear" w:color="auto" w:fill="auto"/>
          </w:tcPr>
          <w:p w14:paraId="23A5C771" w14:textId="77777777" w:rsidR="008274CD" w:rsidRPr="003C7BE7" w:rsidRDefault="008274CD" w:rsidP="003606CA">
            <w:pPr>
              <w:pStyle w:val="Tabletext"/>
              <w:rPr>
                <w:rFonts w:ascii="Calibri" w:eastAsia="Calibri" w:hAnsi="Calibri" w:cs="Arial"/>
                <w:sz w:val="16"/>
                <w:szCs w:val="16"/>
                <w:lang w:val="en-CA" w:eastAsia="ja-JP"/>
              </w:rPr>
            </w:pPr>
            <w:r w:rsidRPr="003C7BE7">
              <w:rPr>
                <w:rFonts w:ascii="Calibri" w:eastAsia="Calibri" w:hAnsi="Calibri" w:cs="Arial"/>
                <w:sz w:val="16"/>
                <w:szCs w:val="16"/>
                <w:lang w:val="en-CA" w:eastAsia="ja-JP"/>
              </w:rPr>
              <w:t>Only aggregate interference is considered</w:t>
            </w:r>
          </w:p>
        </w:tc>
        <w:tc>
          <w:tcPr>
            <w:tcW w:w="2126" w:type="dxa"/>
            <w:shd w:val="clear" w:color="auto" w:fill="auto"/>
          </w:tcPr>
          <w:p w14:paraId="29E0FB8A" w14:textId="77777777" w:rsidR="008274CD" w:rsidRPr="003C7BE7" w:rsidRDefault="008274CD" w:rsidP="003606CA">
            <w:pPr>
              <w:pStyle w:val="Tabletext"/>
              <w:rPr>
                <w:rFonts w:ascii="Calibri" w:eastAsia="Calibri" w:hAnsi="Calibri" w:cs="Arial"/>
                <w:sz w:val="16"/>
                <w:szCs w:val="16"/>
                <w:lang w:val="en-CA" w:eastAsia="ja-JP"/>
              </w:rPr>
            </w:pPr>
            <w:r w:rsidRPr="003C7BE7">
              <w:rPr>
                <w:rFonts w:ascii="Calibri" w:eastAsia="Calibri" w:hAnsi="Calibri" w:cs="Arial"/>
                <w:sz w:val="16"/>
                <w:szCs w:val="16"/>
                <w:lang w:val="en-CA" w:eastAsia="ja-JP"/>
              </w:rPr>
              <w:t>The protection distance from one BS can range from 7 km to 17 km. The protection distance from one UE ranges from 10 km to 24 km taking into account terminal body loss.</w:t>
            </w:r>
          </w:p>
        </w:tc>
      </w:tr>
      <w:tr w:rsidR="003C7BE7" w:rsidRPr="00894508" w14:paraId="26CD8D20" w14:textId="77777777" w:rsidTr="003C7BE7">
        <w:tc>
          <w:tcPr>
            <w:tcW w:w="1724" w:type="dxa"/>
            <w:shd w:val="clear" w:color="auto" w:fill="auto"/>
          </w:tcPr>
          <w:p w14:paraId="2EF4106D" w14:textId="77777777" w:rsidR="008274CD" w:rsidRPr="003C7BE7" w:rsidRDefault="008274CD" w:rsidP="003606CA">
            <w:pPr>
              <w:pStyle w:val="Tabletext"/>
              <w:rPr>
                <w:rFonts w:ascii="Calibri" w:eastAsia="Calibri" w:hAnsi="Calibri" w:cs="Arial"/>
                <w:sz w:val="16"/>
                <w:szCs w:val="16"/>
                <w:lang w:val="en-CA" w:eastAsia="ja-JP"/>
              </w:rPr>
            </w:pPr>
            <w:r w:rsidRPr="003C7BE7">
              <w:rPr>
                <w:rFonts w:ascii="Calibri" w:eastAsia="Calibri" w:hAnsi="Calibri" w:cs="Arial"/>
                <w:sz w:val="16"/>
                <w:szCs w:val="16"/>
                <w:lang w:val="en-CA" w:eastAsia="ja-JP"/>
              </w:rPr>
              <w:t>Aggregated interference from multiple IMT stations</w:t>
            </w:r>
          </w:p>
        </w:tc>
        <w:tc>
          <w:tcPr>
            <w:tcW w:w="2212" w:type="dxa"/>
            <w:shd w:val="clear" w:color="auto" w:fill="auto"/>
          </w:tcPr>
          <w:p w14:paraId="4464DCEA" w14:textId="77777777" w:rsidR="008274CD" w:rsidRPr="003C7BE7" w:rsidRDefault="008274CD" w:rsidP="003606CA">
            <w:pPr>
              <w:pStyle w:val="Tabletext"/>
              <w:rPr>
                <w:rFonts w:ascii="Calibri" w:eastAsia="Calibri" w:hAnsi="Calibri" w:cs="Arial"/>
                <w:b/>
                <w:sz w:val="16"/>
                <w:szCs w:val="16"/>
                <w:lang w:val="en-CA" w:eastAsia="ja-JP"/>
              </w:rPr>
            </w:pPr>
            <w:r w:rsidRPr="003C7BE7">
              <w:rPr>
                <w:rFonts w:ascii="Calibri" w:eastAsia="Calibri" w:hAnsi="Calibri" w:cs="Arial"/>
                <w:b/>
                <w:sz w:val="16"/>
                <w:szCs w:val="16"/>
                <w:lang w:val="en-CA" w:eastAsia="ja-JP"/>
              </w:rPr>
              <w:t>Study A-2</w:t>
            </w:r>
          </w:p>
          <w:p w14:paraId="6C7BDE7D" w14:textId="77777777" w:rsidR="008274CD" w:rsidRPr="003C7BE7" w:rsidRDefault="008274CD" w:rsidP="003606CA">
            <w:pPr>
              <w:pStyle w:val="Tabletext"/>
              <w:rPr>
                <w:rFonts w:ascii="Calibri" w:eastAsia="Calibri" w:hAnsi="Calibri" w:cs="Arial"/>
                <w:b/>
                <w:sz w:val="16"/>
                <w:szCs w:val="16"/>
                <w:lang w:val="en-CA" w:eastAsia="ja-JP"/>
              </w:rPr>
            </w:pPr>
            <w:r w:rsidRPr="003C7BE7">
              <w:rPr>
                <w:rFonts w:ascii="Calibri" w:eastAsia="Calibri" w:hAnsi="Calibri" w:cs="Arial"/>
                <w:sz w:val="16"/>
                <w:szCs w:val="16"/>
                <w:lang w:val="en-CA" w:eastAsia="ja-JP"/>
              </w:rPr>
              <w:t>A sharing analysis with the aggregated effect of BSs interference confirmed similar results in the Study A-1, i.e. that the probability of exceeding the interference level of the radar is high (&gt;25%).</w:t>
            </w:r>
          </w:p>
        </w:tc>
        <w:tc>
          <w:tcPr>
            <w:tcW w:w="1984" w:type="dxa"/>
            <w:shd w:val="clear" w:color="auto" w:fill="auto"/>
          </w:tcPr>
          <w:p w14:paraId="67134750" w14:textId="77777777" w:rsidR="008274CD" w:rsidRPr="003C7BE7" w:rsidRDefault="008274CD" w:rsidP="003606CA">
            <w:pPr>
              <w:pStyle w:val="Tabletext"/>
              <w:rPr>
                <w:rFonts w:ascii="Calibri" w:eastAsia="Calibri" w:hAnsi="Calibri" w:cs="Arial"/>
                <w:b/>
                <w:sz w:val="16"/>
                <w:szCs w:val="16"/>
                <w:lang w:val="en-CA" w:eastAsia="ja-JP"/>
              </w:rPr>
            </w:pPr>
            <w:r w:rsidRPr="003C7BE7">
              <w:rPr>
                <w:rFonts w:ascii="Calibri" w:eastAsia="Calibri" w:hAnsi="Calibri" w:cs="Arial"/>
                <w:b/>
                <w:sz w:val="16"/>
                <w:szCs w:val="16"/>
                <w:lang w:val="en-CA" w:eastAsia="ja-JP"/>
              </w:rPr>
              <w:t>Study B-1</w:t>
            </w:r>
          </w:p>
          <w:p w14:paraId="69A3A319" w14:textId="77777777" w:rsidR="008274CD" w:rsidRPr="003C7BE7" w:rsidRDefault="008274CD" w:rsidP="003606CA">
            <w:pPr>
              <w:pStyle w:val="Tabletext"/>
              <w:rPr>
                <w:rFonts w:ascii="Calibri" w:eastAsia="Calibri" w:hAnsi="Calibri" w:cs="Arial"/>
                <w:color w:val="000000"/>
                <w:sz w:val="16"/>
                <w:szCs w:val="16"/>
                <w:lang w:val="en-CA" w:eastAsia="ja-JP"/>
              </w:rPr>
            </w:pPr>
            <w:r w:rsidRPr="003C7BE7">
              <w:rPr>
                <w:rFonts w:ascii="Calibri" w:eastAsia="Calibri" w:hAnsi="Calibri" w:cs="Arial"/>
                <w:sz w:val="16"/>
                <w:szCs w:val="16"/>
                <w:lang w:val="en-CA" w:eastAsia="ja-JP"/>
              </w:rPr>
              <w:t>Maximum interference probability is 13 %, 14 % and 13% for RNS</w:t>
            </w:r>
            <w:r w:rsidRPr="003C7BE7">
              <w:rPr>
                <w:rFonts w:ascii="Calibri" w:eastAsia="Calibri" w:hAnsi="Calibri" w:cs="Arial"/>
                <w:sz w:val="16"/>
                <w:szCs w:val="16"/>
                <w:lang w:val="en-CA" w:eastAsia="zh-CN"/>
              </w:rPr>
              <w:t xml:space="preserve"> Radar No</w:t>
            </w:r>
            <w:r w:rsidRPr="003C7BE7">
              <w:rPr>
                <w:rFonts w:ascii="Calibri" w:eastAsia="Calibri" w:hAnsi="Calibri" w:cs="Arial"/>
                <w:sz w:val="16"/>
                <w:szCs w:val="16"/>
                <w:lang w:val="en-CA" w:eastAsia="ja-JP"/>
              </w:rPr>
              <w:t>s.1, 2 and 3, respectively</w:t>
            </w:r>
            <w:r w:rsidRPr="003C7BE7">
              <w:rPr>
                <w:rFonts w:ascii="Calibri" w:eastAsia="Calibri" w:hAnsi="Calibri" w:cs="Arial"/>
                <w:color w:val="000000"/>
                <w:sz w:val="16"/>
                <w:szCs w:val="16"/>
                <w:lang w:val="en-CA" w:eastAsia="ja-JP"/>
              </w:rPr>
              <w:t xml:space="preserve"> with the </w:t>
            </w:r>
            <w:r w:rsidRPr="003C7BE7">
              <w:rPr>
                <w:rFonts w:ascii="Calibri" w:eastAsia="DengXian" w:hAnsi="Calibri" w:cs="Arial"/>
                <w:color w:val="000000"/>
                <w:sz w:val="16"/>
                <w:szCs w:val="16"/>
                <w:lang w:val="en-CA" w:eastAsia="zh-CN"/>
              </w:rPr>
              <w:t>random values of</w:t>
            </w:r>
            <w:r w:rsidRPr="003C7BE7">
              <w:rPr>
                <w:rFonts w:ascii="Calibri" w:eastAsia="Calibri" w:hAnsi="Calibri" w:cs="Arial"/>
                <w:color w:val="000000"/>
                <w:sz w:val="16"/>
                <w:szCs w:val="16"/>
                <w:lang w:val="en-CA" w:eastAsia="ja-JP"/>
              </w:rPr>
              <w:t xml:space="preserve"> percentage of locations.</w:t>
            </w:r>
          </w:p>
          <w:p w14:paraId="45B4EA85" w14:textId="77777777" w:rsidR="008274CD" w:rsidRPr="003C7BE7" w:rsidRDefault="008274CD" w:rsidP="003606CA">
            <w:pPr>
              <w:pStyle w:val="Tabletext"/>
              <w:rPr>
                <w:rFonts w:ascii="Calibri" w:eastAsia="Calibri" w:hAnsi="Calibri" w:cs="Arial"/>
                <w:sz w:val="16"/>
                <w:szCs w:val="16"/>
                <w:lang w:val="en-CA" w:eastAsia="ja-JP"/>
              </w:rPr>
            </w:pPr>
            <w:r w:rsidRPr="003C7BE7">
              <w:rPr>
                <w:rFonts w:ascii="Calibri" w:eastAsia="Calibri" w:hAnsi="Calibri" w:cs="Arial"/>
                <w:sz w:val="16"/>
                <w:szCs w:val="16"/>
                <w:lang w:val="en-CA" w:eastAsia="ja-JP"/>
              </w:rPr>
              <w:t>Maximum interference probability is 40%, 43 % and 20% for RNS</w:t>
            </w:r>
            <w:r w:rsidRPr="003C7BE7">
              <w:rPr>
                <w:rFonts w:ascii="Calibri" w:eastAsia="Calibri" w:hAnsi="Calibri" w:cs="Arial"/>
                <w:sz w:val="16"/>
                <w:szCs w:val="16"/>
                <w:lang w:val="en-CA" w:eastAsia="zh-CN"/>
              </w:rPr>
              <w:t xml:space="preserve"> Radar No</w:t>
            </w:r>
            <w:r w:rsidRPr="003C7BE7">
              <w:rPr>
                <w:rFonts w:ascii="Calibri" w:eastAsia="Calibri" w:hAnsi="Calibri" w:cs="Arial"/>
                <w:sz w:val="16"/>
                <w:szCs w:val="16"/>
                <w:lang w:val="en-CA" w:eastAsia="ja-JP"/>
              </w:rPr>
              <w:t>s.1, 2 and 3, respectively with</w:t>
            </w:r>
            <w:r w:rsidRPr="003C7BE7">
              <w:rPr>
                <w:rFonts w:ascii="Calibri" w:eastAsia="Calibri" w:hAnsi="Calibri" w:cs="Arial"/>
                <w:color w:val="000000"/>
                <w:sz w:val="16"/>
                <w:szCs w:val="16"/>
                <w:lang w:val="en-CA" w:eastAsia="ja-JP"/>
              </w:rPr>
              <w:t xml:space="preserve"> the 10% </w:t>
            </w:r>
            <w:r w:rsidRPr="003C7BE7">
              <w:rPr>
                <w:rFonts w:ascii="Calibri" w:eastAsia="DengXian" w:hAnsi="Calibri" w:cs="Arial"/>
                <w:color w:val="000000"/>
                <w:sz w:val="16"/>
                <w:szCs w:val="16"/>
                <w:lang w:val="en-CA" w:eastAsia="zh-CN"/>
              </w:rPr>
              <w:t xml:space="preserve">of </w:t>
            </w:r>
            <w:r w:rsidRPr="003C7BE7">
              <w:rPr>
                <w:rFonts w:ascii="Calibri" w:eastAsia="Calibri" w:hAnsi="Calibri" w:cs="Arial"/>
                <w:color w:val="000000"/>
                <w:sz w:val="16"/>
                <w:szCs w:val="16"/>
                <w:lang w:val="en-CA" w:eastAsia="ja-JP"/>
              </w:rPr>
              <w:t>percentage of locations.</w:t>
            </w:r>
          </w:p>
          <w:p w14:paraId="4895D47F" w14:textId="77777777" w:rsidR="008274CD" w:rsidRPr="003C7BE7" w:rsidRDefault="008274CD" w:rsidP="003606CA">
            <w:pPr>
              <w:pStyle w:val="Tabletext"/>
              <w:rPr>
                <w:rFonts w:ascii="Calibri" w:eastAsia="Calibri" w:hAnsi="Calibri" w:cs="Arial"/>
                <w:b/>
                <w:sz w:val="16"/>
                <w:szCs w:val="16"/>
                <w:lang w:val="en-CA" w:eastAsia="ja-JP"/>
              </w:rPr>
            </w:pPr>
            <w:r w:rsidRPr="003C7BE7">
              <w:rPr>
                <w:rFonts w:ascii="Calibri" w:eastAsia="Calibri" w:hAnsi="Calibri" w:cs="Arial"/>
                <w:b/>
                <w:sz w:val="16"/>
                <w:szCs w:val="16"/>
                <w:lang w:val="en-CA" w:eastAsia="ja-JP"/>
              </w:rPr>
              <w:t>Study B-2</w:t>
            </w:r>
          </w:p>
          <w:p w14:paraId="3705E05B" w14:textId="77777777" w:rsidR="008274CD" w:rsidRPr="003C7BE7" w:rsidRDefault="008274CD" w:rsidP="003606CA">
            <w:pPr>
              <w:pStyle w:val="Tabletext"/>
              <w:rPr>
                <w:rFonts w:ascii="Calibri" w:eastAsia="Calibri" w:hAnsi="Calibri" w:cs="Arial"/>
                <w:sz w:val="16"/>
                <w:szCs w:val="16"/>
                <w:lang w:val="en-CA" w:eastAsia="ja-JP"/>
              </w:rPr>
            </w:pPr>
            <w:r w:rsidRPr="003C7BE7">
              <w:rPr>
                <w:rFonts w:ascii="Calibri" w:eastAsia="Calibri" w:hAnsi="Calibri" w:cs="Arial"/>
                <w:sz w:val="16"/>
                <w:szCs w:val="16"/>
                <w:lang w:val="en-CA" w:eastAsia="ja-JP"/>
              </w:rPr>
              <w:t>Interference to the RNS Radar Nos. 1 and 2 appears from about 25 km to the left edge of the city to about 25 km to the right edge of the city as the aircraft flies over the city.</w:t>
            </w:r>
          </w:p>
          <w:p w14:paraId="777CE330" w14:textId="77777777" w:rsidR="008274CD" w:rsidRPr="003C7BE7" w:rsidRDefault="008274CD" w:rsidP="003606CA">
            <w:pPr>
              <w:pStyle w:val="Tabletext"/>
              <w:rPr>
                <w:rFonts w:ascii="Calibri" w:eastAsia="Calibri" w:hAnsi="Calibri" w:cs="Arial"/>
                <w:b/>
                <w:sz w:val="16"/>
                <w:szCs w:val="16"/>
                <w:lang w:val="en-CA" w:eastAsia="ja-JP"/>
              </w:rPr>
            </w:pPr>
            <w:r w:rsidRPr="003C7BE7">
              <w:rPr>
                <w:rFonts w:ascii="Calibri" w:eastAsia="Calibri" w:hAnsi="Calibri" w:cs="Arial"/>
                <w:sz w:val="16"/>
                <w:szCs w:val="16"/>
                <w:lang w:val="en-CA" w:eastAsia="ja-JP"/>
              </w:rPr>
              <w:t>Interference to the RNS Radar No. 3 appears from the left edge of the city to the right edge of the city as the aircraft flies over the city.</w:t>
            </w:r>
          </w:p>
        </w:tc>
        <w:tc>
          <w:tcPr>
            <w:tcW w:w="1701" w:type="dxa"/>
            <w:shd w:val="clear" w:color="auto" w:fill="auto"/>
          </w:tcPr>
          <w:p w14:paraId="0D24AA5E" w14:textId="77777777" w:rsidR="008274CD" w:rsidRPr="003C7BE7" w:rsidRDefault="008274CD" w:rsidP="003606CA">
            <w:pPr>
              <w:pStyle w:val="Tabletext"/>
              <w:rPr>
                <w:rFonts w:ascii="Calibri" w:eastAsia="Calibri" w:hAnsi="Calibri" w:cs="Arial"/>
                <w:b/>
                <w:sz w:val="16"/>
                <w:szCs w:val="16"/>
                <w:lang w:val="en-CA" w:eastAsia="ja-JP"/>
              </w:rPr>
            </w:pPr>
          </w:p>
        </w:tc>
        <w:tc>
          <w:tcPr>
            <w:tcW w:w="2126" w:type="dxa"/>
            <w:shd w:val="clear" w:color="auto" w:fill="auto"/>
          </w:tcPr>
          <w:p w14:paraId="52A88A46" w14:textId="77777777" w:rsidR="008274CD" w:rsidRPr="003C7BE7" w:rsidRDefault="008274CD" w:rsidP="003606CA">
            <w:pPr>
              <w:pStyle w:val="Tabletext"/>
              <w:rPr>
                <w:rFonts w:ascii="Calibri" w:eastAsia="Calibri" w:hAnsi="Calibri" w:cs="Arial"/>
                <w:b/>
                <w:sz w:val="16"/>
                <w:szCs w:val="16"/>
                <w:lang w:val="en-CA" w:eastAsia="ja-JP"/>
              </w:rPr>
            </w:pPr>
            <w:r w:rsidRPr="003C7BE7">
              <w:rPr>
                <w:rFonts w:ascii="Calibri" w:eastAsia="Calibri" w:hAnsi="Calibri" w:cs="Arial"/>
                <w:sz w:val="16"/>
                <w:szCs w:val="16"/>
                <w:lang w:val="en-CA" w:eastAsia="ja-JP"/>
              </w:rPr>
              <w:t>In case of aggregate interference estimation even with a small number of IMT stations the protection distance considerably increases and ranges from 37 km to 95 km (for BS) and from 96 km to 245 km (for UE with terminal body loss).</w:t>
            </w:r>
          </w:p>
        </w:tc>
      </w:tr>
    </w:tbl>
    <w:p w14:paraId="0C676E0D" w14:textId="473DB1C1" w:rsidR="008274CD" w:rsidRDefault="008274CD" w:rsidP="008274CD">
      <w:pPr>
        <w:pStyle w:val="2para"/>
        <w:numPr>
          <w:ilvl w:val="0"/>
          <w:numId w:val="0"/>
        </w:numPr>
      </w:pPr>
      <w:r>
        <w:t>“</w:t>
      </w:r>
    </w:p>
    <w:p w14:paraId="24D92589" w14:textId="77777777" w:rsidR="008274CD" w:rsidRDefault="008274CD" w:rsidP="008274CD">
      <w:pPr>
        <w:pStyle w:val="2para"/>
        <w:numPr>
          <w:ilvl w:val="0"/>
          <w:numId w:val="0"/>
        </w:numPr>
      </w:pPr>
    </w:p>
    <w:p w14:paraId="3981CC3E" w14:textId="77777777" w:rsidR="008274CD" w:rsidRDefault="008274CD" w:rsidP="008274CD">
      <w:pPr>
        <w:pStyle w:val="2para"/>
        <w:numPr>
          <w:ilvl w:val="0"/>
          <w:numId w:val="0"/>
        </w:numPr>
      </w:pPr>
    </w:p>
    <w:p w14:paraId="3A941EF9" w14:textId="77777777" w:rsidR="00770160" w:rsidRDefault="00A459F8">
      <w:pPr>
        <w:pStyle w:val="1Heading"/>
      </w:pPr>
      <w:r>
        <w:lastRenderedPageBreak/>
        <w:t>CONCLUSION</w:t>
      </w:r>
    </w:p>
    <w:p w14:paraId="4EFE4E4E" w14:textId="3CC4E470" w:rsidR="000B19FA" w:rsidRPr="00A459F8" w:rsidRDefault="00B563CE" w:rsidP="00B563CE">
      <w:pPr>
        <w:pStyle w:val="2para"/>
        <w:numPr>
          <w:ilvl w:val="0"/>
          <w:numId w:val="0"/>
        </w:numPr>
      </w:pPr>
      <w:r>
        <w:tab/>
      </w:r>
      <w:r w:rsidR="000B19FA">
        <w:t xml:space="preserve">These </w:t>
      </w:r>
      <w:r w:rsidR="008274CD">
        <w:t xml:space="preserve">current </w:t>
      </w:r>
      <w:r w:rsidR="000B19FA">
        <w:t xml:space="preserve">studies </w:t>
      </w:r>
      <w:r w:rsidR="008274CD">
        <w:t>even if they still have to be finalized</w:t>
      </w:r>
      <w:r w:rsidR="00333857">
        <w:t>,</w:t>
      </w:r>
      <w:r w:rsidR="008274CD">
        <w:t xml:space="preserve"> lead to the conclusion that sharing between</w:t>
      </w:r>
      <w:r w:rsidR="00333857">
        <w:t xml:space="preserve"> IMT 5G and RNS is not possible</w:t>
      </w:r>
      <w:r w:rsidR="000B19FA">
        <w:t>.</w:t>
      </w:r>
    </w:p>
    <w:p w14:paraId="1B5D93B2" w14:textId="1CA83773" w:rsidR="00A12CBA" w:rsidRDefault="00770160" w:rsidP="00AD76FD">
      <w:pPr>
        <w:spacing w:before="600"/>
        <w:jc w:val="center"/>
      </w:pPr>
      <w:r>
        <w:t>— END —</w:t>
      </w:r>
    </w:p>
    <w:sectPr w:rsidR="00A12CBA">
      <w:headerReference w:type="even" r:id="rId18"/>
      <w:headerReference w:type="default" r:id="rId19"/>
      <w:headerReference w:type="first" r:id="rId20"/>
      <w:footerReference w:type="first" r:id="rId21"/>
      <w:pgSz w:w="12242" w:h="15842" w:code="1"/>
      <w:pgMar w:top="1627" w:right="1247" w:bottom="1440" w:left="1247" w:header="1009"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69910A" w14:textId="77777777" w:rsidR="00FA5C37" w:rsidRDefault="00FA5C37">
      <w:r>
        <w:separator/>
      </w:r>
    </w:p>
  </w:endnote>
  <w:endnote w:type="continuationSeparator" w:id="0">
    <w:p w14:paraId="0F9AEBB8" w14:textId="77777777" w:rsidR="00FA5C37" w:rsidRDefault="00FA5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B0604020202020204"/>
    <w:charset w:val="00"/>
    <w:family w:val="roman"/>
    <w:pitch w:val="variable"/>
    <w:sig w:usb0="00003A87" w:usb1="00000000" w:usb2="00000000" w:usb3="00000000" w:csb0="000000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notTrueType/>
    <w:pitch w:val="variable"/>
    <w:sig w:usb0="A00002BF" w:usb1="38CF7CFA" w:usb2="00000016" w:usb3="00000000" w:csb0="0004000F" w:csb1="00000000"/>
  </w:font>
  <w:font w:name="DengXian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8CAF6" w14:textId="7B8239AE" w:rsidR="00812950" w:rsidRPr="006079B9" w:rsidRDefault="00812950">
    <w:pPr>
      <w:pStyle w:val="Footer"/>
      <w:rPr>
        <w:sz w:val="18"/>
      </w:rPr>
    </w:pPr>
    <w:r w:rsidRPr="006079B9">
      <w:rPr>
        <w:sz w:val="18"/>
      </w:rPr>
      <w:t>(</w:t>
    </w:r>
    <w:r>
      <w:rPr>
        <w:sz w:val="18"/>
        <w:lang w:val="en-US"/>
      </w:rPr>
      <w:fldChar w:fldCharType="begin"/>
    </w:r>
    <w:r w:rsidRPr="006079B9">
      <w:rPr>
        <w:sz w:val="18"/>
      </w:rPr>
      <w:instrText xml:space="preserve"> NUMPAGES  \* MERGEFORMAT </w:instrText>
    </w:r>
    <w:r>
      <w:rPr>
        <w:sz w:val="18"/>
        <w:lang w:val="en-US"/>
      </w:rPr>
      <w:fldChar w:fldCharType="separate"/>
    </w:r>
    <w:r w:rsidR="00B563CE">
      <w:rPr>
        <w:noProof/>
        <w:sz w:val="18"/>
      </w:rPr>
      <w:t>4</w:t>
    </w:r>
    <w:r>
      <w:rPr>
        <w:sz w:val="18"/>
        <w:lang w:val="en-US"/>
      </w:rPr>
      <w:fldChar w:fldCharType="end"/>
    </w:r>
    <w:r w:rsidRPr="006079B9">
      <w:rPr>
        <w:sz w:val="18"/>
      </w:rPr>
      <w:t xml:space="preserve"> pages)</w:t>
    </w:r>
  </w:p>
  <w:p w14:paraId="6C5EE92D" w14:textId="5109E80A" w:rsidR="00812950" w:rsidRDefault="00812950">
    <w:pPr>
      <w:pStyle w:val="Footer"/>
      <w:rPr>
        <w:lang w:val="en-US"/>
      </w:rPr>
    </w:pPr>
    <w:r>
      <w:rPr>
        <w:sz w:val="18"/>
        <w:lang w:val="en-US"/>
      </w:rPr>
      <w:fldChar w:fldCharType="begin"/>
    </w:r>
    <w:r>
      <w:rPr>
        <w:sz w:val="18"/>
        <w:lang w:val="en-US"/>
      </w:rPr>
      <w:instrText xml:space="preserve"> FILENAME  \* MERGEFORMAT </w:instrText>
    </w:r>
    <w:r>
      <w:rPr>
        <w:sz w:val="18"/>
        <w:lang w:val="en-US"/>
      </w:rPr>
      <w:fldChar w:fldCharType="separate"/>
    </w:r>
    <w:r w:rsidR="0057724E">
      <w:rPr>
        <w:noProof/>
        <w:sz w:val="18"/>
        <w:lang w:val="en-US"/>
      </w:rPr>
      <w:t>FSMP-WG06-IP11_IMT5G_vs_RNS_32GHz_V2.docx</w:t>
    </w:r>
    <w:r>
      <w:rPr>
        <w:sz w:val="18"/>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1C948A" w14:textId="77777777" w:rsidR="00FA5C37" w:rsidRDefault="00FA5C37">
      <w:r>
        <w:separator/>
      </w:r>
    </w:p>
  </w:footnote>
  <w:footnote w:type="continuationSeparator" w:id="0">
    <w:p w14:paraId="167B3C6B" w14:textId="77777777" w:rsidR="00FA5C37" w:rsidRDefault="00FA5C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B454D" w14:textId="5B10CA7F" w:rsidR="00812950" w:rsidRDefault="00812950" w:rsidP="001449D6">
    <w:pPr>
      <w:tabs>
        <w:tab w:val="center" w:pos="4876"/>
      </w:tabs>
      <w:spacing w:after="600"/>
    </w:pPr>
    <w:r>
      <w:t>F</w:t>
    </w:r>
    <w:r w:rsidR="0057724E">
      <w:t>SMP-WG/6-IP/11</w:t>
    </w:r>
    <w:r>
      <w:tab/>
      <w:t xml:space="preserve">- </w:t>
    </w:r>
    <w:r>
      <w:rPr>
        <w:rStyle w:val="PageNumber"/>
      </w:rPr>
      <w:fldChar w:fldCharType="begin"/>
    </w:r>
    <w:r>
      <w:rPr>
        <w:rStyle w:val="PageNumber"/>
      </w:rPr>
      <w:instrText xml:space="preserve"> PAGE </w:instrText>
    </w:r>
    <w:r>
      <w:rPr>
        <w:rStyle w:val="PageNumber"/>
      </w:rPr>
      <w:fldChar w:fldCharType="separate"/>
    </w:r>
    <w:r w:rsidR="00B563CE">
      <w:rPr>
        <w:rStyle w:val="PageNumber"/>
        <w:noProof/>
      </w:rPr>
      <w:t>2</w:t>
    </w:r>
    <w:r>
      <w:rPr>
        <w:rStyle w:val="PageNumber"/>
      </w:rPr>
      <w:fldChar w:fldCharType="end"/>
    </w:r>
    <w:r>
      <w:rPr>
        <w:rStyle w:val="PageNumbe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01718" w14:textId="7E57943E" w:rsidR="00812950" w:rsidRDefault="00812950" w:rsidP="00C62653">
    <w:pPr>
      <w:tabs>
        <w:tab w:val="center" w:pos="4876"/>
        <w:tab w:val="left" w:pos="6480"/>
      </w:tabs>
      <w:spacing w:after="600"/>
    </w:pPr>
    <w:r>
      <w:tab/>
      <w:t xml:space="preserve">- </w:t>
    </w:r>
    <w:r>
      <w:rPr>
        <w:rStyle w:val="PageNumber"/>
      </w:rPr>
      <w:fldChar w:fldCharType="begin"/>
    </w:r>
    <w:r>
      <w:rPr>
        <w:rStyle w:val="PageNumber"/>
      </w:rPr>
      <w:instrText xml:space="preserve"> PAGE </w:instrText>
    </w:r>
    <w:r>
      <w:rPr>
        <w:rStyle w:val="PageNumber"/>
      </w:rPr>
      <w:fldChar w:fldCharType="separate"/>
    </w:r>
    <w:r w:rsidR="00B563CE">
      <w:rPr>
        <w:rStyle w:val="PageNumber"/>
        <w:noProof/>
      </w:rPr>
      <w:t>3</w:t>
    </w:r>
    <w:r>
      <w:rPr>
        <w:rStyle w:val="PageNumber"/>
      </w:rPr>
      <w:fldChar w:fldCharType="end"/>
    </w:r>
    <w:r>
      <w:rPr>
        <w:rStyle w:val="PageNumber"/>
      </w:rPr>
      <w:t xml:space="preserve"> -</w:t>
    </w:r>
    <w:r>
      <w:rPr>
        <w:rStyle w:val="PageNumber"/>
      </w:rPr>
      <w:tab/>
    </w:r>
    <w:r w:rsidR="0057724E">
      <w:t>FSMP-WG/6-IP/11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3895"/>
      <w:gridCol w:w="3766"/>
    </w:tblGrid>
    <w:tr w:rsidR="00812950" w14:paraId="5FBF0783" w14:textId="77777777" w:rsidTr="001742AF">
      <w:trPr>
        <w:trHeight w:val="1790"/>
      </w:trPr>
      <w:tc>
        <w:tcPr>
          <w:tcW w:w="1915" w:type="dxa"/>
          <w:tcBorders>
            <w:top w:val="single" w:sz="2" w:space="0" w:color="FFFFFF"/>
            <w:left w:val="single" w:sz="2" w:space="0" w:color="FFFFFF"/>
            <w:bottom w:val="single" w:sz="2" w:space="0" w:color="FFFFFF"/>
            <w:right w:val="single" w:sz="2" w:space="0" w:color="FFFFFF"/>
          </w:tcBorders>
          <w:shd w:val="clear" w:color="auto" w:fill="FFFFFF"/>
          <w:hideMark/>
        </w:tcPr>
        <w:p w14:paraId="06DF49C1" w14:textId="77777777" w:rsidR="00812950" w:rsidRDefault="00FA5C37">
          <w:pPr>
            <w:autoSpaceDE w:val="0"/>
            <w:autoSpaceDN w:val="0"/>
            <w:adjustRightInd w:val="0"/>
            <w:rPr>
              <w:szCs w:val="24"/>
            </w:rPr>
          </w:pPr>
          <w:bookmarkStart w:id="3" w:name="logo"/>
          <w:r>
            <w:rPr>
              <w:noProof/>
              <w:lang w:eastAsia="zh-CN"/>
            </w:rPr>
            <w:pict w14:anchorId="699BE5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ICAOBIG" style="width:86pt;height:70pt;visibility:visible;mso-width-percent:0;mso-height-percent:0;mso-width-percent:0;mso-height-percent:0">
                <v:imagedata r:id="rId1" o:title="ICAOBIG"/>
              </v:shape>
            </w:pict>
          </w:r>
          <w:bookmarkEnd w:id="3"/>
        </w:p>
      </w:tc>
      <w:tc>
        <w:tcPr>
          <w:tcW w:w="3895" w:type="dxa"/>
          <w:tcBorders>
            <w:top w:val="single" w:sz="2" w:space="0" w:color="FFFFFF"/>
            <w:left w:val="single" w:sz="2" w:space="0" w:color="FFFFFF"/>
            <w:bottom w:val="single" w:sz="2" w:space="0" w:color="FFFFFF"/>
            <w:right w:val="single" w:sz="2" w:space="0" w:color="FFFFFF"/>
          </w:tcBorders>
          <w:shd w:val="clear" w:color="auto" w:fill="FFFFFF"/>
          <w:tcMar>
            <w:top w:w="0" w:type="dxa"/>
            <w:left w:w="0" w:type="dxa"/>
            <w:bottom w:w="0" w:type="dxa"/>
            <w:right w:w="0" w:type="dxa"/>
          </w:tcMar>
        </w:tcPr>
        <w:p w14:paraId="3F1D1694" w14:textId="77777777" w:rsidR="00812950" w:rsidRDefault="00FA5C37">
          <w:pPr>
            <w:rPr>
              <w:rFonts w:ascii="Arial" w:hAnsi="Arial" w:cs="Arial"/>
              <w:szCs w:val="22"/>
            </w:rPr>
          </w:pPr>
          <w:r>
            <w:rPr>
              <w:szCs w:val="24"/>
            </w:rPr>
            <w:pict w14:anchorId="426257FF">
              <v:line id="_x0000_s2049" alt="" style="position:absolute;left:0;text-align:left;z-index:1;mso-wrap-edited:f;mso-width-percent:0;mso-height-percent:0;mso-position-horizontal-relative:text;mso-position-vertical-relative:text;mso-width-percent:0;mso-height-percent:0" from="1pt,27pt" to="190pt,27pt"/>
            </w:pict>
          </w:r>
        </w:p>
        <w:p w14:paraId="59F7FEB6" w14:textId="77777777" w:rsidR="00812950" w:rsidRDefault="00812950">
          <w:pPr>
            <w:rPr>
              <w:rFonts w:ascii="Arial" w:hAnsi="Arial" w:cs="Arial"/>
              <w:szCs w:val="22"/>
            </w:rPr>
          </w:pPr>
          <w:r>
            <w:rPr>
              <w:rFonts w:ascii="Arial" w:hAnsi="Arial" w:cs="Arial"/>
              <w:szCs w:val="22"/>
            </w:rPr>
            <w:t>International Civil Aviation Organization</w:t>
          </w:r>
        </w:p>
        <w:p w14:paraId="19F368E2" w14:textId="77777777" w:rsidR="00812950" w:rsidRDefault="00812950">
          <w:pPr>
            <w:rPr>
              <w:rFonts w:ascii="Arial" w:hAnsi="Arial" w:cs="Arial"/>
              <w:szCs w:val="22"/>
            </w:rPr>
          </w:pPr>
        </w:p>
        <w:p w14:paraId="2A0B54A2" w14:textId="77777777" w:rsidR="00812950" w:rsidRDefault="00812950">
          <w:pPr>
            <w:autoSpaceDE w:val="0"/>
            <w:autoSpaceDN w:val="0"/>
            <w:adjustRightInd w:val="0"/>
            <w:rPr>
              <w:rFonts w:ascii="Arial" w:hAnsi="Arial" w:cs="Arial"/>
              <w:b/>
              <w:sz w:val="24"/>
              <w:szCs w:val="22"/>
            </w:rPr>
          </w:pPr>
          <w:r>
            <w:rPr>
              <w:rFonts w:ascii="Arial" w:hAnsi="Arial" w:cs="Arial"/>
              <w:b/>
              <w:sz w:val="24"/>
              <w:szCs w:val="22"/>
            </w:rPr>
            <w:t>INFORMATION PAPER</w:t>
          </w:r>
        </w:p>
      </w:tc>
      <w:tc>
        <w:tcPr>
          <w:tcW w:w="3766" w:type="dxa"/>
          <w:tcBorders>
            <w:top w:val="single" w:sz="2" w:space="0" w:color="FFFFFF"/>
            <w:left w:val="single" w:sz="2" w:space="0" w:color="FFFFFF"/>
            <w:bottom w:val="single" w:sz="2" w:space="0" w:color="FFFFFF"/>
            <w:right w:val="single" w:sz="2" w:space="0" w:color="FFFFFF"/>
          </w:tcBorders>
          <w:shd w:val="clear" w:color="auto" w:fill="FFFFFF"/>
          <w:hideMark/>
        </w:tcPr>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940"/>
          </w:tblGrid>
          <w:tr w:rsidR="00812950" w14:paraId="71B0EE1B" w14:textId="77777777">
            <w:trPr>
              <w:jc w:val="right"/>
            </w:trPr>
            <w:tc>
              <w:tcPr>
                <w:tcW w:w="0" w:type="auto"/>
                <w:tcBorders>
                  <w:top w:val="single" w:sz="4" w:space="0" w:color="FFFFFF"/>
                  <w:left w:val="single" w:sz="4" w:space="0" w:color="FFFFFF"/>
                  <w:bottom w:val="single" w:sz="4" w:space="0" w:color="FFFFFF"/>
                  <w:right w:val="single" w:sz="4" w:space="0" w:color="FFFFFF"/>
                </w:tcBorders>
                <w:hideMark/>
              </w:tcPr>
              <w:p w14:paraId="0FBA9CFA" w14:textId="5405F15F" w:rsidR="00812950" w:rsidRDefault="00812950" w:rsidP="0057724E">
                <w:pPr>
                  <w:framePr w:hSpace="180" w:wrap="around" w:vAnchor="text" w:hAnchor="text" w:y="1"/>
                  <w:suppressOverlap/>
                  <w:jc w:val="left"/>
                  <w:rPr>
                    <w:szCs w:val="22"/>
                  </w:rPr>
                </w:pPr>
                <w:bookmarkStart w:id="4" w:name="document_no"/>
                <w:r>
                  <w:rPr>
                    <w:szCs w:val="22"/>
                  </w:rPr>
                  <w:t>FSMP-WG/6-IP/</w:t>
                </w:r>
                <w:bookmarkEnd w:id="4"/>
                <w:r w:rsidR="0057724E">
                  <w:rPr>
                    <w:szCs w:val="22"/>
                  </w:rPr>
                  <w:t>11</w:t>
                </w:r>
              </w:p>
              <w:p w14:paraId="0524D94C" w14:textId="60A30FBB" w:rsidR="00812950" w:rsidRDefault="006079B9" w:rsidP="0057724E">
                <w:pPr>
                  <w:framePr w:hSpace="180" w:wrap="around" w:vAnchor="text" w:hAnchor="text" w:y="1"/>
                  <w:autoSpaceDE w:val="0"/>
                  <w:autoSpaceDN w:val="0"/>
                  <w:adjustRightInd w:val="0"/>
                  <w:suppressOverlap/>
                  <w:jc w:val="left"/>
                  <w:rPr>
                    <w:b/>
                    <w:szCs w:val="24"/>
                  </w:rPr>
                </w:pPr>
                <w:bookmarkStart w:id="5" w:name="related_to"/>
                <w:bookmarkStart w:id="6" w:name="revision_date"/>
                <w:bookmarkStart w:id="7" w:name="revision_no"/>
                <w:bookmarkStart w:id="8" w:name="addendum_corrigendum_appendix"/>
                <w:bookmarkStart w:id="9" w:name="restricted"/>
                <w:bookmarkEnd w:id="5"/>
                <w:bookmarkEnd w:id="6"/>
                <w:bookmarkEnd w:id="7"/>
                <w:bookmarkEnd w:id="8"/>
                <w:bookmarkEnd w:id="9"/>
                <w:r>
                  <w:rPr>
                    <w:sz w:val="18"/>
                    <w:szCs w:val="18"/>
                  </w:rPr>
                  <w:t>2018-02-</w:t>
                </w:r>
                <w:r w:rsidR="00AD76FD">
                  <w:rPr>
                    <w:sz w:val="18"/>
                    <w:szCs w:val="18"/>
                  </w:rPr>
                  <w:t>11</w:t>
                </w:r>
                <w:r w:rsidR="00812950">
                  <w:rPr>
                    <w:b/>
                    <w:sz w:val="18"/>
                    <w:szCs w:val="18"/>
                  </w:rPr>
                  <w:t xml:space="preserve"> </w:t>
                </w:r>
                <w:bookmarkStart w:id="10" w:name="info_paper"/>
                <w:bookmarkEnd w:id="10"/>
              </w:p>
            </w:tc>
          </w:tr>
          <w:tr w:rsidR="00812950" w14:paraId="6BE15345" w14:textId="77777777">
            <w:trPr>
              <w:jc w:val="right"/>
            </w:trPr>
            <w:tc>
              <w:tcPr>
                <w:tcW w:w="0" w:type="auto"/>
                <w:tcBorders>
                  <w:top w:val="single" w:sz="4" w:space="0" w:color="FFFFFF"/>
                  <w:left w:val="single" w:sz="4" w:space="0" w:color="FFFFFF"/>
                  <w:bottom w:val="single" w:sz="4" w:space="0" w:color="FFFFFF"/>
                  <w:right w:val="single" w:sz="4" w:space="0" w:color="FFFFFF"/>
                </w:tcBorders>
                <w:hideMark/>
              </w:tcPr>
              <w:p w14:paraId="2BAB762C" w14:textId="77777777" w:rsidR="00812950" w:rsidRDefault="00812950" w:rsidP="0057724E">
                <w:pPr>
                  <w:framePr w:hSpace="180" w:wrap="around" w:vAnchor="text" w:hAnchor="text" w:y="1"/>
                  <w:autoSpaceDE w:val="0"/>
                  <w:autoSpaceDN w:val="0"/>
                  <w:adjustRightInd w:val="0"/>
                  <w:suppressOverlap/>
                  <w:jc w:val="left"/>
                  <w:rPr>
                    <w:szCs w:val="22"/>
                  </w:rPr>
                </w:pPr>
              </w:p>
            </w:tc>
          </w:tr>
        </w:tbl>
        <w:p w14:paraId="3E445D60" w14:textId="77777777" w:rsidR="00812950" w:rsidRDefault="00812950">
          <w:pPr>
            <w:tabs>
              <w:tab w:val="left" w:pos="720"/>
              <w:tab w:val="left" w:pos="1440"/>
              <w:tab w:val="left" w:pos="1800"/>
              <w:tab w:val="left" w:pos="2160"/>
              <w:tab w:val="left" w:pos="2520"/>
              <w:tab w:val="left" w:pos="2880"/>
            </w:tabs>
            <w:autoSpaceDE w:val="0"/>
            <w:autoSpaceDN w:val="0"/>
            <w:adjustRightInd w:val="0"/>
            <w:ind w:left="4320"/>
            <w:rPr>
              <w:b/>
              <w:sz w:val="18"/>
              <w:szCs w:val="18"/>
            </w:rPr>
          </w:pPr>
        </w:p>
      </w:tc>
    </w:tr>
  </w:tbl>
  <w:p w14:paraId="3E900C0D" w14:textId="77777777" w:rsidR="00812950" w:rsidRDefault="00812950">
    <w:pPr>
      <w:pStyle w:val="3para"/>
      <w:numPr>
        <w:ilvl w:val="0"/>
        <w:numId w:val="0"/>
      </w:numPr>
      <w:tabs>
        <w:tab w:val="left" w:pos="6480"/>
      </w:tabs>
      <w:spacing w:after="0"/>
      <w:outlineLvl w:val="9"/>
    </w:pPr>
    <w:r>
      <w:tab/>
      <w:t>ATMRPP-WG/WHL/x-IP/</w:t>
    </w:r>
  </w:p>
  <w:p w14:paraId="372B11EF" w14:textId="77777777" w:rsidR="00812950" w:rsidRDefault="00812950">
    <w:pPr>
      <w:pStyle w:val="smallfont"/>
      <w:tabs>
        <w:tab w:val="clear" w:pos="6660"/>
        <w:tab w:val="left" w:pos="6480"/>
      </w:tabs>
      <w:spacing w:after="600"/>
      <w:rPr>
        <w:b/>
      </w:rPr>
    </w:pPr>
    <w:r>
      <w:tab/>
    </w:r>
    <w:proofErr w:type="gramStart"/>
    <w:r>
      <w:t>..</w:t>
    </w:r>
    <w:proofErr w:type="gramEnd"/>
    <w:r>
      <w:t>/./06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11E07"/>
    <w:multiLevelType w:val="singleLevel"/>
    <w:tmpl w:val="CD8E7696"/>
    <w:lvl w:ilvl="0">
      <w:start w:val="1"/>
      <w:numFmt w:val="bullet"/>
      <w:pStyle w:val="List-"/>
      <w:lvlText w:val="—"/>
      <w:lvlJc w:val="left"/>
      <w:pPr>
        <w:tabs>
          <w:tab w:val="num" w:pos="2520"/>
        </w:tabs>
        <w:ind w:left="2520" w:hanging="360"/>
      </w:pPr>
      <w:rPr>
        <w:rFonts w:ascii="Times New Roman" w:hAnsi="Times New Roman" w:hint="default"/>
      </w:rPr>
    </w:lvl>
  </w:abstractNum>
  <w:abstractNum w:abstractNumId="1" w15:restartNumberingAfterBreak="0">
    <w:nsid w:val="195D3C59"/>
    <w:multiLevelType w:val="hybridMultilevel"/>
    <w:tmpl w:val="4D226CB0"/>
    <w:lvl w:ilvl="0" w:tplc="F17CAF0E">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F2B6BB0"/>
    <w:multiLevelType w:val="singleLevel"/>
    <w:tmpl w:val="F490B8D8"/>
    <w:lvl w:ilvl="0">
      <w:start w:val="1"/>
      <w:numFmt w:val="decimal"/>
      <w:pStyle w:val="List123"/>
      <w:lvlText w:val="%1)"/>
      <w:lvlJc w:val="left"/>
      <w:pPr>
        <w:tabs>
          <w:tab w:val="num" w:pos="2160"/>
        </w:tabs>
        <w:ind w:left="2160" w:hanging="360"/>
      </w:pPr>
    </w:lvl>
  </w:abstractNum>
  <w:abstractNum w:abstractNumId="3" w15:restartNumberingAfterBreak="0">
    <w:nsid w:val="4A5C61B2"/>
    <w:multiLevelType w:val="multilevel"/>
    <w:tmpl w:val="C8E6D60A"/>
    <w:lvl w:ilvl="0">
      <w:start w:val="1"/>
      <w:numFmt w:val="decimal"/>
      <w:pStyle w:val="1Heading"/>
      <w:lvlText w:val="%1."/>
      <w:lvlJc w:val="left"/>
      <w:pPr>
        <w:tabs>
          <w:tab w:val="num" w:pos="720"/>
        </w:tabs>
        <w:ind w:left="720" w:hanging="720"/>
      </w:pPr>
      <w:rPr>
        <w:rFonts w:ascii="Times New Roman" w:hAnsi="Times New Roman" w:hint="default"/>
        <w:b w:val="0"/>
        <w:i w:val="0"/>
        <w:sz w:val="22"/>
      </w:rPr>
    </w:lvl>
    <w:lvl w:ilvl="1">
      <w:start w:val="1"/>
      <w:numFmt w:val="decimal"/>
      <w:pStyle w:val="2Heading"/>
      <w:lvlText w:val="%1.%2"/>
      <w:lvlJc w:val="left"/>
      <w:pPr>
        <w:tabs>
          <w:tab w:val="num" w:pos="720"/>
        </w:tabs>
        <w:ind w:left="720" w:hanging="720"/>
      </w:pPr>
      <w:rPr>
        <w:rFonts w:ascii="Times New Roman" w:hAnsi="Times New Roman" w:hint="default"/>
        <w:b w:val="0"/>
        <w:i w:val="0"/>
        <w:sz w:val="22"/>
      </w:rPr>
    </w:lvl>
    <w:lvl w:ilvl="2">
      <w:start w:val="1"/>
      <w:numFmt w:val="decimal"/>
      <w:pStyle w:val="3para"/>
      <w:lvlText w:val="%1.%2.%3"/>
      <w:lvlJc w:val="left"/>
      <w:pPr>
        <w:tabs>
          <w:tab w:val="num" w:pos="1440"/>
        </w:tabs>
        <w:ind w:left="1440" w:hanging="1440"/>
      </w:pPr>
    </w:lvl>
    <w:lvl w:ilvl="3">
      <w:start w:val="1"/>
      <w:numFmt w:val="decimal"/>
      <w:pStyle w:val="4para"/>
      <w:lvlText w:val="%1.%2.%3.%4"/>
      <w:lvlJc w:val="left"/>
      <w:pPr>
        <w:tabs>
          <w:tab w:val="num" w:pos="1080"/>
        </w:tabs>
        <w:ind w:left="0" w:firstLine="0"/>
      </w:pPr>
    </w:lvl>
    <w:lvl w:ilvl="4">
      <w:start w:val="1"/>
      <w:numFmt w:val="decimal"/>
      <w:pStyle w:val="5para"/>
      <w:lvlText w:val="%1.%2.%3.%4.%5"/>
      <w:lvlJc w:val="left"/>
      <w:pPr>
        <w:tabs>
          <w:tab w:val="num" w:pos="1440"/>
        </w:tabs>
        <w:ind w:left="0" w:firstLine="0"/>
      </w:pPr>
    </w:lvl>
    <w:lvl w:ilvl="5">
      <w:start w:val="1"/>
      <w:numFmt w:val="decimal"/>
      <w:pStyle w:val="6para"/>
      <w:lvlText w:val="%1.%2.%3.%4.%5.%6"/>
      <w:lvlJc w:val="left"/>
      <w:pPr>
        <w:tabs>
          <w:tab w:val="num" w:pos="1440"/>
        </w:tabs>
        <w:ind w:left="0" w:firstLine="0"/>
      </w:pPr>
    </w:lvl>
    <w:lvl w:ilvl="6">
      <w:start w:val="1"/>
      <w:numFmt w:val="decimal"/>
      <w:pStyle w:val="7para"/>
      <w:lvlText w:val="%1.%2.%3.%4.%5.%6.%7"/>
      <w:lvlJc w:val="left"/>
      <w:pPr>
        <w:tabs>
          <w:tab w:val="num" w:pos="1800"/>
        </w:tabs>
        <w:ind w:left="0" w:firstLine="0"/>
      </w:pPr>
    </w:lvl>
    <w:lvl w:ilvl="7">
      <w:start w:val="1"/>
      <w:numFmt w:val="decimal"/>
      <w:pStyle w:val="8para"/>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4" w15:restartNumberingAfterBreak="0">
    <w:nsid w:val="54DA0256"/>
    <w:multiLevelType w:val="hybridMultilevel"/>
    <w:tmpl w:val="7558424A"/>
    <w:lvl w:ilvl="0" w:tplc="CF022DC2">
      <w:start w:val="1"/>
      <w:numFmt w:val="bullet"/>
      <w:lvlText w:val="−"/>
      <w:lvlJc w:val="left"/>
      <w:pPr>
        <w:ind w:left="420" w:hanging="420"/>
      </w:pPr>
      <w:rPr>
        <w:rFonts w:ascii="MS Gothic" w:eastAsia="MS Gothic" w:hAnsi="MS Gothic"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74E637C"/>
    <w:multiLevelType w:val="singleLevel"/>
    <w:tmpl w:val="DCF4410C"/>
    <w:lvl w:ilvl="0">
      <w:start w:val="1"/>
      <w:numFmt w:val="lowerLetter"/>
      <w:pStyle w:val="Listabc"/>
      <w:lvlText w:val="%1)"/>
      <w:lvlJc w:val="left"/>
      <w:pPr>
        <w:tabs>
          <w:tab w:val="num" w:pos="360"/>
        </w:tabs>
        <w:ind w:left="360" w:hanging="360"/>
      </w:pPr>
    </w:lvl>
  </w:abstractNum>
  <w:num w:numId="1">
    <w:abstractNumId w:val="3"/>
  </w:num>
  <w:num w:numId="2">
    <w:abstractNumId w:val="5"/>
  </w:num>
  <w:num w:numId="3">
    <w:abstractNumId w:val="2"/>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70160"/>
    <w:rsid w:val="00031252"/>
    <w:rsid w:val="000B19FA"/>
    <w:rsid w:val="001449D6"/>
    <w:rsid w:val="001742AF"/>
    <w:rsid w:val="001857C4"/>
    <w:rsid w:val="00261317"/>
    <w:rsid w:val="002A3EA5"/>
    <w:rsid w:val="00333857"/>
    <w:rsid w:val="003C7BE7"/>
    <w:rsid w:val="003D7FD8"/>
    <w:rsid w:val="004D46B0"/>
    <w:rsid w:val="004E0F4A"/>
    <w:rsid w:val="004E4B58"/>
    <w:rsid w:val="00541201"/>
    <w:rsid w:val="005519FD"/>
    <w:rsid w:val="00552447"/>
    <w:rsid w:val="0057724E"/>
    <w:rsid w:val="005F109E"/>
    <w:rsid w:val="006079B9"/>
    <w:rsid w:val="0067447C"/>
    <w:rsid w:val="00677E20"/>
    <w:rsid w:val="006A3E78"/>
    <w:rsid w:val="006E72C0"/>
    <w:rsid w:val="00702279"/>
    <w:rsid w:val="00707ADA"/>
    <w:rsid w:val="0071513D"/>
    <w:rsid w:val="00763B7A"/>
    <w:rsid w:val="00770160"/>
    <w:rsid w:val="0078457A"/>
    <w:rsid w:val="007A2C57"/>
    <w:rsid w:val="007F0398"/>
    <w:rsid w:val="00812950"/>
    <w:rsid w:val="008150C2"/>
    <w:rsid w:val="008274CD"/>
    <w:rsid w:val="00917E36"/>
    <w:rsid w:val="00930FD5"/>
    <w:rsid w:val="00962B86"/>
    <w:rsid w:val="0097042F"/>
    <w:rsid w:val="009A056D"/>
    <w:rsid w:val="00A12CBA"/>
    <w:rsid w:val="00A26F34"/>
    <w:rsid w:val="00A459F8"/>
    <w:rsid w:val="00A57B8F"/>
    <w:rsid w:val="00AD1C3E"/>
    <w:rsid w:val="00AD76FD"/>
    <w:rsid w:val="00B31502"/>
    <w:rsid w:val="00B563CE"/>
    <w:rsid w:val="00B639A8"/>
    <w:rsid w:val="00B72E78"/>
    <w:rsid w:val="00BA1984"/>
    <w:rsid w:val="00BB53D1"/>
    <w:rsid w:val="00C62653"/>
    <w:rsid w:val="00C87B77"/>
    <w:rsid w:val="00CA0175"/>
    <w:rsid w:val="00CB5CFE"/>
    <w:rsid w:val="00CC5B22"/>
    <w:rsid w:val="00D361E2"/>
    <w:rsid w:val="00DC0A68"/>
    <w:rsid w:val="00E33FDA"/>
    <w:rsid w:val="00E52A27"/>
    <w:rsid w:val="00F00E16"/>
    <w:rsid w:val="00F1361B"/>
    <w:rsid w:val="00F21296"/>
    <w:rsid w:val="00F63E2C"/>
    <w:rsid w:val="00FA5C37"/>
    <w:rsid w:val="00FD56F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26F0526"/>
  <w15:docId w15:val="{A0F5FC70-EC0C-0B43-AAAB-9BE2969EA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jc w:val="both"/>
    </w:pPr>
    <w:rPr>
      <w:sz w:val="22"/>
      <w:lang w:val="en-GB" w:eastAsia="en-US"/>
    </w:rPr>
  </w:style>
  <w:style w:type="paragraph" w:styleId="Heading1">
    <w:name w:val="heading 1"/>
    <w:basedOn w:val="Normal"/>
    <w:next w:val="Normal"/>
    <w:qFormat/>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itle">
    <w:name w:val="Main title"/>
    <w:basedOn w:val="Normal"/>
    <w:pPr>
      <w:ind w:left="1080" w:right="1080"/>
      <w:jc w:val="center"/>
    </w:pPr>
    <w:rPr>
      <w:b/>
      <w:snapToGrid w:val="0"/>
    </w:rPr>
  </w:style>
  <w:style w:type="paragraph" w:customStyle="1" w:styleId="1Heading">
    <w:name w:val="1Heading"/>
    <w:basedOn w:val="Normal"/>
    <w:next w:val="2para"/>
    <w:pPr>
      <w:numPr>
        <w:numId w:val="1"/>
      </w:numPr>
      <w:spacing w:before="240" w:after="240"/>
      <w:ind w:right="2880"/>
    </w:pPr>
    <w:rPr>
      <w:b/>
    </w:rPr>
  </w:style>
  <w:style w:type="paragraph" w:customStyle="1" w:styleId="2Heading">
    <w:name w:val="2Heading"/>
    <w:basedOn w:val="1Heading"/>
    <w:next w:val="3para"/>
    <w:pPr>
      <w:numPr>
        <w:ilvl w:val="1"/>
      </w:numPr>
      <w:spacing w:before="0"/>
    </w:pPr>
  </w:style>
  <w:style w:type="paragraph" w:customStyle="1" w:styleId="3para">
    <w:name w:val="3para"/>
    <w:basedOn w:val="2Heading"/>
    <w:pPr>
      <w:numPr>
        <w:ilvl w:val="2"/>
      </w:numPr>
      <w:ind w:left="0" w:right="0" w:firstLine="0"/>
      <w:outlineLvl w:val="2"/>
    </w:pPr>
    <w:rPr>
      <w:b w:val="0"/>
    </w:rPr>
  </w:style>
  <w:style w:type="paragraph" w:customStyle="1" w:styleId="4para">
    <w:name w:val="4para"/>
    <w:basedOn w:val="3para"/>
    <w:pPr>
      <w:numPr>
        <w:ilvl w:val="3"/>
      </w:numPr>
      <w:tabs>
        <w:tab w:val="clear" w:pos="1080"/>
        <w:tab w:val="left" w:pos="1440"/>
      </w:tabs>
    </w:pPr>
  </w:style>
  <w:style w:type="paragraph" w:customStyle="1" w:styleId="5para">
    <w:name w:val="5para"/>
    <w:basedOn w:val="3para"/>
    <w:pPr>
      <w:numPr>
        <w:ilvl w:val="4"/>
      </w:numPr>
    </w:pPr>
  </w:style>
  <w:style w:type="paragraph" w:customStyle="1" w:styleId="6para">
    <w:name w:val="6para"/>
    <w:basedOn w:val="3para"/>
    <w:pPr>
      <w:numPr>
        <w:ilvl w:val="5"/>
      </w:numPr>
      <w:outlineLvl w:val="5"/>
    </w:pPr>
  </w:style>
  <w:style w:type="paragraph" w:customStyle="1" w:styleId="7para">
    <w:name w:val="7para"/>
    <w:basedOn w:val="3para"/>
    <w:pPr>
      <w:numPr>
        <w:ilvl w:val="6"/>
      </w:numPr>
      <w:tabs>
        <w:tab w:val="left" w:pos="1440"/>
      </w:tabs>
      <w:outlineLvl w:val="6"/>
    </w:pPr>
  </w:style>
  <w:style w:type="paragraph" w:customStyle="1" w:styleId="2para">
    <w:name w:val="2para"/>
    <w:basedOn w:val="3para"/>
    <w:pPr>
      <w:numPr>
        <w:ilvl w:val="1"/>
      </w:numPr>
      <w:tabs>
        <w:tab w:val="clear" w:pos="720"/>
        <w:tab w:val="left" w:pos="1440"/>
      </w:tabs>
      <w:ind w:left="0" w:firstLine="0"/>
      <w:outlineLvl w:val="1"/>
    </w:pPr>
  </w:style>
  <w:style w:type="paragraph" w:customStyle="1" w:styleId="8para">
    <w:name w:val="8para"/>
    <w:basedOn w:val="3para"/>
    <w:pPr>
      <w:numPr>
        <w:ilvl w:val="7"/>
      </w:numPr>
      <w:tabs>
        <w:tab w:val="left" w:pos="1440"/>
      </w:tabs>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smallfont">
    <w:name w:val="small font"/>
    <w:basedOn w:val="Normal"/>
    <w:pPr>
      <w:tabs>
        <w:tab w:val="left" w:pos="6660"/>
      </w:tabs>
    </w:pPr>
    <w:rPr>
      <w:sz w:val="18"/>
    </w:rPr>
  </w:style>
  <w:style w:type="paragraph" w:styleId="DocumentMap">
    <w:name w:val="Document Map"/>
    <w:basedOn w:val="Normal"/>
    <w:semiHidden/>
    <w:pPr>
      <w:shd w:val="clear" w:color="auto" w:fill="000080"/>
    </w:pPr>
    <w:rPr>
      <w:rFonts w:ascii="Tahoma" w:hAnsi="Tahoma"/>
    </w:rPr>
  </w:style>
  <w:style w:type="paragraph" w:customStyle="1" w:styleId="3Heading">
    <w:name w:val="3Heading"/>
    <w:basedOn w:val="2Heading"/>
    <w:pPr>
      <w:numPr>
        <w:ilvl w:val="0"/>
        <w:numId w:val="0"/>
      </w:numPr>
    </w:pPr>
    <w:rPr>
      <w:i/>
    </w:rPr>
  </w:style>
  <w:style w:type="paragraph" w:customStyle="1" w:styleId="Listabc">
    <w:name w:val="List_a_b_c"/>
    <w:pPr>
      <w:numPr>
        <w:numId w:val="2"/>
      </w:numPr>
      <w:spacing w:after="240"/>
      <w:ind w:left="1800"/>
    </w:pPr>
    <w:rPr>
      <w:noProof/>
      <w:sz w:val="22"/>
      <w:lang w:val="en-AU" w:eastAsia="en-US"/>
    </w:rPr>
  </w:style>
  <w:style w:type="paragraph" w:customStyle="1" w:styleId="List123">
    <w:name w:val="List_1_2_3"/>
    <w:basedOn w:val="Normal"/>
    <w:pPr>
      <w:numPr>
        <w:numId w:val="3"/>
      </w:numPr>
      <w:spacing w:after="240"/>
    </w:pPr>
  </w:style>
  <w:style w:type="paragraph" w:customStyle="1" w:styleId="List-">
    <w:name w:val="List_-"/>
    <w:basedOn w:val="Normal"/>
    <w:pPr>
      <w:numPr>
        <w:numId w:val="4"/>
      </w:numPr>
    </w:pPr>
  </w:style>
  <w:style w:type="paragraph" w:customStyle="1" w:styleId="Note">
    <w:name w:val="Note"/>
    <w:basedOn w:val="Normal"/>
    <w:rPr>
      <w:i/>
    </w:rPr>
  </w:style>
  <w:style w:type="paragraph" w:customStyle="1" w:styleId="Agendaitemtitle">
    <w:name w:val="Agenda item title"/>
    <w:basedOn w:val="Normal"/>
    <w:pPr>
      <w:tabs>
        <w:tab w:val="left" w:pos="0"/>
        <w:tab w:val="left" w:pos="1570"/>
        <w:tab w:val="left" w:pos="1857"/>
      </w:tabs>
      <w:ind w:left="1570" w:hanging="1570"/>
    </w:pPr>
    <w:rPr>
      <w:b/>
    </w:rPr>
  </w:style>
  <w:style w:type="paragraph" w:styleId="FootnoteText">
    <w:name w:val="footnote text"/>
    <w:basedOn w:val="Normal"/>
    <w:link w:val="FootnoteTextChar"/>
    <w:rsid w:val="007A2C57"/>
    <w:rPr>
      <w:sz w:val="20"/>
    </w:rPr>
  </w:style>
  <w:style w:type="paragraph" w:customStyle="1" w:styleId="Blockquote">
    <w:name w:val="Blockquote"/>
    <w:basedOn w:val="Normal"/>
    <w:pPr>
      <w:spacing w:after="240"/>
      <w:ind w:left="1440"/>
      <w:jc w:val="center"/>
    </w:pPr>
    <w:rPr>
      <w:b/>
      <w:sz w:val="24"/>
      <w:lang w:val="en-US"/>
    </w:rPr>
  </w:style>
  <w:style w:type="character" w:customStyle="1" w:styleId="FootnoteTextChar">
    <w:name w:val="Footnote Text Char"/>
    <w:link w:val="FootnoteText"/>
    <w:rsid w:val="007A2C57"/>
    <w:rPr>
      <w:lang w:eastAsia="en-US"/>
    </w:rPr>
  </w:style>
  <w:style w:type="character" w:styleId="FootnoteReference">
    <w:name w:val="footnote reference"/>
    <w:rsid w:val="007A2C57"/>
    <w:rPr>
      <w:vertAlign w:val="superscript"/>
    </w:rPr>
  </w:style>
  <w:style w:type="character" w:styleId="Hyperlink">
    <w:name w:val="Hyperlink"/>
    <w:rsid w:val="00B31502"/>
    <w:rPr>
      <w:color w:val="0563C1"/>
      <w:u w:val="single"/>
    </w:rPr>
  </w:style>
  <w:style w:type="character" w:customStyle="1" w:styleId="UnresolvedMention1">
    <w:name w:val="Unresolved Mention1"/>
    <w:uiPriority w:val="99"/>
    <w:semiHidden/>
    <w:unhideWhenUsed/>
    <w:rsid w:val="00B31502"/>
    <w:rPr>
      <w:color w:val="808080"/>
      <w:shd w:val="clear" w:color="auto" w:fill="E6E6E6"/>
    </w:rPr>
  </w:style>
  <w:style w:type="paragraph" w:customStyle="1" w:styleId="Default">
    <w:name w:val="Default"/>
    <w:rsid w:val="00E33FDA"/>
    <w:pPr>
      <w:autoSpaceDE w:val="0"/>
      <w:autoSpaceDN w:val="0"/>
      <w:adjustRightInd w:val="0"/>
    </w:pPr>
    <w:rPr>
      <w:color w:val="000000"/>
      <w:sz w:val="24"/>
      <w:szCs w:val="24"/>
      <w:lang w:val="en-GB" w:eastAsia="en-GB"/>
    </w:rPr>
  </w:style>
  <w:style w:type="paragraph" w:customStyle="1" w:styleId="Tabletext">
    <w:name w:val="Table_text"/>
    <w:basedOn w:val="Normal"/>
    <w:link w:val="TabletextChar"/>
    <w:qFormat/>
    <w:rsid w:val="008274C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left"/>
      <w:textAlignment w:val="baseline"/>
    </w:pPr>
    <w:rPr>
      <w:sz w:val="20"/>
    </w:rPr>
  </w:style>
  <w:style w:type="paragraph" w:customStyle="1" w:styleId="Tablehead">
    <w:name w:val="Table_head"/>
    <w:basedOn w:val="Normal"/>
    <w:link w:val="TableheadChar"/>
    <w:qFormat/>
    <w:rsid w:val="008274CD"/>
    <w:pPr>
      <w:keepNext/>
      <w:tabs>
        <w:tab w:val="left" w:pos="1134"/>
        <w:tab w:val="left" w:pos="1871"/>
        <w:tab w:val="left" w:pos="2268"/>
      </w:tabs>
      <w:overflowPunct w:val="0"/>
      <w:autoSpaceDE w:val="0"/>
      <w:autoSpaceDN w:val="0"/>
      <w:adjustRightInd w:val="0"/>
      <w:spacing w:before="80" w:after="80"/>
      <w:jc w:val="center"/>
      <w:textAlignment w:val="baseline"/>
    </w:pPr>
    <w:rPr>
      <w:rFonts w:ascii="Times New Roman Bold" w:hAnsi="Times New Roman Bold" w:cs="Times New Roman Bold"/>
      <w:b/>
      <w:sz w:val="20"/>
    </w:rPr>
  </w:style>
  <w:style w:type="character" w:customStyle="1" w:styleId="TabletextChar">
    <w:name w:val="Table_text Char"/>
    <w:link w:val="Tabletext"/>
    <w:qFormat/>
    <w:rsid w:val="008274CD"/>
    <w:rPr>
      <w:lang w:eastAsia="en-US"/>
    </w:rPr>
  </w:style>
  <w:style w:type="character" w:customStyle="1" w:styleId="TableheadChar">
    <w:name w:val="Table_head Char"/>
    <w:link w:val="Tablehead"/>
    <w:qFormat/>
    <w:locked/>
    <w:rsid w:val="008274CD"/>
    <w:rPr>
      <w:rFonts w:ascii="Times New Roman Bold" w:hAnsi="Times New Roman Bold" w:cs="Times New Roman Bold"/>
      <w:b/>
      <w:lang w:eastAsia="en-US"/>
    </w:rPr>
  </w:style>
  <w:style w:type="table" w:styleId="TableGrid">
    <w:name w:val="Table Grid"/>
    <w:basedOn w:val="TableNormal"/>
    <w:qFormat/>
    <w:rsid w:val="008274CD"/>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0491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md/R15-TG5.1-C-0069/en"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itu.int/dms_ties/itu-r/md/15/tg5.1/c/R15-TG5.1-C-0287!N04-P1!MSW-E.docx" TargetMode="External"/><Relationship Id="rId17" Type="http://schemas.openxmlformats.org/officeDocument/2006/relationships/hyperlink" Target="https://www.itu.int/md/R15-TG5.1-C-0125/en" TargetMode="External"/><Relationship Id="rId2" Type="http://schemas.openxmlformats.org/officeDocument/2006/relationships/customXml" Target="../customXml/item2.xml"/><Relationship Id="rId16" Type="http://schemas.openxmlformats.org/officeDocument/2006/relationships/hyperlink" Target="https://www.itu.int/md/R15-TG5.1-C-0214/en"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cao.int/safety/FSMP/MeetingDocs/FSMP%20WG6/Presentations/FSMP-WG06-Presentation04_EFVS%202018%2002%20-DA4.pdf" TargetMode="External"/><Relationship Id="rId5" Type="http://schemas.openxmlformats.org/officeDocument/2006/relationships/numbering" Target="numbering.xml"/><Relationship Id="rId15" Type="http://schemas.openxmlformats.org/officeDocument/2006/relationships/hyperlink" Target="https://www.itu.int/md/R15-TG5.1-C-0222/en"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R15-TG5.1-C-0252/en"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My%20Documents\Web%20Sites\ATMRPP\Templates\ATMRPP_WG_WHL_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1098A2-4DEA-4DF6-B614-069D959389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F9C57D1-0056-4909-9168-E443EEBD8CB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B187255-1E5A-40F6-9779-9DE75BDF944B}">
  <ds:schemaRefs>
    <ds:schemaRef ds:uri="http://schemas.microsoft.com/sharepoint/v3/contenttype/forms"/>
  </ds:schemaRefs>
</ds:datastoreItem>
</file>

<file path=customXml/itemProps4.xml><?xml version="1.0" encoding="utf-8"?>
<ds:datastoreItem xmlns:ds="http://schemas.openxmlformats.org/officeDocument/2006/customXml" ds:itemID="{32DE71C5-4A8A-3C40-8C5C-552B7737C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F:\My Documents\Web Sites\ATMRPP\Templates\ATMRPP_WG_WHL_1.dot</Template>
  <TotalTime>3</TotalTime>
  <Pages>3</Pages>
  <Words>607</Words>
  <Characters>3466</Characters>
  <Application>Microsoft Office Word</Application>
  <DocSecurity>0</DocSecurity>
  <Lines>28</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1</vt:lpstr>
      <vt:lpstr>1</vt:lpstr>
    </vt:vector>
  </TitlesOfParts>
  <Company>ICAO</Company>
  <LinksUpToDate>false</LinksUpToDate>
  <CharactersWithSpaces>4065</CharactersWithSpaces>
  <SharedDoc>false</SharedDoc>
  <HLinks>
    <vt:vector size="6" baseType="variant">
      <vt:variant>
        <vt:i4>1704012</vt:i4>
      </vt:variant>
      <vt:variant>
        <vt:i4>0</vt:i4>
      </vt:variant>
      <vt:variant>
        <vt:i4>0</vt:i4>
      </vt:variant>
      <vt:variant>
        <vt:i4>5</vt:i4>
      </vt:variant>
      <vt:variant>
        <vt:lpwstr>https://portal.etsi.org/webapp/WorkProgram/Report_WorkItem.asp?WKI_ID=50119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I.C.A.O.</dc:creator>
  <cp:lastModifiedBy>Loftur</cp:lastModifiedBy>
  <cp:revision>5</cp:revision>
  <cp:lastPrinted>2005-03-16T13:26:00Z</cp:lastPrinted>
  <dcterms:created xsi:type="dcterms:W3CDTF">2018-02-11T12:57:00Z</dcterms:created>
  <dcterms:modified xsi:type="dcterms:W3CDTF">2018-02-12T03:22:00Z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0x010100B372B09A9A77C4438999FF1325BEF759</vt:lpwstr>
  </property>
</Properties>
</file>