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88B" w:rsidRPr="001066AB" w:rsidRDefault="00A8088B" w:rsidP="00B26E43">
      <w:pPr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AppC"/>
      <w:r w:rsidRPr="001066AB">
        <w:rPr>
          <w:b/>
          <w:sz w:val="24"/>
          <w:szCs w:val="24"/>
        </w:rPr>
        <w:t xml:space="preserve">APPENDIX </w:t>
      </w:r>
      <w:bookmarkEnd w:id="0"/>
      <w:proofErr w:type="gramStart"/>
      <w:r w:rsidR="00B26E43">
        <w:rPr>
          <w:b/>
          <w:sz w:val="24"/>
          <w:szCs w:val="24"/>
        </w:rPr>
        <w:t>A</w:t>
      </w:r>
      <w:proofErr w:type="gramEnd"/>
      <w:r w:rsidR="00A9049E">
        <w:rPr>
          <w:b/>
          <w:sz w:val="24"/>
          <w:szCs w:val="24"/>
        </w:rPr>
        <w:t xml:space="preserve"> </w:t>
      </w:r>
      <w:r w:rsidRPr="001066AB">
        <w:rPr>
          <w:b/>
          <w:sz w:val="24"/>
          <w:szCs w:val="24"/>
        </w:rPr>
        <w:t xml:space="preserve">– </w:t>
      </w:r>
      <w:r w:rsidRPr="001066AB">
        <w:rPr>
          <w:rFonts w:asciiTheme="majorBidi" w:hAnsiTheme="majorBidi" w:cstheme="majorBidi"/>
          <w:b/>
          <w:sz w:val="24"/>
          <w:szCs w:val="24"/>
        </w:rPr>
        <w:t xml:space="preserve">Recommendations on Relieving the Traffic Congestion in the Data-Link Sub-band </w:t>
      </w:r>
    </w:p>
    <w:p w:rsidR="00B26E43" w:rsidRDefault="00B26E43" w:rsidP="00A8088B">
      <w:pPr>
        <w:pStyle w:val="Heading1"/>
        <w:tabs>
          <w:tab w:val="num" w:pos="1418"/>
        </w:tabs>
        <w:spacing w:before="120" w:after="240"/>
        <w:ind w:left="357"/>
        <w:jc w:val="both"/>
        <w:rPr>
          <w:rFonts w:asciiTheme="majorBidi" w:hAnsiTheme="majorBidi" w:cstheme="majorBidi"/>
          <w:b w:val="0"/>
          <w:szCs w:val="22"/>
        </w:rPr>
      </w:pPr>
    </w:p>
    <w:p w:rsidR="00A8088B" w:rsidRPr="0056642D" w:rsidRDefault="00A8088B" w:rsidP="00A8088B">
      <w:pPr>
        <w:pStyle w:val="Heading1"/>
        <w:tabs>
          <w:tab w:val="num" w:pos="1418"/>
        </w:tabs>
        <w:spacing w:before="120" w:after="240"/>
        <w:ind w:left="357"/>
        <w:jc w:val="both"/>
        <w:rPr>
          <w:rFonts w:asciiTheme="majorBidi" w:hAnsiTheme="majorBidi" w:cstheme="majorBidi"/>
          <w:b w:val="0"/>
          <w:szCs w:val="22"/>
        </w:rPr>
      </w:pPr>
      <w:bookmarkStart w:id="1" w:name="_GoBack"/>
      <w:bookmarkEnd w:id="1"/>
      <w:r w:rsidRPr="00A9049E">
        <w:rPr>
          <w:rFonts w:asciiTheme="majorBidi" w:hAnsiTheme="majorBidi" w:cstheme="majorBidi"/>
          <w:b w:val="0"/>
          <w:szCs w:val="22"/>
        </w:rPr>
        <w:t>Re</w:t>
      </w:r>
      <w:r w:rsidRPr="0056642D">
        <w:rPr>
          <w:rFonts w:asciiTheme="majorBidi" w:hAnsiTheme="majorBidi" w:cstheme="majorBidi"/>
          <w:b w:val="0"/>
          <w:szCs w:val="22"/>
        </w:rPr>
        <w:t>cognizing:</w:t>
      </w:r>
    </w:p>
    <w:p w:rsidR="00A8088B" w:rsidRPr="0056642D" w:rsidRDefault="00A8088B" w:rsidP="00A8088B">
      <w:pPr>
        <w:pStyle w:val="Heading1"/>
        <w:numPr>
          <w:ilvl w:val="0"/>
          <w:numId w:val="1"/>
        </w:numPr>
        <w:tabs>
          <w:tab w:val="num" w:pos="1418"/>
        </w:tabs>
        <w:spacing w:before="120" w:after="240"/>
        <w:jc w:val="both"/>
        <w:rPr>
          <w:rFonts w:asciiTheme="majorBidi" w:hAnsiTheme="majorBidi" w:cstheme="majorBidi"/>
          <w:b w:val="0"/>
          <w:szCs w:val="22"/>
        </w:rPr>
      </w:pPr>
      <w:r w:rsidRPr="0056642D">
        <w:rPr>
          <w:rFonts w:asciiTheme="majorBidi" w:hAnsiTheme="majorBidi" w:cstheme="majorBidi"/>
          <w:b w:val="0"/>
          <w:szCs w:val="22"/>
        </w:rPr>
        <w:t>That the available spectrum to VDLm2 is approaching saturation and therefore the off-load of a part of the AOC traffic is essential to ensure the proper delivery of DLS;</w:t>
      </w:r>
    </w:p>
    <w:p w:rsidR="00A8088B" w:rsidRPr="0056642D" w:rsidRDefault="00A8088B" w:rsidP="00A8088B">
      <w:pPr>
        <w:pStyle w:val="Heading1"/>
        <w:numPr>
          <w:ilvl w:val="0"/>
          <w:numId w:val="1"/>
        </w:numPr>
        <w:tabs>
          <w:tab w:val="num" w:pos="1418"/>
        </w:tabs>
        <w:spacing w:before="120" w:after="240"/>
        <w:jc w:val="both"/>
        <w:rPr>
          <w:rFonts w:asciiTheme="majorBidi" w:hAnsiTheme="majorBidi" w:cstheme="majorBidi"/>
          <w:b w:val="0"/>
          <w:szCs w:val="22"/>
        </w:rPr>
      </w:pPr>
      <w:r w:rsidRPr="0056642D">
        <w:rPr>
          <w:rFonts w:asciiTheme="majorBidi" w:hAnsiTheme="majorBidi" w:cstheme="majorBidi"/>
          <w:b w:val="0"/>
          <w:szCs w:val="22"/>
        </w:rPr>
        <w:t>That the off-load process of the AOC traffic poses technical and financial challenges to aircraft operators;</w:t>
      </w:r>
    </w:p>
    <w:p w:rsidR="00A8088B" w:rsidRPr="0056642D" w:rsidRDefault="00A8088B" w:rsidP="00A8088B">
      <w:pPr>
        <w:pStyle w:val="Heading1"/>
        <w:numPr>
          <w:ilvl w:val="0"/>
          <w:numId w:val="1"/>
        </w:numPr>
        <w:tabs>
          <w:tab w:val="num" w:pos="1418"/>
        </w:tabs>
        <w:spacing w:before="120" w:after="240"/>
        <w:jc w:val="both"/>
        <w:rPr>
          <w:rFonts w:asciiTheme="majorBidi" w:hAnsiTheme="majorBidi" w:cstheme="majorBidi"/>
          <w:b w:val="0"/>
          <w:szCs w:val="22"/>
        </w:rPr>
      </w:pPr>
      <w:r w:rsidRPr="0056642D">
        <w:rPr>
          <w:rFonts w:asciiTheme="majorBidi" w:hAnsiTheme="majorBidi" w:cstheme="majorBidi"/>
          <w:b w:val="0"/>
          <w:szCs w:val="22"/>
        </w:rPr>
        <w:t>That AOC data exchange is mission critical for most aircraft operators;</w:t>
      </w:r>
    </w:p>
    <w:p w:rsidR="00A8088B" w:rsidRPr="0056642D" w:rsidRDefault="00A8088B" w:rsidP="00A8088B">
      <w:pPr>
        <w:pStyle w:val="Heading1"/>
        <w:tabs>
          <w:tab w:val="num" w:pos="1418"/>
        </w:tabs>
        <w:spacing w:before="120" w:after="240"/>
        <w:ind w:left="357"/>
        <w:jc w:val="both"/>
        <w:rPr>
          <w:rFonts w:asciiTheme="majorBidi" w:hAnsiTheme="majorBidi" w:cstheme="majorBidi"/>
          <w:b w:val="0"/>
          <w:szCs w:val="22"/>
        </w:rPr>
      </w:pPr>
      <w:r w:rsidRPr="00A9049E">
        <w:rPr>
          <w:rFonts w:asciiTheme="majorBidi" w:hAnsiTheme="majorBidi" w:cstheme="majorBidi"/>
          <w:b w:val="0"/>
          <w:szCs w:val="22"/>
        </w:rPr>
        <w:t xml:space="preserve">Examination of </w:t>
      </w:r>
      <w:r w:rsidRPr="002E5D7D">
        <w:rPr>
          <w:rFonts w:asciiTheme="majorBidi" w:hAnsiTheme="majorBidi" w:cstheme="majorBidi"/>
          <w:b w:val="0"/>
          <w:szCs w:val="22"/>
        </w:rPr>
        <w:t>the following means for setting in motion and expediting the off-load process of the AOC traffic is recommended:</w:t>
      </w:r>
    </w:p>
    <w:p w:rsidR="00A8088B" w:rsidRPr="0056642D" w:rsidRDefault="00A8088B" w:rsidP="002E5D7D">
      <w:pPr>
        <w:pStyle w:val="Heading1"/>
        <w:tabs>
          <w:tab w:val="num" w:pos="1418"/>
        </w:tabs>
        <w:spacing w:before="120" w:after="240"/>
        <w:ind w:left="709" w:hanging="283"/>
        <w:jc w:val="both"/>
        <w:rPr>
          <w:rFonts w:asciiTheme="majorBidi" w:hAnsiTheme="majorBidi" w:cstheme="majorBidi"/>
          <w:b w:val="0"/>
          <w:szCs w:val="22"/>
        </w:rPr>
      </w:pPr>
      <w:r w:rsidRPr="0056642D">
        <w:rPr>
          <w:rFonts w:asciiTheme="majorBidi" w:hAnsiTheme="majorBidi" w:cstheme="majorBidi"/>
          <w:b w:val="0"/>
          <w:szCs w:val="22"/>
        </w:rPr>
        <w:t xml:space="preserve">- </w:t>
      </w:r>
      <w:r w:rsidR="002E5D7D">
        <w:rPr>
          <w:rFonts w:asciiTheme="majorBidi" w:hAnsiTheme="majorBidi" w:cstheme="majorBidi"/>
          <w:b w:val="0"/>
          <w:szCs w:val="22"/>
        </w:rPr>
        <w:t xml:space="preserve"> </w:t>
      </w:r>
      <w:r w:rsidRPr="0056642D">
        <w:rPr>
          <w:rFonts w:asciiTheme="majorBidi" w:hAnsiTheme="majorBidi" w:cstheme="majorBidi"/>
          <w:b w:val="0"/>
          <w:szCs w:val="22"/>
        </w:rPr>
        <w:t xml:space="preserve">The creation of financial incentives for the off-load of AOC traffic for the benefit of </w:t>
      </w:r>
      <w:r w:rsidR="002E5D7D">
        <w:rPr>
          <w:rFonts w:asciiTheme="majorBidi" w:hAnsiTheme="majorBidi" w:cstheme="majorBidi"/>
          <w:b w:val="0"/>
          <w:szCs w:val="22"/>
        </w:rPr>
        <w:t xml:space="preserve">  </w:t>
      </w:r>
      <w:r w:rsidRPr="0056642D">
        <w:rPr>
          <w:rFonts w:asciiTheme="majorBidi" w:hAnsiTheme="majorBidi" w:cstheme="majorBidi"/>
          <w:b w:val="0"/>
          <w:szCs w:val="22"/>
        </w:rPr>
        <w:t xml:space="preserve">stakeholders; </w:t>
      </w:r>
    </w:p>
    <w:p w:rsidR="00A8088B" w:rsidRPr="0056642D" w:rsidRDefault="00DB7EB6" w:rsidP="002E5D7D">
      <w:pPr>
        <w:pStyle w:val="Heading1"/>
        <w:tabs>
          <w:tab w:val="num" w:pos="1418"/>
        </w:tabs>
        <w:spacing w:before="120" w:after="240"/>
        <w:ind w:left="709" w:hanging="352"/>
        <w:jc w:val="both"/>
        <w:rPr>
          <w:rFonts w:asciiTheme="majorBidi" w:hAnsiTheme="majorBidi" w:cstheme="majorBidi"/>
          <w:b w:val="0"/>
          <w:szCs w:val="22"/>
        </w:rPr>
      </w:pPr>
      <w:r>
        <w:rPr>
          <w:rFonts w:asciiTheme="majorBidi" w:hAnsiTheme="majorBidi" w:cstheme="majorBidi"/>
          <w:b w:val="0"/>
          <w:szCs w:val="22"/>
        </w:rPr>
        <w:t xml:space="preserve"> </w:t>
      </w:r>
      <w:r w:rsidR="00A8088B" w:rsidRPr="0056642D">
        <w:rPr>
          <w:rFonts w:asciiTheme="majorBidi" w:hAnsiTheme="majorBidi" w:cstheme="majorBidi"/>
          <w:b w:val="0"/>
          <w:szCs w:val="22"/>
        </w:rPr>
        <w:t xml:space="preserve">- </w:t>
      </w:r>
      <w:r w:rsidR="002E5D7D">
        <w:rPr>
          <w:rFonts w:asciiTheme="majorBidi" w:hAnsiTheme="majorBidi" w:cstheme="majorBidi"/>
          <w:b w:val="0"/>
          <w:szCs w:val="22"/>
        </w:rPr>
        <w:t xml:space="preserve">  </w:t>
      </w:r>
      <w:r w:rsidR="00A8088B" w:rsidRPr="0056642D">
        <w:rPr>
          <w:rFonts w:asciiTheme="majorBidi" w:hAnsiTheme="majorBidi" w:cstheme="majorBidi"/>
          <w:b w:val="0"/>
          <w:szCs w:val="22"/>
        </w:rPr>
        <w:t>The removal of counter incentives to the connection with DLS of aircraft that do not use AOC services;</w:t>
      </w:r>
    </w:p>
    <w:p w:rsidR="00A8088B" w:rsidRPr="0056642D" w:rsidRDefault="00A8088B" w:rsidP="002E5D7D">
      <w:pPr>
        <w:pStyle w:val="Heading1"/>
        <w:tabs>
          <w:tab w:val="num" w:pos="1418"/>
        </w:tabs>
        <w:spacing w:before="120" w:after="240"/>
        <w:ind w:left="709" w:hanging="283"/>
        <w:jc w:val="both"/>
        <w:rPr>
          <w:rFonts w:asciiTheme="majorBidi" w:hAnsiTheme="majorBidi" w:cstheme="majorBidi"/>
          <w:b w:val="0"/>
          <w:szCs w:val="22"/>
        </w:rPr>
      </w:pPr>
      <w:r w:rsidRPr="0056642D">
        <w:rPr>
          <w:rFonts w:asciiTheme="majorBidi" w:hAnsiTheme="majorBidi" w:cstheme="majorBidi"/>
          <w:b w:val="0"/>
          <w:szCs w:val="22"/>
        </w:rPr>
        <w:t xml:space="preserve">- </w:t>
      </w:r>
      <w:r w:rsidR="002E5D7D">
        <w:rPr>
          <w:rFonts w:asciiTheme="majorBidi" w:hAnsiTheme="majorBidi" w:cstheme="majorBidi"/>
          <w:b w:val="0"/>
          <w:szCs w:val="22"/>
        </w:rPr>
        <w:t xml:space="preserve"> </w:t>
      </w:r>
      <w:r w:rsidRPr="0056642D">
        <w:rPr>
          <w:rFonts w:asciiTheme="majorBidi" w:hAnsiTheme="majorBidi" w:cstheme="majorBidi"/>
          <w:b w:val="0"/>
          <w:szCs w:val="22"/>
        </w:rPr>
        <w:t xml:space="preserve">The introduction of a priority mechanism at system level giving precedence to the transfer </w:t>
      </w:r>
      <w:r w:rsidR="002E5D7D">
        <w:rPr>
          <w:rFonts w:asciiTheme="majorBidi" w:hAnsiTheme="majorBidi" w:cstheme="majorBidi"/>
          <w:b w:val="0"/>
          <w:szCs w:val="22"/>
        </w:rPr>
        <w:t>of DLS messages versus AOC ones.</w:t>
      </w:r>
    </w:p>
    <w:p w:rsidR="00A8088B" w:rsidRPr="00736EE9" w:rsidRDefault="00736EE9" w:rsidP="00A8088B">
      <w:pPr>
        <w:pStyle w:val="Heading1"/>
        <w:tabs>
          <w:tab w:val="num" w:pos="1418"/>
        </w:tabs>
        <w:spacing w:before="120" w:after="240"/>
        <w:ind w:left="357"/>
        <w:jc w:val="both"/>
        <w:rPr>
          <w:rFonts w:asciiTheme="majorBidi" w:hAnsiTheme="majorBidi" w:cstheme="majorBidi"/>
          <w:b w:val="0"/>
          <w:i/>
          <w:iCs/>
          <w:szCs w:val="22"/>
        </w:rPr>
      </w:pPr>
      <w:r w:rsidRPr="00736EE9">
        <w:rPr>
          <w:rFonts w:asciiTheme="majorBidi" w:hAnsiTheme="majorBidi" w:cstheme="majorBidi"/>
          <w:b w:val="0"/>
          <w:i/>
          <w:iCs/>
          <w:szCs w:val="22"/>
        </w:rPr>
        <w:t>N</w:t>
      </w:r>
      <w:r w:rsidR="00A8088B" w:rsidRPr="00736EE9">
        <w:rPr>
          <w:rFonts w:asciiTheme="majorBidi" w:hAnsiTheme="majorBidi" w:cstheme="majorBidi"/>
          <w:b w:val="0"/>
          <w:i/>
          <w:iCs/>
          <w:szCs w:val="22"/>
        </w:rPr>
        <w:t xml:space="preserve">oting that the above means may need to be assessed also with respect to factors other than spectrum economy. </w:t>
      </w:r>
    </w:p>
    <w:p w:rsidR="00A8088B" w:rsidRPr="0056642D" w:rsidRDefault="00A8088B" w:rsidP="00A8088B">
      <w:pPr>
        <w:pStyle w:val="Heading1"/>
        <w:keepLines/>
        <w:tabs>
          <w:tab w:val="num" w:pos="1418"/>
        </w:tabs>
        <w:spacing w:before="120" w:after="240"/>
        <w:ind w:left="357"/>
        <w:jc w:val="both"/>
        <w:rPr>
          <w:rFonts w:asciiTheme="majorBidi" w:hAnsiTheme="majorBidi" w:cstheme="majorBidi"/>
          <w:b w:val="0"/>
          <w:szCs w:val="22"/>
        </w:rPr>
      </w:pPr>
      <w:r w:rsidRPr="0056642D">
        <w:rPr>
          <w:rFonts w:asciiTheme="majorBidi" w:hAnsiTheme="majorBidi" w:cstheme="majorBidi"/>
          <w:b w:val="0"/>
          <w:szCs w:val="22"/>
        </w:rPr>
        <w:t xml:space="preserve">Additionally, </w:t>
      </w:r>
      <w:r w:rsidRPr="00DB7EB6">
        <w:rPr>
          <w:rFonts w:asciiTheme="majorBidi" w:hAnsiTheme="majorBidi" w:cstheme="majorBidi"/>
          <w:b w:val="0"/>
          <w:szCs w:val="22"/>
        </w:rPr>
        <w:t>it is recommended to conduct</w:t>
      </w:r>
      <w:r>
        <w:rPr>
          <w:rFonts w:asciiTheme="majorBidi" w:hAnsiTheme="majorBidi" w:cstheme="majorBidi"/>
          <w:b w:val="0"/>
          <w:szCs w:val="22"/>
        </w:rPr>
        <w:t xml:space="preserve"> </w:t>
      </w:r>
      <w:r w:rsidRPr="0056642D">
        <w:rPr>
          <w:rFonts w:asciiTheme="majorBidi" w:hAnsiTheme="majorBidi" w:cstheme="majorBidi"/>
          <w:b w:val="0"/>
          <w:szCs w:val="22"/>
        </w:rPr>
        <w:t>investigation of any possible VDLm2 improvement that would result in a more efficient use of the data-link sub-band (for instance, compressing the data and optimizing the ACARS and ATN protocol overhead).</w:t>
      </w:r>
    </w:p>
    <w:p w:rsidR="00A8088B" w:rsidRPr="0056642D" w:rsidRDefault="00A8088B" w:rsidP="00A8088B">
      <w:pPr>
        <w:pStyle w:val="Heading1"/>
        <w:tabs>
          <w:tab w:val="num" w:pos="1418"/>
        </w:tabs>
        <w:spacing w:before="120" w:after="240"/>
        <w:ind w:left="357"/>
        <w:jc w:val="both"/>
        <w:rPr>
          <w:rFonts w:asciiTheme="majorBidi" w:hAnsiTheme="majorBidi" w:cstheme="majorBidi"/>
          <w:b w:val="0"/>
          <w:szCs w:val="22"/>
        </w:rPr>
      </w:pPr>
      <w:r w:rsidRPr="0056642D">
        <w:rPr>
          <w:rFonts w:asciiTheme="majorBidi" w:hAnsiTheme="majorBidi" w:cstheme="majorBidi"/>
          <w:b w:val="0"/>
          <w:szCs w:val="22"/>
        </w:rPr>
        <w:t>Furthermore</w:t>
      </w:r>
      <w:r>
        <w:rPr>
          <w:rFonts w:asciiTheme="majorBidi" w:hAnsiTheme="majorBidi" w:cstheme="majorBidi"/>
          <w:b w:val="0"/>
          <w:szCs w:val="22"/>
        </w:rPr>
        <w:t>:</w:t>
      </w:r>
    </w:p>
    <w:p w:rsidR="00A8088B" w:rsidRPr="0056642D" w:rsidRDefault="00A8088B" w:rsidP="00DB7EB6">
      <w:pPr>
        <w:pStyle w:val="Heading1"/>
        <w:tabs>
          <w:tab w:val="num" w:pos="1418"/>
        </w:tabs>
        <w:spacing w:before="120" w:after="240"/>
        <w:ind w:left="709" w:hanging="283"/>
        <w:jc w:val="both"/>
        <w:rPr>
          <w:rFonts w:asciiTheme="majorBidi" w:hAnsiTheme="majorBidi" w:cstheme="majorBidi"/>
          <w:b w:val="0"/>
          <w:szCs w:val="22"/>
        </w:rPr>
      </w:pPr>
      <w:r w:rsidRPr="0056642D">
        <w:rPr>
          <w:rFonts w:asciiTheme="majorBidi" w:hAnsiTheme="majorBidi" w:cstheme="majorBidi"/>
          <w:b w:val="0"/>
          <w:szCs w:val="22"/>
        </w:rPr>
        <w:t xml:space="preserve">-  </w:t>
      </w:r>
      <w:r w:rsidRPr="00620712">
        <w:rPr>
          <w:rFonts w:asciiTheme="majorBidi" w:hAnsiTheme="majorBidi" w:cstheme="majorBidi"/>
          <w:b w:val="0"/>
          <w:szCs w:val="22"/>
        </w:rPr>
        <w:t>IATA, Eu</w:t>
      </w:r>
      <w:r w:rsidRPr="0056642D">
        <w:rPr>
          <w:rFonts w:asciiTheme="majorBidi" w:hAnsiTheme="majorBidi" w:cstheme="majorBidi"/>
          <w:b w:val="0"/>
          <w:szCs w:val="22"/>
        </w:rPr>
        <w:t>ropean aircraft operators’ associations as well as European data-link service entities</w:t>
      </w:r>
      <w:r>
        <w:rPr>
          <w:rFonts w:asciiTheme="majorBidi" w:hAnsiTheme="majorBidi" w:cstheme="majorBidi"/>
          <w:b w:val="0"/>
          <w:szCs w:val="22"/>
        </w:rPr>
        <w:t xml:space="preserve"> </w:t>
      </w:r>
      <w:r w:rsidRPr="00DB7EB6">
        <w:rPr>
          <w:rFonts w:asciiTheme="majorBidi" w:hAnsiTheme="majorBidi" w:cstheme="majorBidi"/>
          <w:b w:val="0"/>
          <w:szCs w:val="22"/>
        </w:rPr>
        <w:t>are invited to</w:t>
      </w:r>
      <w:r w:rsidRPr="0056642D">
        <w:rPr>
          <w:rFonts w:asciiTheme="majorBidi" w:hAnsiTheme="majorBidi" w:cstheme="majorBidi"/>
          <w:b w:val="0"/>
          <w:szCs w:val="22"/>
        </w:rPr>
        <w:t xml:space="preserve"> develop action plans for the promotion of this off-load process;   </w:t>
      </w:r>
    </w:p>
    <w:p w:rsidR="00A8088B" w:rsidRPr="0056642D" w:rsidRDefault="00A8088B" w:rsidP="00DB7EB6">
      <w:pPr>
        <w:pStyle w:val="Heading1"/>
        <w:tabs>
          <w:tab w:val="num" w:pos="1418"/>
        </w:tabs>
        <w:spacing w:before="120" w:after="240"/>
        <w:ind w:left="709" w:hanging="283"/>
        <w:jc w:val="both"/>
        <w:rPr>
          <w:rFonts w:asciiTheme="majorBidi" w:hAnsiTheme="majorBidi" w:cstheme="majorBidi"/>
          <w:b w:val="0"/>
          <w:szCs w:val="22"/>
        </w:rPr>
      </w:pPr>
      <w:r w:rsidRPr="0056642D">
        <w:rPr>
          <w:rFonts w:asciiTheme="majorBidi" w:hAnsiTheme="majorBidi" w:cstheme="majorBidi"/>
          <w:b w:val="0"/>
          <w:szCs w:val="22"/>
        </w:rPr>
        <w:t xml:space="preserve">- </w:t>
      </w:r>
      <w:r w:rsidR="00DB7EB6">
        <w:rPr>
          <w:rFonts w:asciiTheme="majorBidi" w:hAnsiTheme="majorBidi" w:cstheme="majorBidi"/>
          <w:b w:val="0"/>
          <w:szCs w:val="22"/>
        </w:rPr>
        <w:t xml:space="preserve"> </w:t>
      </w:r>
      <w:proofErr w:type="gramStart"/>
      <w:r w:rsidRPr="0056642D">
        <w:rPr>
          <w:rFonts w:asciiTheme="majorBidi" w:hAnsiTheme="majorBidi" w:cstheme="majorBidi"/>
          <w:b w:val="0"/>
          <w:szCs w:val="22"/>
        </w:rPr>
        <w:t>engine</w:t>
      </w:r>
      <w:proofErr w:type="gramEnd"/>
      <w:r w:rsidRPr="0056642D">
        <w:rPr>
          <w:rFonts w:asciiTheme="majorBidi" w:hAnsiTheme="majorBidi" w:cstheme="majorBidi"/>
          <w:b w:val="0"/>
          <w:szCs w:val="22"/>
        </w:rPr>
        <w:t xml:space="preserve"> and aircraft manufacture</w:t>
      </w:r>
      <w:r w:rsidRPr="00DB7EB6">
        <w:rPr>
          <w:rFonts w:asciiTheme="majorBidi" w:hAnsiTheme="majorBidi" w:cstheme="majorBidi"/>
          <w:b w:val="0"/>
          <w:szCs w:val="22"/>
        </w:rPr>
        <w:t>rs are invited to</w:t>
      </w:r>
      <w:r w:rsidRPr="0056642D">
        <w:rPr>
          <w:rFonts w:asciiTheme="majorBidi" w:hAnsiTheme="majorBidi" w:cstheme="majorBidi"/>
          <w:b w:val="0"/>
          <w:szCs w:val="22"/>
        </w:rPr>
        <w:t xml:space="preserve"> contribute to the reduction of data traffic related to engine performance reporting.  </w:t>
      </w:r>
    </w:p>
    <w:p w:rsidR="00094F13" w:rsidRDefault="00A8088B" w:rsidP="00DB7EB6">
      <w:pPr>
        <w:pStyle w:val="Heading1"/>
        <w:tabs>
          <w:tab w:val="num" w:pos="1418"/>
        </w:tabs>
        <w:spacing w:before="120" w:after="240"/>
        <w:ind w:left="709" w:hanging="283"/>
        <w:jc w:val="both"/>
        <w:rPr>
          <w:rFonts w:asciiTheme="majorBidi" w:hAnsiTheme="majorBidi" w:cstheme="majorBidi"/>
          <w:b w:val="0"/>
          <w:szCs w:val="22"/>
        </w:rPr>
      </w:pPr>
      <w:r w:rsidRPr="0056642D">
        <w:rPr>
          <w:rFonts w:asciiTheme="majorBidi" w:hAnsiTheme="majorBidi" w:cstheme="majorBidi"/>
          <w:b w:val="0"/>
          <w:szCs w:val="22"/>
        </w:rPr>
        <w:t xml:space="preserve">- </w:t>
      </w:r>
      <w:r w:rsidR="00DB7EB6">
        <w:rPr>
          <w:rFonts w:asciiTheme="majorBidi" w:hAnsiTheme="majorBidi" w:cstheme="majorBidi"/>
          <w:b w:val="0"/>
          <w:szCs w:val="22"/>
        </w:rPr>
        <w:t xml:space="preserve"> </w:t>
      </w:r>
      <w:proofErr w:type="gramStart"/>
      <w:r w:rsidRPr="0056642D">
        <w:rPr>
          <w:rFonts w:asciiTheme="majorBidi" w:hAnsiTheme="majorBidi" w:cstheme="majorBidi"/>
          <w:b w:val="0"/>
          <w:szCs w:val="22"/>
        </w:rPr>
        <w:t>the</w:t>
      </w:r>
      <w:proofErr w:type="gramEnd"/>
      <w:r w:rsidRPr="0056642D">
        <w:rPr>
          <w:rFonts w:asciiTheme="majorBidi" w:hAnsiTheme="majorBidi" w:cstheme="majorBidi"/>
          <w:b w:val="0"/>
          <w:szCs w:val="22"/>
        </w:rPr>
        <w:t xml:space="preserve"> subject of the timely off-load of AOC traf</w:t>
      </w:r>
      <w:r w:rsidRPr="00DB7EB6">
        <w:rPr>
          <w:rFonts w:asciiTheme="majorBidi" w:hAnsiTheme="majorBidi" w:cstheme="majorBidi"/>
          <w:b w:val="0"/>
          <w:szCs w:val="22"/>
        </w:rPr>
        <w:t xml:space="preserve">fic </w:t>
      </w:r>
      <w:r w:rsidR="00736EE9" w:rsidRPr="00DB7EB6">
        <w:rPr>
          <w:rFonts w:asciiTheme="majorBidi" w:hAnsiTheme="majorBidi" w:cstheme="majorBidi"/>
          <w:b w:val="0"/>
          <w:szCs w:val="22"/>
        </w:rPr>
        <w:t xml:space="preserve">should be brought </w:t>
      </w:r>
      <w:r w:rsidRPr="00DB7EB6">
        <w:rPr>
          <w:rFonts w:asciiTheme="majorBidi" w:hAnsiTheme="majorBidi" w:cstheme="majorBidi"/>
          <w:b w:val="0"/>
          <w:szCs w:val="22"/>
        </w:rPr>
        <w:t>to</w:t>
      </w:r>
      <w:r w:rsidRPr="0056642D">
        <w:rPr>
          <w:rFonts w:asciiTheme="majorBidi" w:hAnsiTheme="majorBidi" w:cstheme="majorBidi"/>
          <w:b w:val="0"/>
          <w:szCs w:val="22"/>
        </w:rPr>
        <w:t xml:space="preserve"> th</w:t>
      </w:r>
      <w:r w:rsidRPr="00620712">
        <w:rPr>
          <w:rFonts w:asciiTheme="majorBidi" w:hAnsiTheme="majorBidi" w:cstheme="majorBidi"/>
          <w:b w:val="0"/>
          <w:szCs w:val="22"/>
        </w:rPr>
        <w:t xml:space="preserve">e attention of the ICAO Communication Panel, EASA and the European Commission.  </w:t>
      </w:r>
    </w:p>
    <w:p w:rsidR="00DB7EB6" w:rsidRDefault="00DB7EB6" w:rsidP="00DB7EB6">
      <w:pPr>
        <w:rPr>
          <w:lang w:eastAsia="en-GB"/>
        </w:rPr>
      </w:pPr>
    </w:p>
    <w:p w:rsidR="00DB7EB6" w:rsidRPr="00DB7EB6" w:rsidRDefault="003C4E03" w:rsidP="00DB7EB6">
      <w:pPr>
        <w:jc w:val="center"/>
        <w:rPr>
          <w:lang w:eastAsia="en-GB"/>
        </w:rPr>
      </w:pPr>
      <w:r>
        <w:rPr>
          <w:lang w:eastAsia="en-GB"/>
        </w:rPr>
        <w:t>--END--</w:t>
      </w:r>
    </w:p>
    <w:sectPr w:rsidR="00DB7EB6" w:rsidRPr="00DB7EB6" w:rsidSect="00736EE9">
      <w:headerReference w:type="even" r:id="rId7"/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D05" w:rsidRDefault="009C4D05" w:rsidP="00A8088B">
      <w:r>
        <w:separator/>
      </w:r>
    </w:p>
  </w:endnote>
  <w:endnote w:type="continuationSeparator" w:id="0">
    <w:p w:rsidR="009C4D05" w:rsidRDefault="009C4D05" w:rsidP="00A8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D05" w:rsidRDefault="009C4D05" w:rsidP="00A8088B">
      <w:r>
        <w:separator/>
      </w:r>
    </w:p>
  </w:footnote>
  <w:footnote w:type="continuationSeparator" w:id="0">
    <w:p w:rsidR="009C4D05" w:rsidRDefault="009C4D05" w:rsidP="00A80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56" w:rsidRDefault="00564BFC" w:rsidP="0049618B">
    <w:pPr>
      <w:pStyle w:val="Header"/>
      <w:pBdr>
        <w:bottom w:val="single" w:sz="4" w:space="1" w:color="auto"/>
      </w:pBdr>
      <w:tabs>
        <w:tab w:val="clear" w:pos="4153"/>
        <w:tab w:val="clear" w:pos="8306"/>
        <w:tab w:val="center" w:pos="4536"/>
        <w:tab w:val="right" w:pos="9630"/>
      </w:tabs>
    </w:pPr>
    <w:r>
      <w:rPr>
        <w:rStyle w:val="PageNumber"/>
      </w:rPr>
      <w:tab/>
      <w:t>FMG/27 RAFT/20 – Summary of Discussions</w:t>
    </w:r>
    <w:r>
      <w:rPr>
        <w:rStyle w:val="PageNumber"/>
      </w:rPr>
      <w:tab/>
      <w:t>D-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4F0C56" w:rsidRPr="00C93112" w:rsidRDefault="009C4D05" w:rsidP="00C93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9E" w:rsidRDefault="002335C5" w:rsidP="00B26E43">
    <w:pPr>
      <w:pStyle w:val="Header"/>
      <w:pBdr>
        <w:bottom w:val="single" w:sz="4" w:space="1" w:color="auto"/>
      </w:pBdr>
      <w:tabs>
        <w:tab w:val="clear" w:pos="4153"/>
        <w:tab w:val="clear" w:pos="8306"/>
        <w:tab w:val="center" w:pos="5245"/>
        <w:tab w:val="right" w:pos="10773"/>
      </w:tabs>
    </w:pPr>
    <w:r>
      <w:tab/>
    </w:r>
    <w:r w:rsidR="00B26E43">
      <w:t>A</w:t>
    </w:r>
    <w:r w:rsidR="00A9049E">
      <w:t>-1</w:t>
    </w:r>
    <w:r w:rsidR="00A9049E">
      <w:tab/>
    </w:r>
    <w:r>
      <w:rPr>
        <w:b/>
      </w:rPr>
      <w:t xml:space="preserve">Appendix </w:t>
    </w:r>
    <w:r w:rsidR="00B26E43">
      <w:rPr>
        <w:b/>
      </w:rPr>
      <w:t>A</w:t>
    </w:r>
  </w:p>
  <w:p w:rsidR="00A9049E" w:rsidRDefault="00A90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79BD"/>
    <w:multiLevelType w:val="hybridMultilevel"/>
    <w:tmpl w:val="45A2A64C"/>
    <w:lvl w:ilvl="0" w:tplc="30826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8B"/>
    <w:rsid w:val="00077427"/>
    <w:rsid w:val="00094F13"/>
    <w:rsid w:val="000A71A7"/>
    <w:rsid w:val="00125677"/>
    <w:rsid w:val="002335C5"/>
    <w:rsid w:val="002E5D7D"/>
    <w:rsid w:val="003C4E03"/>
    <w:rsid w:val="00564BFC"/>
    <w:rsid w:val="00736EE9"/>
    <w:rsid w:val="009C4D05"/>
    <w:rsid w:val="00A8088B"/>
    <w:rsid w:val="00A9049E"/>
    <w:rsid w:val="00B26E43"/>
    <w:rsid w:val="00CB7FF2"/>
    <w:rsid w:val="00D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5C9DB"/>
  <w15:chartTrackingRefBased/>
  <w15:docId w15:val="{F3A34B27-2676-4A6D-9FC0-858A0E69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(alt L0)"/>
    <w:qFormat/>
    <w:rsid w:val="00A8088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1">
    <w:name w:val="heading 1"/>
    <w:aliases w:val="(alt h1),Title 1,MINISTERE DEF,h1,1,H1"/>
    <w:basedOn w:val="Normal"/>
    <w:next w:val="Normal"/>
    <w:link w:val="Heading1Char"/>
    <w:qFormat/>
    <w:rsid w:val="00A8088B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(alt h1) Char,Title 1 Char,MINISTERE DEF Char,h1 Char,1 Char,H1 Char"/>
    <w:basedOn w:val="DefaultParagraphFont"/>
    <w:link w:val="Heading1"/>
    <w:rsid w:val="00A8088B"/>
    <w:rPr>
      <w:rFonts w:ascii="Arial" w:eastAsia="Times New Roman" w:hAnsi="Arial" w:cs="Times New Roman"/>
      <w:b/>
      <w:kern w:val="28"/>
      <w:sz w:val="28"/>
      <w:szCs w:val="20"/>
      <w:lang w:val="en-GB" w:eastAsia="en-GB"/>
    </w:rPr>
  </w:style>
  <w:style w:type="paragraph" w:styleId="Header">
    <w:name w:val="header"/>
    <w:basedOn w:val="Normal"/>
    <w:link w:val="HeaderChar"/>
    <w:rsid w:val="00A808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8088B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8088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88B"/>
    <w:rPr>
      <w:rFonts w:ascii="Times New Roman" w:eastAsia="Times New Roman" w:hAnsi="Times New Roman" w:cs="Times New Roman"/>
      <w:szCs w:val="20"/>
      <w:lang w:val="en-GB"/>
    </w:rPr>
  </w:style>
  <w:style w:type="character" w:styleId="PageNumber">
    <w:name w:val="page number"/>
    <w:basedOn w:val="DefaultParagraphFont"/>
    <w:rsid w:val="00A80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29F556-43F6-45EC-9B66-74F4AA34BC63}"/>
</file>

<file path=customXml/itemProps2.xml><?xml version="1.0" encoding="utf-8"?>
<ds:datastoreItem xmlns:ds="http://schemas.openxmlformats.org/officeDocument/2006/customXml" ds:itemID="{01010DDE-FB69-4929-9F4D-380845FACBE1}"/>
</file>

<file path=customXml/itemProps3.xml><?xml version="1.0" encoding="utf-8"?>
<ds:datastoreItem xmlns:ds="http://schemas.openxmlformats.org/officeDocument/2006/customXml" ds:itemID="{EBC534FB-C401-4476-BF11-90A2E3C5D2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Niknejad, Abbas</dc:creator>
  <cp:keywords/>
  <dc:description/>
  <cp:lastModifiedBy>Niknejad, Abbas</cp:lastModifiedBy>
  <cp:revision>2</cp:revision>
  <dcterms:created xsi:type="dcterms:W3CDTF">2022-04-19T20:12:00Z</dcterms:created>
  <dcterms:modified xsi:type="dcterms:W3CDTF">2022-04-19T20:12:00Z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