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53" w:rsidRPr="005A13D7" w:rsidRDefault="001449D6" w:rsidP="001449D6">
      <w:pPr>
        <w:jc w:val="center"/>
        <w:rPr>
          <w:b/>
          <w:sz w:val="24"/>
          <w:szCs w:val="24"/>
        </w:rPr>
      </w:pPr>
      <w:r w:rsidRPr="005A13D7">
        <w:rPr>
          <w:b/>
          <w:sz w:val="24"/>
          <w:szCs w:val="24"/>
          <w:lang w:val="en-US"/>
        </w:rPr>
        <w:t>FREQUENCY SPECTRUM</w:t>
      </w:r>
      <w:r w:rsidRPr="005A13D7">
        <w:rPr>
          <w:b/>
          <w:sz w:val="24"/>
          <w:szCs w:val="24"/>
        </w:rPr>
        <w:t xml:space="preserve"> MAN</w:t>
      </w:r>
      <w:r w:rsidR="005A13D7" w:rsidRPr="005A13D7">
        <w:rPr>
          <w:b/>
          <w:sz w:val="24"/>
          <w:szCs w:val="24"/>
        </w:rPr>
        <w:t>AGEMENT</w:t>
      </w:r>
      <w:r w:rsidRPr="005A13D7">
        <w:rPr>
          <w:b/>
          <w:sz w:val="24"/>
          <w:szCs w:val="24"/>
        </w:rPr>
        <w:t xml:space="preserve"> PANEL (FS</w:t>
      </w:r>
      <w:r w:rsidR="00C62653" w:rsidRPr="005A13D7">
        <w:rPr>
          <w:b/>
          <w:sz w:val="24"/>
          <w:szCs w:val="24"/>
        </w:rPr>
        <w:t>MP)</w:t>
      </w:r>
    </w:p>
    <w:p w:rsidR="0071789F" w:rsidRDefault="0071789F" w:rsidP="0071789F">
      <w:pPr>
        <w:tabs>
          <w:tab w:val="left" w:pos="6972"/>
        </w:tabs>
        <w:jc w:val="center"/>
        <w:rPr>
          <w:b/>
        </w:rPr>
      </w:pPr>
    </w:p>
    <w:p w:rsidR="00365BFB" w:rsidRDefault="00365BFB" w:rsidP="00365BFB">
      <w:pPr>
        <w:pStyle w:val="Maintitle"/>
      </w:pPr>
      <w:r>
        <w:t>Ninth Working Group meeting</w:t>
      </w:r>
    </w:p>
    <w:p w:rsidR="00365BFB" w:rsidRDefault="00365BFB" w:rsidP="00365BFB"/>
    <w:p w:rsidR="00365BFB" w:rsidRDefault="00365BFB" w:rsidP="00365BFB">
      <w:pPr>
        <w:jc w:val="center"/>
        <w:rPr>
          <w:b/>
          <w:bCs/>
          <w:szCs w:val="22"/>
        </w:rPr>
      </w:pPr>
      <w:bookmarkStart w:id="0" w:name="agenda_item"/>
      <w:bookmarkEnd w:id="0"/>
      <w:r>
        <w:rPr>
          <w:b/>
          <w:bCs/>
          <w:szCs w:val="22"/>
        </w:rPr>
        <w:t>Montréal, Canada, 22 – 30 August 2019</w:t>
      </w:r>
    </w:p>
    <w:p w:rsidR="00770160" w:rsidRDefault="00770160">
      <w:pPr>
        <w:tabs>
          <w:tab w:val="left" w:pos="0"/>
          <w:tab w:val="left" w:pos="1570"/>
          <w:tab w:val="left" w:pos="1857"/>
        </w:tabs>
      </w:pPr>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112A76">
        <w:rPr>
          <w:lang w:val="sv-SE"/>
        </w:rPr>
        <w:t>10: Any other business</w:t>
      </w:r>
    </w:p>
    <w:p w:rsidR="00112A76" w:rsidRPr="00112A76" w:rsidRDefault="00112A76" w:rsidP="00112A76">
      <w:pPr>
        <w:pStyle w:val="Agendaitemtitle"/>
        <w:rPr>
          <w:lang w:val="sv-SE"/>
        </w:rPr>
      </w:pPr>
      <w:r w:rsidRPr="00112A76">
        <w:rPr>
          <w:lang w:val="sv-SE"/>
        </w:rPr>
        <w:t>Agenda Item 9b:</w:t>
      </w:r>
      <w:r w:rsidR="00157126">
        <w:rPr>
          <w:lang w:val="sv-SE"/>
        </w:rPr>
        <w:t xml:space="preserve"> </w:t>
      </w:r>
      <w:r w:rsidRPr="00112A76">
        <w:rPr>
          <w:lang w:val="sv-SE"/>
        </w:rPr>
        <w:t>Inclusion of material from Annex 10, Vol I (nav-aids) “green pages”</w:t>
      </w:r>
    </w:p>
    <w:p w:rsidR="00770160" w:rsidRDefault="00770160">
      <w:pPr>
        <w:pStyle w:val="Agendaitemtitle"/>
        <w:rPr>
          <w:b w:val="0"/>
          <w:lang w:val="sv-SE"/>
        </w:rPr>
      </w:pPr>
    </w:p>
    <w:p w:rsidR="00770160" w:rsidRDefault="00770160">
      <w:pPr>
        <w:tabs>
          <w:tab w:val="left" w:pos="6972"/>
        </w:tabs>
        <w:rPr>
          <w:b/>
          <w:lang w:val="sv-SE"/>
        </w:rPr>
      </w:pPr>
    </w:p>
    <w:p w:rsidR="00442CB3" w:rsidRDefault="00442CB3" w:rsidP="00442CB3">
      <w:pPr>
        <w:pStyle w:val="Maintitle"/>
      </w:pPr>
      <w:r>
        <w:t>REPORT OF THE 8th MEETING</w:t>
      </w:r>
    </w:p>
    <w:p w:rsidR="00442CB3" w:rsidRDefault="00442CB3" w:rsidP="00442CB3">
      <w:pPr>
        <w:pStyle w:val="Maintitle"/>
      </w:pPr>
      <w:r>
        <w:tab/>
        <w:t xml:space="preserve">OF THE </w:t>
      </w:r>
      <w:r>
        <w:tab/>
      </w:r>
    </w:p>
    <w:p w:rsidR="00442CB3" w:rsidRDefault="00442CB3" w:rsidP="00442CB3">
      <w:pPr>
        <w:pStyle w:val="Maintitle"/>
      </w:pPr>
      <w:r>
        <w:t>ICAO NSP SPECTRUM WORKING GROUP</w:t>
      </w:r>
    </w:p>
    <w:p w:rsidR="00770160" w:rsidRDefault="00442CB3" w:rsidP="00442CB3">
      <w:pPr>
        <w:pStyle w:val="Maintitle"/>
      </w:pPr>
      <w:r>
        <w:t>8th to 11th April 2019, ICAO Headquarters, Montreal, Canada</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1" w:name="presented_by"/>
      <w:bookmarkEnd w:id="1"/>
      <w:r>
        <w:t xml:space="preserve"> </w:t>
      </w:r>
      <w:r w:rsidR="00442CB3">
        <w:t>SWG rapporteur, Felix Butsch</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381B3D" w:rsidRPr="00C72B3C" w:rsidRDefault="00381B3D" w:rsidP="00381B3D">
            <w:pPr>
              <w:rPr>
                <w:lang w:val="en-US"/>
              </w:rPr>
            </w:pPr>
            <w:r w:rsidRPr="00C72B3C">
              <w:rPr>
                <w:lang w:val="en-US"/>
              </w:rPr>
              <w:t xml:space="preserve">Attached to this paper is the report of the </w:t>
            </w:r>
            <w:r w:rsidR="00C72B3C" w:rsidRPr="00C72B3C">
              <w:rPr>
                <w:lang w:val="en-US"/>
              </w:rPr>
              <w:t>April 2019</w:t>
            </w:r>
            <w:r w:rsidR="00D1096A" w:rsidRPr="00C72B3C">
              <w:rPr>
                <w:lang w:val="en-US"/>
              </w:rPr>
              <w:t xml:space="preserve"> </w:t>
            </w:r>
            <w:r w:rsidRPr="00C72B3C">
              <w:rPr>
                <w:lang w:val="en-US"/>
              </w:rPr>
              <w:t xml:space="preserve">meeting of the ICAO NSP Spectrum Working Group (SWG). </w:t>
            </w:r>
            <w:r w:rsidR="00C72B3C" w:rsidRPr="00C72B3C">
              <w:rPr>
                <w:lang w:val="en-US"/>
              </w:rPr>
              <w:t xml:space="preserve"> </w:t>
            </w:r>
            <w:r w:rsidRPr="00C72B3C">
              <w:rPr>
                <w:lang w:val="en-US"/>
              </w:rPr>
              <w:t xml:space="preserve">The topic of most relevance for the ICAO FSMP WG </w:t>
            </w:r>
            <w:r w:rsidR="0007730C" w:rsidRPr="00C72B3C">
              <w:rPr>
                <w:lang w:val="en-US"/>
              </w:rPr>
              <w:t>is</w:t>
            </w:r>
            <w:r w:rsidR="00073420" w:rsidRPr="00C72B3C">
              <w:rPr>
                <w:lang w:val="en-US"/>
              </w:rPr>
              <w:t xml:space="preserve"> </w:t>
            </w:r>
            <w:r w:rsidRPr="00C72B3C">
              <w:rPr>
                <w:lang w:val="en-US"/>
              </w:rPr>
              <w:t xml:space="preserve">the preparation of </w:t>
            </w:r>
            <w:r w:rsidR="00D1096A" w:rsidRPr="00C72B3C">
              <w:rPr>
                <w:lang w:val="en-US"/>
              </w:rPr>
              <w:t xml:space="preserve">guidance material on </w:t>
            </w:r>
            <w:r w:rsidR="00C72B3C" w:rsidRPr="00C72B3C">
              <w:rPr>
                <w:lang w:val="en-US"/>
              </w:rPr>
              <w:t xml:space="preserve">compatibility analysis and </w:t>
            </w:r>
            <w:r w:rsidRPr="00C72B3C">
              <w:rPr>
                <w:lang w:val="en-US"/>
              </w:rPr>
              <w:t xml:space="preserve">frequency assignment planning of </w:t>
            </w:r>
            <w:r w:rsidR="00D1096A" w:rsidRPr="00C72B3C">
              <w:rPr>
                <w:lang w:val="en-US"/>
              </w:rPr>
              <w:t xml:space="preserve">terrestrial navigation aids </w:t>
            </w:r>
            <w:r w:rsidRPr="00C72B3C">
              <w:rPr>
                <w:lang w:val="en-US"/>
              </w:rPr>
              <w:t xml:space="preserve">for incorporation into </w:t>
            </w:r>
            <w:r w:rsidR="00C72B3C" w:rsidRPr="00C72B3C">
              <w:rPr>
                <w:lang w:val="en-US"/>
              </w:rPr>
              <w:t xml:space="preserve">Volume II of </w:t>
            </w:r>
            <w:r w:rsidRPr="00C72B3C">
              <w:rPr>
                <w:lang w:val="en-US"/>
              </w:rPr>
              <w:t xml:space="preserve">the </w:t>
            </w:r>
            <w:r w:rsidR="00D1096A" w:rsidRPr="00C72B3C">
              <w:rPr>
                <w:lang w:val="en-US"/>
              </w:rPr>
              <w:t>“</w:t>
            </w:r>
            <w:r w:rsidRPr="00C72B3C">
              <w:rPr>
                <w:lang w:val="en-US"/>
              </w:rPr>
              <w:t>Handbook on radio frequency spectrum requirements for civil aviation</w:t>
            </w:r>
            <w:r w:rsidR="00D1096A" w:rsidRPr="00C72B3C">
              <w:rPr>
                <w:lang w:val="en-US"/>
              </w:rPr>
              <w:t>”</w:t>
            </w:r>
            <w:r w:rsidRPr="00C72B3C">
              <w:rPr>
                <w:lang w:val="en-US"/>
              </w:rPr>
              <w:t xml:space="preserve">, </w:t>
            </w:r>
            <w:r w:rsidR="00D1096A" w:rsidRPr="00C72B3C">
              <w:rPr>
                <w:lang w:val="en-US"/>
              </w:rPr>
              <w:t>Doc. 9718</w:t>
            </w:r>
            <w:r w:rsidRPr="00C72B3C">
              <w:rPr>
                <w:lang w:val="en-US"/>
              </w:rPr>
              <w:t>.</w:t>
            </w:r>
          </w:p>
          <w:p w:rsidR="00C72B3C" w:rsidRPr="00C72B3C" w:rsidRDefault="00D1096A" w:rsidP="00D1096A">
            <w:pPr>
              <w:rPr>
                <w:lang w:val="en-US"/>
              </w:rPr>
            </w:pPr>
            <w:r w:rsidRPr="00C72B3C">
              <w:rPr>
                <w:lang w:val="en-US"/>
              </w:rPr>
              <w:t xml:space="preserve">The draft revision of the existing Chapter 1 on  “General Methodology for compatibility analysis“, of </w:t>
            </w:r>
            <w:r w:rsidR="00C72B3C" w:rsidRPr="00C72B3C">
              <w:rPr>
                <w:lang w:val="en-US"/>
              </w:rPr>
              <w:t xml:space="preserve">Vol. II of the </w:t>
            </w:r>
            <w:r w:rsidR="00D46138">
              <w:rPr>
                <w:lang w:val="en-US"/>
              </w:rPr>
              <w:t xml:space="preserve">“Spectrum </w:t>
            </w:r>
            <w:r w:rsidR="00C72B3C" w:rsidRPr="00C72B3C">
              <w:rPr>
                <w:lang w:val="en-US"/>
              </w:rPr>
              <w:t>Handbook</w:t>
            </w:r>
            <w:r w:rsidR="00D46138">
              <w:rPr>
                <w:lang w:val="en-US"/>
              </w:rPr>
              <w:t>”</w:t>
            </w:r>
            <w:r w:rsidR="00C72B3C" w:rsidRPr="00C72B3C">
              <w:rPr>
                <w:lang w:val="en-US"/>
              </w:rPr>
              <w:t xml:space="preserve"> </w:t>
            </w:r>
            <w:r w:rsidRPr="00C72B3C">
              <w:rPr>
                <w:lang w:val="en-US"/>
              </w:rPr>
              <w:t xml:space="preserve">as well as chapter 3 </w:t>
            </w:r>
            <w:r w:rsidR="00C72B3C" w:rsidRPr="00C72B3C">
              <w:rPr>
                <w:lang w:val="en-US"/>
              </w:rPr>
              <w:t xml:space="preserve">on </w:t>
            </w:r>
            <w:r w:rsidRPr="00C72B3C">
              <w:rPr>
                <w:lang w:val="en-US"/>
              </w:rPr>
              <w:t xml:space="preserve">ILS, </w:t>
            </w:r>
            <w:r w:rsidR="00C72B3C" w:rsidRPr="00C72B3C">
              <w:rPr>
                <w:lang w:val="en-US"/>
              </w:rPr>
              <w:t xml:space="preserve">chapter </w:t>
            </w:r>
            <w:r w:rsidRPr="00C72B3C">
              <w:rPr>
                <w:lang w:val="en-US"/>
              </w:rPr>
              <w:t xml:space="preserve">4 </w:t>
            </w:r>
            <w:r w:rsidR="00C72B3C" w:rsidRPr="00C72B3C">
              <w:rPr>
                <w:lang w:val="en-US"/>
              </w:rPr>
              <w:t xml:space="preserve">on </w:t>
            </w:r>
            <w:r w:rsidRPr="00C72B3C">
              <w:rPr>
                <w:lang w:val="en-US"/>
              </w:rPr>
              <w:t>VOR</w:t>
            </w:r>
            <w:r w:rsidR="00C72B3C" w:rsidRPr="00C72B3C">
              <w:rPr>
                <w:lang w:val="en-US"/>
              </w:rPr>
              <w:t xml:space="preserve"> and chapter 5 on </w:t>
            </w:r>
            <w:r w:rsidRPr="00C72B3C">
              <w:rPr>
                <w:lang w:val="en-US"/>
              </w:rPr>
              <w:t xml:space="preserve">DME are mature for approval by the October 2019 meeting of ICAO NSP.  </w:t>
            </w:r>
          </w:p>
          <w:p w:rsidR="00D1096A" w:rsidRDefault="00D46138" w:rsidP="00D1096A">
            <w:pPr>
              <w:rPr>
                <w:lang w:val="en-US"/>
              </w:rPr>
            </w:pPr>
            <w:r>
              <w:rPr>
                <w:lang w:val="en-US"/>
              </w:rPr>
              <w:t>The draft of C</w:t>
            </w:r>
            <w:r w:rsidRPr="00C72B3C">
              <w:rPr>
                <w:lang w:val="en-US"/>
              </w:rPr>
              <w:t xml:space="preserve">hapter 6 </w:t>
            </w:r>
            <w:r>
              <w:rPr>
                <w:lang w:val="en-US"/>
              </w:rPr>
              <w:t xml:space="preserve">on </w:t>
            </w:r>
            <w:r w:rsidR="00D1096A" w:rsidRPr="00C72B3C">
              <w:rPr>
                <w:lang w:val="en-US"/>
              </w:rPr>
              <w:t xml:space="preserve">GBAS/VDB </w:t>
            </w:r>
            <w:r w:rsidR="00C72B3C" w:rsidRPr="00C72B3C">
              <w:rPr>
                <w:lang w:val="en-US"/>
              </w:rPr>
              <w:t xml:space="preserve">may need </w:t>
            </w:r>
            <w:r>
              <w:rPr>
                <w:lang w:val="en-US"/>
              </w:rPr>
              <w:t xml:space="preserve">some </w:t>
            </w:r>
            <w:r w:rsidR="00C72B3C" w:rsidRPr="00C72B3C">
              <w:rPr>
                <w:lang w:val="en-US"/>
              </w:rPr>
              <w:t>further work</w:t>
            </w:r>
            <w:r>
              <w:rPr>
                <w:lang w:val="en-US"/>
              </w:rPr>
              <w:t>.</w:t>
            </w:r>
            <w:r w:rsidR="00C72B3C" w:rsidRPr="00C72B3C">
              <w:rPr>
                <w:lang w:val="en-US"/>
              </w:rPr>
              <w:t xml:space="preserve"> </w:t>
            </w:r>
            <w:r w:rsidR="00D1096A" w:rsidRPr="00C72B3C">
              <w:rPr>
                <w:lang w:val="en-US"/>
              </w:rPr>
              <w:t xml:space="preserve">It is related on “guidance material for GBAS/VDB siting and same-airport compatibility”, which is still under development. It is up to the next </w:t>
            </w:r>
            <w:r w:rsidR="00C72B3C" w:rsidRPr="00C72B3C">
              <w:rPr>
                <w:lang w:val="en-US"/>
              </w:rPr>
              <w:t xml:space="preserve">ICAO </w:t>
            </w:r>
            <w:r w:rsidR="00D1096A" w:rsidRPr="00C72B3C">
              <w:rPr>
                <w:lang w:val="en-US"/>
              </w:rPr>
              <w:t xml:space="preserve">NSP </w:t>
            </w:r>
            <w:r w:rsidR="00C72B3C" w:rsidRPr="00C72B3C">
              <w:rPr>
                <w:lang w:val="en-US"/>
              </w:rPr>
              <w:t xml:space="preserve">meeting </w:t>
            </w:r>
            <w:r w:rsidR="00D1096A" w:rsidRPr="00C72B3C">
              <w:rPr>
                <w:lang w:val="en-US"/>
              </w:rPr>
              <w:t>to finalize the GBAS</w:t>
            </w:r>
            <w:r w:rsidR="00C72B3C" w:rsidRPr="00C72B3C">
              <w:rPr>
                <w:lang w:val="en-US"/>
              </w:rPr>
              <w:t xml:space="preserve">/VDB-related </w:t>
            </w:r>
            <w:r w:rsidR="00D1096A" w:rsidRPr="00C72B3C">
              <w:rPr>
                <w:lang w:val="en-US"/>
              </w:rPr>
              <w:t>material and to decide</w:t>
            </w:r>
            <w:r>
              <w:rPr>
                <w:lang w:val="en-US"/>
              </w:rPr>
              <w:t>,</w:t>
            </w:r>
            <w:r w:rsidR="00D1096A" w:rsidRPr="00C72B3C">
              <w:rPr>
                <w:lang w:val="en-US"/>
              </w:rPr>
              <w:t xml:space="preserve"> whether </w:t>
            </w:r>
            <w:r w:rsidR="00C72B3C" w:rsidRPr="00C72B3C">
              <w:rPr>
                <w:lang w:val="en-US"/>
              </w:rPr>
              <w:t xml:space="preserve">it </w:t>
            </w:r>
            <w:r w:rsidR="00D1096A" w:rsidRPr="00C72B3C">
              <w:rPr>
                <w:lang w:val="en-US"/>
              </w:rPr>
              <w:t xml:space="preserve">should be </w:t>
            </w:r>
            <w:r w:rsidR="00C72B3C" w:rsidRPr="00C72B3C">
              <w:rPr>
                <w:lang w:val="en-US"/>
              </w:rPr>
              <w:t xml:space="preserve">entirely </w:t>
            </w:r>
            <w:r w:rsidR="00D1096A" w:rsidRPr="00C72B3C">
              <w:rPr>
                <w:lang w:val="en-US"/>
              </w:rPr>
              <w:t>included into the Handbook</w:t>
            </w:r>
            <w:r w:rsidR="00C72B3C" w:rsidRPr="00C72B3C">
              <w:rPr>
                <w:lang w:val="en-US"/>
              </w:rPr>
              <w:t xml:space="preserve"> or parts of it (e.g. on GBAS/VDB siting) should be put into ICAO Annex 10, Vol. I, Att. D.</w:t>
            </w:r>
          </w:p>
          <w:p w:rsidR="0007730C" w:rsidRDefault="0007730C" w:rsidP="00381B3D">
            <w:pPr>
              <w:rPr>
                <w:lang w:val="en-US"/>
              </w:rPr>
            </w:pPr>
          </w:p>
          <w:p w:rsidR="00381B3D" w:rsidRDefault="00381B3D" w:rsidP="00381B3D">
            <w:pPr>
              <w:rPr>
                <w:lang w:val="en-US"/>
              </w:rPr>
            </w:pPr>
          </w:p>
        </w:tc>
      </w:tr>
    </w:tbl>
    <w:p w:rsidR="00442CB3" w:rsidRDefault="00442CB3">
      <w:pPr>
        <w:jc w:val="left"/>
        <w:rPr>
          <w:b/>
          <w:snapToGrid w:val="0"/>
        </w:rPr>
      </w:pPr>
      <w:r>
        <w:br w:type="page"/>
      </w:r>
    </w:p>
    <w:p w:rsidR="004354F1" w:rsidRPr="00D46138" w:rsidRDefault="00442CB3" w:rsidP="00CC1EC4">
      <w:pPr>
        <w:pStyle w:val="Maintitle"/>
        <w:ind w:hanging="1080"/>
        <w:jc w:val="left"/>
        <w:rPr>
          <w:sz w:val="24"/>
          <w:szCs w:val="24"/>
        </w:rPr>
      </w:pPr>
      <w:r w:rsidRPr="00D46138">
        <w:rPr>
          <w:sz w:val="24"/>
          <w:szCs w:val="24"/>
        </w:rPr>
        <w:lastRenderedPageBreak/>
        <w:t xml:space="preserve">Attachment: </w:t>
      </w:r>
    </w:p>
    <w:p w:rsidR="00D46138" w:rsidRPr="00D46138" w:rsidRDefault="00442CB3" w:rsidP="00D46138">
      <w:pPr>
        <w:pStyle w:val="Maintitle"/>
        <w:ind w:hanging="1080"/>
        <w:rPr>
          <w:sz w:val="24"/>
          <w:szCs w:val="24"/>
        </w:rPr>
      </w:pPr>
      <w:r w:rsidRPr="00D46138">
        <w:rPr>
          <w:sz w:val="24"/>
          <w:szCs w:val="24"/>
        </w:rPr>
        <w:t xml:space="preserve">REPORT OF THE </w:t>
      </w:r>
      <w:proofErr w:type="spellStart"/>
      <w:r w:rsidR="00D46138" w:rsidRPr="00D46138">
        <w:rPr>
          <w:sz w:val="24"/>
          <w:szCs w:val="24"/>
        </w:rPr>
        <w:t>APRIl</w:t>
      </w:r>
      <w:proofErr w:type="spellEnd"/>
      <w:r w:rsidR="00D46138" w:rsidRPr="00D46138">
        <w:rPr>
          <w:sz w:val="24"/>
          <w:szCs w:val="24"/>
        </w:rPr>
        <w:t xml:space="preserve"> 2019 METING</w:t>
      </w:r>
    </w:p>
    <w:p w:rsidR="00CC1EC4" w:rsidRPr="00D46138" w:rsidRDefault="00D46138" w:rsidP="00D46138">
      <w:pPr>
        <w:pStyle w:val="Maintitle"/>
        <w:ind w:hanging="1080"/>
        <w:rPr>
          <w:sz w:val="24"/>
          <w:szCs w:val="24"/>
        </w:rPr>
      </w:pPr>
      <w:r w:rsidRPr="00D46138">
        <w:rPr>
          <w:sz w:val="24"/>
          <w:szCs w:val="24"/>
        </w:rPr>
        <w:t>OF THE</w:t>
      </w:r>
      <w:r w:rsidR="00442CB3" w:rsidRPr="00D46138">
        <w:rPr>
          <w:sz w:val="24"/>
          <w:szCs w:val="24"/>
        </w:rPr>
        <w:t>ICAO NSP SPECTRUM WORKING GROUP</w:t>
      </w:r>
      <w:r w:rsidR="00CC1EC4" w:rsidRPr="00D46138">
        <w:rPr>
          <w:sz w:val="24"/>
          <w:szCs w:val="24"/>
        </w:rPr>
        <w:t xml:space="preserve">, </w:t>
      </w:r>
      <w:r w:rsidR="004354F1" w:rsidRPr="00D46138">
        <w:rPr>
          <w:sz w:val="24"/>
          <w:szCs w:val="24"/>
        </w:rPr>
        <w:t xml:space="preserve">Montreal, </w:t>
      </w:r>
      <w:r w:rsidR="00CC1EC4" w:rsidRPr="00D46138">
        <w:rPr>
          <w:sz w:val="24"/>
          <w:szCs w:val="24"/>
        </w:rPr>
        <w:t>April 2019</w:t>
      </w:r>
    </w:p>
    <w:p w:rsidR="00442CB3" w:rsidRDefault="00442CB3" w:rsidP="00442CB3">
      <w:pPr>
        <w:pStyle w:val="Maintitle"/>
        <w:jc w:val="left"/>
      </w:pPr>
      <w:r>
        <w:t xml:space="preserve">  </w:t>
      </w:r>
    </w:p>
    <w:p w:rsidR="00442CB3" w:rsidRPr="00CF7E2D" w:rsidRDefault="00442CB3" w:rsidP="00442CB3">
      <w:pPr>
        <w:pStyle w:val="1Heading"/>
        <w:numPr>
          <w:ilvl w:val="0"/>
          <w:numId w:val="0"/>
        </w:numPr>
      </w:pPr>
      <w:r w:rsidRPr="00CF7E2D">
        <w:t>I. Introduction</w:t>
      </w:r>
    </w:p>
    <w:p w:rsidR="00442CB3" w:rsidRPr="00D6214C" w:rsidRDefault="00442CB3" w:rsidP="00442CB3">
      <w:pPr>
        <w:rPr>
          <w:strike/>
        </w:rPr>
      </w:pPr>
      <w:r w:rsidRPr="00073420">
        <w:t>The 8</w:t>
      </w:r>
      <w:r w:rsidRPr="00073420">
        <w:rPr>
          <w:vertAlign w:val="superscript"/>
        </w:rPr>
        <w:t>th</w:t>
      </w:r>
      <w:r w:rsidRPr="00073420">
        <w:t xml:space="preserve"> meeting of the ICAO NSP Spectrum Working Group (SWG) was held at ICAO Head</w:t>
      </w:r>
      <w:r w:rsidRPr="00073420">
        <w:softHyphen/>
        <w:t>quarters, Montreal from 8</w:t>
      </w:r>
      <w:r w:rsidRPr="00073420">
        <w:rPr>
          <w:vertAlign w:val="superscript"/>
        </w:rPr>
        <w:t>th</w:t>
      </w:r>
      <w:r w:rsidRPr="00073420">
        <w:t xml:space="preserve"> to 11</w:t>
      </w:r>
      <w:r w:rsidRPr="00073420">
        <w:rPr>
          <w:vertAlign w:val="superscript"/>
        </w:rPr>
        <w:t>th</w:t>
      </w:r>
      <w:r w:rsidRPr="00073420">
        <w:t xml:space="preserve"> April 2019. </w:t>
      </w:r>
      <w:r w:rsidRPr="009646B6">
        <w:t xml:space="preserve">Mr. Felix Butsch, the rapporteur of the SWG, chaired the meeting. </w:t>
      </w:r>
      <w:r>
        <w:t xml:space="preserve">In addition to the normal meeting of the SWG, the </w:t>
      </w:r>
      <w:r w:rsidRPr="009646B6">
        <w:t>SWG discussed GBAS-related during a one-day session with participation of some members of the GBAS Working Group (GWG) via teleconference (WebEx).</w:t>
      </w:r>
    </w:p>
    <w:p w:rsidR="00442CB3" w:rsidRPr="00CF7E2D" w:rsidRDefault="00442CB3" w:rsidP="00442CB3"/>
    <w:p w:rsidR="00442CB3" w:rsidRPr="00CF7E2D" w:rsidRDefault="00442CB3" w:rsidP="00442CB3">
      <w:r w:rsidRPr="00CF7E2D">
        <w:t>Attachment A of this report contains a list of action items and actionees. Attachment B provides a list of participants</w:t>
      </w:r>
      <w:r>
        <w:t>, including those</w:t>
      </w:r>
      <w:r w:rsidRPr="00CF7E2D">
        <w:t xml:space="preserve"> participating via teleconference. </w:t>
      </w:r>
    </w:p>
    <w:p w:rsidR="00442CB3" w:rsidRPr="00CF7E2D" w:rsidRDefault="00442CB3" w:rsidP="00442CB3"/>
    <w:p w:rsidR="00442CB3" w:rsidRPr="00CF7E2D" w:rsidRDefault="00442CB3" w:rsidP="00442CB3">
      <w:r w:rsidRPr="00CF7E2D">
        <w:t>The following table contains an overview of agenda items with corresponding working and informa</w:t>
      </w:r>
      <w:r>
        <w:softHyphen/>
      </w:r>
      <w:r w:rsidRPr="00CF7E2D">
        <w:t>tion papers, which were discussed by the SWG: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103"/>
        <w:gridCol w:w="3261"/>
      </w:tblGrid>
      <w:tr w:rsidR="00442CB3" w:rsidRPr="00CF7E2D" w:rsidTr="00E55495">
        <w:tc>
          <w:tcPr>
            <w:tcW w:w="1134" w:type="dxa"/>
          </w:tcPr>
          <w:p w:rsidR="00442CB3" w:rsidRPr="00CF7E2D" w:rsidRDefault="00442CB3" w:rsidP="00D1096A">
            <w:pPr>
              <w:rPr>
                <w:b/>
                <w:bCs/>
                <w:sz w:val="20"/>
              </w:rPr>
            </w:pPr>
            <w:r w:rsidRPr="00CF7E2D">
              <w:rPr>
                <w:b/>
                <w:bCs/>
                <w:sz w:val="20"/>
              </w:rPr>
              <w:t xml:space="preserve">WP/IP No. </w:t>
            </w:r>
          </w:p>
        </w:tc>
        <w:tc>
          <w:tcPr>
            <w:tcW w:w="5103" w:type="dxa"/>
          </w:tcPr>
          <w:p w:rsidR="00442CB3" w:rsidRPr="00CF7E2D" w:rsidRDefault="00442CB3" w:rsidP="00D1096A">
            <w:pPr>
              <w:rPr>
                <w:b/>
                <w:bCs/>
                <w:sz w:val="20"/>
              </w:rPr>
            </w:pPr>
            <w:r w:rsidRPr="00CF7E2D">
              <w:rPr>
                <w:b/>
                <w:bCs/>
                <w:sz w:val="20"/>
              </w:rPr>
              <w:t xml:space="preserve">Title </w:t>
            </w:r>
          </w:p>
        </w:tc>
        <w:tc>
          <w:tcPr>
            <w:tcW w:w="3261" w:type="dxa"/>
          </w:tcPr>
          <w:p w:rsidR="00442CB3" w:rsidRPr="00CF7E2D" w:rsidRDefault="00442CB3" w:rsidP="00D1096A">
            <w:pPr>
              <w:rPr>
                <w:b/>
                <w:bCs/>
                <w:sz w:val="20"/>
              </w:rPr>
            </w:pPr>
            <w:r w:rsidRPr="00CF7E2D">
              <w:rPr>
                <w:b/>
                <w:bCs/>
                <w:sz w:val="20"/>
              </w:rPr>
              <w:t>Presented to NSP by (Presented to SWG by)</w:t>
            </w:r>
          </w:p>
        </w:tc>
      </w:tr>
      <w:tr w:rsidR="00442CB3" w:rsidRPr="00CF7E2D" w:rsidTr="00E55495">
        <w:tc>
          <w:tcPr>
            <w:tcW w:w="9498" w:type="dxa"/>
            <w:gridSpan w:val="3"/>
          </w:tcPr>
          <w:p w:rsidR="00442CB3" w:rsidRPr="00CF7E2D" w:rsidRDefault="00442CB3" w:rsidP="00D1096A">
            <w:pPr>
              <w:rPr>
                <w:b/>
              </w:rPr>
            </w:pPr>
            <w:r w:rsidRPr="00CF7E2D">
              <w:rPr>
                <w:b/>
                <w:highlight w:val="green"/>
              </w:rPr>
              <w:t>Agenda Item 6a): Signal and compatibility issues in the in the band 108 to 117.975 MHz</w:t>
            </w:r>
          </w:p>
        </w:tc>
      </w:tr>
      <w:tr w:rsidR="00442CB3" w:rsidRPr="00CF7E2D" w:rsidTr="00E55495">
        <w:tc>
          <w:tcPr>
            <w:tcW w:w="9498" w:type="dxa"/>
            <w:gridSpan w:val="3"/>
          </w:tcPr>
          <w:p w:rsidR="00442CB3" w:rsidRPr="00CF7E2D" w:rsidRDefault="00442CB3" w:rsidP="00D1096A">
            <w:pPr>
              <w:rPr>
                <w:sz w:val="20"/>
              </w:rPr>
            </w:pPr>
            <w:r w:rsidRPr="009646B6">
              <w:rPr>
                <w:i/>
                <w:sz w:val="20"/>
              </w:rPr>
              <w:t xml:space="preserve">Note: The papers </w:t>
            </w:r>
            <w:r>
              <w:rPr>
                <w:i/>
                <w:sz w:val="20"/>
              </w:rPr>
              <w:t xml:space="preserve">an topics </w:t>
            </w:r>
            <w:r w:rsidRPr="009646B6">
              <w:rPr>
                <w:i/>
                <w:sz w:val="20"/>
              </w:rPr>
              <w:t>below, which are covered by this agenda item, were discussed by the SWG alone.</w:t>
            </w:r>
          </w:p>
        </w:tc>
      </w:tr>
      <w:tr w:rsidR="00442CB3" w:rsidRPr="00934771" w:rsidTr="00E55495">
        <w:tc>
          <w:tcPr>
            <w:tcW w:w="1134" w:type="dxa"/>
          </w:tcPr>
          <w:p w:rsidR="00442CB3" w:rsidRPr="009646B6" w:rsidRDefault="00442CB3" w:rsidP="00D1096A">
            <w:pPr>
              <w:rPr>
                <w:sz w:val="18"/>
                <w:szCs w:val="22"/>
                <w:highlight w:val="cyan"/>
              </w:rPr>
            </w:pPr>
            <w:r w:rsidRPr="009646B6">
              <w:rPr>
                <w:sz w:val="18"/>
                <w:szCs w:val="22"/>
                <w:highlight w:val="cyan"/>
              </w:rPr>
              <w:t>WP02</w:t>
            </w:r>
          </w:p>
        </w:tc>
        <w:tc>
          <w:tcPr>
            <w:tcW w:w="5103" w:type="dxa"/>
          </w:tcPr>
          <w:p w:rsidR="00442CB3" w:rsidRPr="009646B6" w:rsidRDefault="00442CB3" w:rsidP="00381B3D">
            <w:pPr>
              <w:rPr>
                <w:sz w:val="18"/>
                <w:szCs w:val="22"/>
                <w:highlight w:val="cyan"/>
              </w:rPr>
            </w:pPr>
            <w:r w:rsidRPr="009646B6">
              <w:rPr>
                <w:sz w:val="18"/>
                <w:szCs w:val="22"/>
                <w:highlight w:val="cyan"/>
              </w:rPr>
              <w:t xml:space="preserve">Handbook on radio frequency spectrum requirements for civil aviation, Volume II (Doc. 9718) - Chapter 1 – General Methodology for compatibility </w:t>
            </w:r>
            <w:r w:rsidR="00381B3D">
              <w:rPr>
                <w:sz w:val="18"/>
                <w:szCs w:val="22"/>
                <w:highlight w:val="cyan"/>
              </w:rPr>
              <w:t>a</w:t>
            </w:r>
            <w:r w:rsidRPr="009646B6">
              <w:rPr>
                <w:sz w:val="18"/>
                <w:szCs w:val="22"/>
                <w:highlight w:val="cyan"/>
              </w:rPr>
              <w:t>nalysis</w:t>
            </w:r>
          </w:p>
        </w:tc>
        <w:tc>
          <w:tcPr>
            <w:tcW w:w="3261" w:type="dxa"/>
          </w:tcPr>
          <w:p w:rsidR="00442CB3" w:rsidRPr="009646B6" w:rsidRDefault="00442CB3" w:rsidP="00D1096A">
            <w:pPr>
              <w:rPr>
                <w:sz w:val="20"/>
                <w:szCs w:val="22"/>
              </w:rPr>
            </w:pPr>
            <w:r w:rsidRPr="009646B6">
              <w:rPr>
                <w:sz w:val="20"/>
                <w:szCs w:val="22"/>
              </w:rPr>
              <w:t>NSP Secretary</w:t>
            </w:r>
          </w:p>
          <w:p w:rsidR="00442CB3" w:rsidRPr="009646B6" w:rsidRDefault="00442CB3" w:rsidP="00D1096A">
            <w:pPr>
              <w:rPr>
                <w:sz w:val="20"/>
                <w:szCs w:val="22"/>
              </w:rPr>
            </w:pPr>
            <w:r w:rsidRPr="009646B6">
              <w:rPr>
                <w:sz w:val="20"/>
                <w:szCs w:val="22"/>
              </w:rPr>
              <w:t>(Robert Witzen)</w:t>
            </w:r>
          </w:p>
        </w:tc>
      </w:tr>
      <w:tr w:rsidR="00442CB3" w:rsidRPr="00934771" w:rsidTr="00E55495">
        <w:tc>
          <w:tcPr>
            <w:tcW w:w="1134" w:type="dxa"/>
          </w:tcPr>
          <w:p w:rsidR="00442CB3" w:rsidRPr="009646B6" w:rsidRDefault="00442CB3" w:rsidP="00D1096A">
            <w:pPr>
              <w:rPr>
                <w:sz w:val="18"/>
                <w:szCs w:val="22"/>
                <w:highlight w:val="cyan"/>
              </w:rPr>
            </w:pPr>
            <w:r w:rsidRPr="009646B6">
              <w:rPr>
                <w:sz w:val="18"/>
                <w:szCs w:val="22"/>
                <w:highlight w:val="cyan"/>
              </w:rPr>
              <w:t>WP12, rev.1</w:t>
            </w:r>
          </w:p>
        </w:tc>
        <w:tc>
          <w:tcPr>
            <w:tcW w:w="5103" w:type="dxa"/>
          </w:tcPr>
          <w:p w:rsidR="00442CB3" w:rsidRPr="009646B6" w:rsidRDefault="00442CB3" w:rsidP="00D1096A">
            <w:pPr>
              <w:rPr>
                <w:sz w:val="18"/>
                <w:szCs w:val="22"/>
                <w:highlight w:val="cyan"/>
              </w:rPr>
            </w:pPr>
            <w:r w:rsidRPr="009646B6">
              <w:rPr>
                <w:sz w:val="18"/>
                <w:szCs w:val="22"/>
                <w:highlight w:val="cyan"/>
              </w:rPr>
              <w:t>Handbook on radio frequency spectrum requirements for civil aviation, Volume II (Doc. 9718)</w:t>
            </w:r>
            <w:r>
              <w:rPr>
                <w:sz w:val="18"/>
                <w:szCs w:val="22"/>
                <w:highlight w:val="cyan"/>
              </w:rPr>
              <w:t xml:space="preserve"> </w:t>
            </w:r>
            <w:r w:rsidRPr="009646B6">
              <w:rPr>
                <w:sz w:val="18"/>
                <w:szCs w:val="22"/>
                <w:highlight w:val="cyan"/>
              </w:rPr>
              <w:t>-Use of ITU aeronautical propagation curves for 5% and 50% of the time</w:t>
            </w:r>
          </w:p>
        </w:tc>
        <w:tc>
          <w:tcPr>
            <w:tcW w:w="3261" w:type="dxa"/>
          </w:tcPr>
          <w:p w:rsidR="00442CB3" w:rsidRPr="009646B6" w:rsidRDefault="00442CB3" w:rsidP="00D1096A">
            <w:pPr>
              <w:rPr>
                <w:sz w:val="20"/>
                <w:szCs w:val="22"/>
              </w:rPr>
            </w:pPr>
            <w:r w:rsidRPr="009646B6">
              <w:rPr>
                <w:sz w:val="20"/>
                <w:szCs w:val="22"/>
              </w:rPr>
              <w:t>NSP Secretary</w:t>
            </w:r>
          </w:p>
          <w:p w:rsidR="00442CB3" w:rsidRPr="009646B6" w:rsidRDefault="00442CB3" w:rsidP="00D1096A">
            <w:pPr>
              <w:rPr>
                <w:sz w:val="20"/>
                <w:szCs w:val="22"/>
              </w:rPr>
            </w:pPr>
            <w:r w:rsidRPr="009646B6">
              <w:rPr>
                <w:sz w:val="20"/>
                <w:szCs w:val="22"/>
              </w:rPr>
              <w:t>(Robert Witzen)</w:t>
            </w:r>
          </w:p>
        </w:tc>
      </w:tr>
      <w:tr w:rsidR="00442CB3" w:rsidRPr="00934771" w:rsidTr="00E55495">
        <w:tc>
          <w:tcPr>
            <w:tcW w:w="1134" w:type="dxa"/>
          </w:tcPr>
          <w:p w:rsidR="00442CB3" w:rsidRPr="009646B6" w:rsidRDefault="00442CB3" w:rsidP="00D1096A">
            <w:pPr>
              <w:rPr>
                <w:sz w:val="18"/>
                <w:szCs w:val="22"/>
                <w:highlight w:val="cyan"/>
              </w:rPr>
            </w:pPr>
            <w:r w:rsidRPr="009646B6">
              <w:rPr>
                <w:sz w:val="18"/>
                <w:szCs w:val="22"/>
                <w:highlight w:val="cyan"/>
              </w:rPr>
              <w:t>WP03</w:t>
            </w:r>
          </w:p>
        </w:tc>
        <w:tc>
          <w:tcPr>
            <w:tcW w:w="5103" w:type="dxa"/>
          </w:tcPr>
          <w:p w:rsidR="00442CB3" w:rsidRPr="009646B6" w:rsidRDefault="00442CB3" w:rsidP="00D1096A">
            <w:pPr>
              <w:rPr>
                <w:sz w:val="18"/>
                <w:szCs w:val="22"/>
                <w:highlight w:val="cyan"/>
              </w:rPr>
            </w:pPr>
            <w:r w:rsidRPr="009646B6">
              <w:rPr>
                <w:sz w:val="18"/>
                <w:szCs w:val="22"/>
                <w:highlight w:val="cyan"/>
              </w:rPr>
              <w:t>Handbook on radio frequency spectrum requirements for civil aviation, Volume II (Doc. 9718) Chapter 3 – ILS</w:t>
            </w:r>
          </w:p>
        </w:tc>
        <w:tc>
          <w:tcPr>
            <w:tcW w:w="3261" w:type="dxa"/>
          </w:tcPr>
          <w:p w:rsidR="00442CB3" w:rsidRPr="009646B6" w:rsidRDefault="00442CB3" w:rsidP="00D1096A">
            <w:pPr>
              <w:rPr>
                <w:sz w:val="20"/>
                <w:szCs w:val="22"/>
              </w:rPr>
            </w:pPr>
            <w:r w:rsidRPr="009646B6">
              <w:rPr>
                <w:sz w:val="20"/>
                <w:szCs w:val="22"/>
              </w:rPr>
              <w:t>NSP Secretary</w:t>
            </w:r>
          </w:p>
          <w:p w:rsidR="00442CB3" w:rsidRPr="009646B6" w:rsidRDefault="00442CB3" w:rsidP="00D1096A">
            <w:pPr>
              <w:rPr>
                <w:sz w:val="20"/>
                <w:szCs w:val="22"/>
              </w:rPr>
            </w:pPr>
            <w:r w:rsidRPr="009646B6">
              <w:rPr>
                <w:sz w:val="20"/>
                <w:szCs w:val="22"/>
              </w:rPr>
              <w:t>(Robert Witzen</w:t>
            </w:r>
          </w:p>
        </w:tc>
      </w:tr>
      <w:tr w:rsidR="00442CB3" w:rsidRPr="00934771" w:rsidTr="00E55495">
        <w:tc>
          <w:tcPr>
            <w:tcW w:w="1134" w:type="dxa"/>
          </w:tcPr>
          <w:p w:rsidR="00442CB3" w:rsidRPr="009646B6" w:rsidRDefault="00442CB3" w:rsidP="00D1096A">
            <w:pPr>
              <w:rPr>
                <w:sz w:val="18"/>
                <w:szCs w:val="22"/>
                <w:highlight w:val="cyan"/>
              </w:rPr>
            </w:pPr>
            <w:r w:rsidRPr="009646B6">
              <w:rPr>
                <w:sz w:val="18"/>
                <w:szCs w:val="22"/>
                <w:highlight w:val="cyan"/>
              </w:rPr>
              <w:t>WP04</w:t>
            </w:r>
          </w:p>
        </w:tc>
        <w:tc>
          <w:tcPr>
            <w:tcW w:w="5103" w:type="dxa"/>
          </w:tcPr>
          <w:p w:rsidR="00442CB3" w:rsidRPr="009646B6" w:rsidRDefault="00442CB3" w:rsidP="00D1096A">
            <w:pPr>
              <w:rPr>
                <w:sz w:val="18"/>
                <w:szCs w:val="22"/>
                <w:highlight w:val="cyan"/>
              </w:rPr>
            </w:pPr>
            <w:r w:rsidRPr="009646B6">
              <w:rPr>
                <w:sz w:val="18"/>
                <w:szCs w:val="22"/>
                <w:highlight w:val="cyan"/>
              </w:rPr>
              <w:t>Handbook on radio frequency spectrum requirements for civil aviation, Volume II (Doc. 9718) Chapter 4 - VOR</w:t>
            </w:r>
          </w:p>
        </w:tc>
        <w:tc>
          <w:tcPr>
            <w:tcW w:w="3261" w:type="dxa"/>
          </w:tcPr>
          <w:p w:rsidR="00442CB3" w:rsidRPr="009646B6" w:rsidRDefault="00442CB3" w:rsidP="00D1096A">
            <w:pPr>
              <w:rPr>
                <w:sz w:val="20"/>
                <w:szCs w:val="22"/>
              </w:rPr>
            </w:pPr>
            <w:r w:rsidRPr="009646B6">
              <w:rPr>
                <w:sz w:val="20"/>
                <w:szCs w:val="22"/>
              </w:rPr>
              <w:t>NSP Secretary</w:t>
            </w:r>
          </w:p>
          <w:p w:rsidR="00442CB3" w:rsidRPr="009646B6" w:rsidRDefault="00442CB3" w:rsidP="00D1096A">
            <w:pPr>
              <w:rPr>
                <w:sz w:val="20"/>
                <w:szCs w:val="22"/>
              </w:rPr>
            </w:pPr>
            <w:r w:rsidRPr="009646B6">
              <w:rPr>
                <w:sz w:val="20"/>
                <w:szCs w:val="22"/>
              </w:rPr>
              <w:t>(Robert Witzen</w:t>
            </w:r>
          </w:p>
        </w:tc>
      </w:tr>
      <w:tr w:rsidR="00442CB3" w:rsidRPr="00934771" w:rsidTr="00E55495">
        <w:tc>
          <w:tcPr>
            <w:tcW w:w="9498" w:type="dxa"/>
            <w:gridSpan w:val="3"/>
          </w:tcPr>
          <w:p w:rsidR="00442CB3" w:rsidRPr="003724F0" w:rsidRDefault="00442CB3" w:rsidP="00D1096A">
            <w:pPr>
              <w:rPr>
                <w:i/>
                <w:sz w:val="20"/>
                <w:szCs w:val="22"/>
              </w:rPr>
            </w:pPr>
            <w:r w:rsidRPr="003724F0">
              <w:rPr>
                <w:i/>
                <w:sz w:val="20"/>
                <w:szCs w:val="22"/>
              </w:rPr>
              <w:t>Note: The papers below, which are covered by this agenda item, were discussed by the SWG with participation of members of the GWG via teleconference (WebEx).</w:t>
            </w:r>
          </w:p>
        </w:tc>
      </w:tr>
      <w:tr w:rsidR="00442CB3" w:rsidRPr="00934771" w:rsidTr="00E55495">
        <w:tc>
          <w:tcPr>
            <w:tcW w:w="1134" w:type="dxa"/>
          </w:tcPr>
          <w:p w:rsidR="00442CB3" w:rsidRPr="009646B6" w:rsidRDefault="00442CB3" w:rsidP="00D1096A">
            <w:pPr>
              <w:rPr>
                <w:sz w:val="18"/>
                <w:szCs w:val="22"/>
                <w:highlight w:val="cyan"/>
              </w:rPr>
            </w:pPr>
            <w:r w:rsidRPr="009646B6">
              <w:rPr>
                <w:sz w:val="18"/>
                <w:szCs w:val="22"/>
                <w:highlight w:val="cyan"/>
              </w:rPr>
              <w:t>WP25, rev.1 and rev. 2</w:t>
            </w:r>
          </w:p>
        </w:tc>
        <w:tc>
          <w:tcPr>
            <w:tcW w:w="5103" w:type="dxa"/>
          </w:tcPr>
          <w:p w:rsidR="00442CB3" w:rsidRPr="009646B6" w:rsidRDefault="00442CB3" w:rsidP="00D1096A">
            <w:pPr>
              <w:rPr>
                <w:sz w:val="18"/>
                <w:szCs w:val="22"/>
                <w:highlight w:val="cyan"/>
              </w:rPr>
            </w:pPr>
            <w:r w:rsidRPr="009646B6">
              <w:rPr>
                <w:sz w:val="18"/>
                <w:szCs w:val="22"/>
                <w:highlight w:val="cyan"/>
              </w:rPr>
              <w:t>GBAS/VDB Signal-In-Space Desired-To-Undesired ratios for frequency coordination</w:t>
            </w:r>
          </w:p>
        </w:tc>
        <w:tc>
          <w:tcPr>
            <w:tcW w:w="3261" w:type="dxa"/>
          </w:tcPr>
          <w:p w:rsidR="00442CB3" w:rsidRPr="009646B6" w:rsidRDefault="00442CB3" w:rsidP="00D1096A">
            <w:pPr>
              <w:rPr>
                <w:sz w:val="20"/>
                <w:szCs w:val="22"/>
              </w:rPr>
            </w:pPr>
            <w:r w:rsidRPr="009646B6">
              <w:rPr>
                <w:sz w:val="20"/>
                <w:szCs w:val="22"/>
              </w:rPr>
              <w:t>Benoit Roturier</w:t>
            </w:r>
          </w:p>
          <w:p w:rsidR="00442CB3" w:rsidRPr="009646B6" w:rsidRDefault="00442CB3" w:rsidP="00D1096A">
            <w:pPr>
              <w:rPr>
                <w:sz w:val="20"/>
                <w:szCs w:val="22"/>
              </w:rPr>
            </w:pPr>
            <w:r w:rsidRPr="009646B6">
              <w:rPr>
                <w:sz w:val="20"/>
                <w:szCs w:val="22"/>
              </w:rPr>
              <w:t>(Pierre Ladoux)</w:t>
            </w:r>
          </w:p>
        </w:tc>
      </w:tr>
      <w:tr w:rsidR="00442CB3" w:rsidRPr="001D5E24" w:rsidTr="00E55495">
        <w:tc>
          <w:tcPr>
            <w:tcW w:w="1134" w:type="dxa"/>
          </w:tcPr>
          <w:p w:rsidR="00442CB3" w:rsidRPr="009646B6" w:rsidRDefault="00442CB3" w:rsidP="00D1096A">
            <w:pPr>
              <w:rPr>
                <w:sz w:val="18"/>
                <w:szCs w:val="22"/>
                <w:highlight w:val="cyan"/>
              </w:rPr>
            </w:pPr>
            <w:r w:rsidRPr="009646B6">
              <w:rPr>
                <w:sz w:val="18"/>
                <w:szCs w:val="22"/>
                <w:highlight w:val="cyan"/>
              </w:rPr>
              <w:t>WP37</w:t>
            </w:r>
          </w:p>
        </w:tc>
        <w:tc>
          <w:tcPr>
            <w:tcW w:w="5103" w:type="dxa"/>
          </w:tcPr>
          <w:p w:rsidR="00442CB3" w:rsidRPr="009646B6" w:rsidRDefault="00442CB3" w:rsidP="00D1096A">
            <w:pPr>
              <w:rPr>
                <w:sz w:val="18"/>
                <w:szCs w:val="22"/>
                <w:highlight w:val="cyan"/>
              </w:rPr>
            </w:pPr>
            <w:r w:rsidRPr="009646B6">
              <w:rPr>
                <w:sz w:val="18"/>
                <w:szCs w:val="22"/>
                <w:highlight w:val="cyan"/>
              </w:rPr>
              <w:t>G</w:t>
            </w:r>
            <w:r w:rsidRPr="009646B6">
              <w:rPr>
                <w:sz w:val="20"/>
                <w:szCs w:val="22"/>
                <w:highlight w:val="cyan"/>
              </w:rPr>
              <w:t>BAS/VDB frequency planning exercise: new results</w:t>
            </w:r>
          </w:p>
        </w:tc>
        <w:tc>
          <w:tcPr>
            <w:tcW w:w="3261" w:type="dxa"/>
          </w:tcPr>
          <w:p w:rsidR="00442CB3" w:rsidRPr="009646B6" w:rsidRDefault="00442CB3" w:rsidP="00D1096A">
            <w:pPr>
              <w:rPr>
                <w:sz w:val="20"/>
                <w:szCs w:val="22"/>
              </w:rPr>
            </w:pPr>
            <w:r w:rsidRPr="009646B6">
              <w:rPr>
                <w:sz w:val="20"/>
                <w:szCs w:val="22"/>
              </w:rPr>
              <w:t>Benoit Roturier</w:t>
            </w:r>
          </w:p>
          <w:p w:rsidR="00442CB3" w:rsidRPr="009646B6" w:rsidRDefault="00442CB3" w:rsidP="00D1096A">
            <w:pPr>
              <w:rPr>
                <w:sz w:val="20"/>
                <w:szCs w:val="22"/>
              </w:rPr>
            </w:pPr>
            <w:r w:rsidRPr="009646B6">
              <w:rPr>
                <w:sz w:val="20"/>
                <w:szCs w:val="22"/>
              </w:rPr>
              <w:t>(Pierre Ladoux)</w:t>
            </w:r>
          </w:p>
        </w:tc>
      </w:tr>
      <w:tr w:rsidR="00442CB3" w:rsidRPr="00934771" w:rsidTr="00E55495">
        <w:tc>
          <w:tcPr>
            <w:tcW w:w="1134" w:type="dxa"/>
          </w:tcPr>
          <w:p w:rsidR="00442CB3" w:rsidRPr="009646B6" w:rsidRDefault="00442CB3" w:rsidP="00D1096A">
            <w:pPr>
              <w:rPr>
                <w:sz w:val="18"/>
                <w:szCs w:val="22"/>
                <w:highlight w:val="cyan"/>
              </w:rPr>
            </w:pPr>
            <w:r w:rsidRPr="009646B6">
              <w:rPr>
                <w:sz w:val="18"/>
                <w:szCs w:val="22"/>
                <w:highlight w:val="cyan"/>
              </w:rPr>
              <w:t>WP06, rev.3</w:t>
            </w:r>
          </w:p>
        </w:tc>
        <w:tc>
          <w:tcPr>
            <w:tcW w:w="5103" w:type="dxa"/>
          </w:tcPr>
          <w:p w:rsidR="00442CB3" w:rsidRPr="009646B6" w:rsidRDefault="00442CB3" w:rsidP="00D1096A">
            <w:pPr>
              <w:rPr>
                <w:i/>
                <w:sz w:val="18"/>
                <w:szCs w:val="22"/>
                <w:highlight w:val="cyan"/>
              </w:rPr>
            </w:pPr>
            <w:r w:rsidRPr="009646B6">
              <w:rPr>
                <w:sz w:val="18"/>
                <w:szCs w:val="22"/>
                <w:highlight w:val="cyan"/>
              </w:rPr>
              <w:t>Handbook on radio frequency spectrum requirements for civil aviation, Volume II (Doc. 9718), Chapter 6 – GBAS/VDB</w:t>
            </w:r>
          </w:p>
        </w:tc>
        <w:tc>
          <w:tcPr>
            <w:tcW w:w="3261" w:type="dxa"/>
          </w:tcPr>
          <w:p w:rsidR="00442CB3" w:rsidRPr="009646B6" w:rsidRDefault="00442CB3" w:rsidP="00D1096A">
            <w:pPr>
              <w:rPr>
                <w:sz w:val="20"/>
                <w:szCs w:val="22"/>
              </w:rPr>
            </w:pPr>
            <w:r w:rsidRPr="009646B6">
              <w:rPr>
                <w:sz w:val="20"/>
                <w:szCs w:val="22"/>
              </w:rPr>
              <w:t>NSP Secretary</w:t>
            </w:r>
          </w:p>
          <w:p w:rsidR="00442CB3" w:rsidRPr="009646B6" w:rsidRDefault="00442CB3" w:rsidP="00D1096A">
            <w:pPr>
              <w:rPr>
                <w:sz w:val="20"/>
                <w:szCs w:val="22"/>
              </w:rPr>
            </w:pPr>
            <w:r w:rsidRPr="009646B6">
              <w:rPr>
                <w:sz w:val="20"/>
                <w:szCs w:val="22"/>
              </w:rPr>
              <w:t>(Robert Witzen)</w:t>
            </w:r>
          </w:p>
        </w:tc>
      </w:tr>
      <w:tr w:rsidR="00442CB3" w:rsidRPr="00934771" w:rsidTr="00E55495">
        <w:tc>
          <w:tcPr>
            <w:tcW w:w="1134" w:type="dxa"/>
          </w:tcPr>
          <w:p w:rsidR="00442CB3" w:rsidRPr="00145F04" w:rsidRDefault="00442CB3" w:rsidP="00D1096A">
            <w:pPr>
              <w:rPr>
                <w:sz w:val="18"/>
                <w:szCs w:val="22"/>
                <w:highlight w:val="cyan"/>
              </w:rPr>
            </w:pPr>
          </w:p>
        </w:tc>
        <w:tc>
          <w:tcPr>
            <w:tcW w:w="5103" w:type="dxa"/>
          </w:tcPr>
          <w:p w:rsidR="00442CB3" w:rsidRPr="004C1C99" w:rsidRDefault="00442CB3" w:rsidP="00D1096A">
            <w:pPr>
              <w:rPr>
                <w:sz w:val="18"/>
                <w:szCs w:val="22"/>
                <w:highlight w:val="cyan"/>
              </w:rPr>
            </w:pPr>
            <w:r w:rsidRPr="004C1C99">
              <w:rPr>
                <w:sz w:val="18"/>
                <w:szCs w:val="22"/>
                <w:highlight w:val="cyan"/>
              </w:rPr>
              <w:t>&lt;Way-forward towards international frequency coordination guidance and same-airport compatibility guidance</w:t>
            </w:r>
            <w:r>
              <w:rPr>
                <w:sz w:val="18"/>
                <w:szCs w:val="22"/>
                <w:highlight w:val="cyan"/>
              </w:rPr>
              <w:t xml:space="preserve"> for GBAS VDB</w:t>
            </w:r>
            <w:r w:rsidRPr="004C1C99">
              <w:rPr>
                <w:sz w:val="18"/>
                <w:szCs w:val="22"/>
                <w:highlight w:val="cyan"/>
              </w:rPr>
              <w:t>&gt;</w:t>
            </w:r>
          </w:p>
          <w:p w:rsidR="00442CB3" w:rsidRPr="00920FC0" w:rsidRDefault="00442CB3" w:rsidP="00D1096A">
            <w:pPr>
              <w:rPr>
                <w:i/>
                <w:sz w:val="18"/>
                <w:szCs w:val="22"/>
                <w:highlight w:val="cyan"/>
              </w:rPr>
            </w:pPr>
            <w:r w:rsidRPr="00920FC0">
              <w:rPr>
                <w:i/>
                <w:sz w:val="18"/>
                <w:szCs w:val="22"/>
              </w:rPr>
              <w:t>Note: This topic was discussed in the context of discussing GBAS VDB related papers with participation on GWG-members via teleconference.</w:t>
            </w:r>
          </w:p>
        </w:tc>
        <w:tc>
          <w:tcPr>
            <w:tcW w:w="3261" w:type="dxa"/>
          </w:tcPr>
          <w:p w:rsidR="00442CB3" w:rsidRPr="00D73DAC" w:rsidRDefault="00442CB3" w:rsidP="00D1096A">
            <w:pPr>
              <w:rPr>
                <w:sz w:val="20"/>
                <w:szCs w:val="22"/>
              </w:rPr>
            </w:pPr>
          </w:p>
        </w:tc>
      </w:tr>
      <w:tr w:rsidR="00442CB3" w:rsidRPr="00CF7E2D" w:rsidTr="00E55495">
        <w:trPr>
          <w:cantSplit/>
        </w:trPr>
        <w:tc>
          <w:tcPr>
            <w:tcW w:w="9498" w:type="dxa"/>
            <w:gridSpan w:val="3"/>
          </w:tcPr>
          <w:p w:rsidR="00442CB3" w:rsidRPr="00CF7E2D" w:rsidRDefault="00442CB3" w:rsidP="00D1096A">
            <w:pPr>
              <w:rPr>
                <w:sz w:val="20"/>
              </w:rPr>
            </w:pPr>
          </w:p>
        </w:tc>
      </w:tr>
      <w:tr w:rsidR="00442CB3" w:rsidRPr="00CF7E2D" w:rsidTr="00E55495">
        <w:tc>
          <w:tcPr>
            <w:tcW w:w="9498" w:type="dxa"/>
            <w:gridSpan w:val="3"/>
          </w:tcPr>
          <w:p w:rsidR="00442CB3" w:rsidRPr="00CF7E2D" w:rsidRDefault="00442CB3" w:rsidP="00D1096A">
            <w:pPr>
              <w:rPr>
                <w:sz w:val="20"/>
              </w:rPr>
            </w:pPr>
            <w:r w:rsidRPr="00CF7E2D">
              <w:rPr>
                <w:b/>
                <w:highlight w:val="green"/>
              </w:rPr>
              <w:t>Agenda Item 6b): Signal and compatibility issues in the band 960 to 1215 MHz</w:t>
            </w:r>
          </w:p>
        </w:tc>
      </w:tr>
      <w:tr w:rsidR="00442CB3" w:rsidRPr="00CF7E2D" w:rsidTr="00E55495">
        <w:tc>
          <w:tcPr>
            <w:tcW w:w="9498" w:type="dxa"/>
            <w:gridSpan w:val="3"/>
          </w:tcPr>
          <w:p w:rsidR="00442CB3" w:rsidRPr="00CF7E2D" w:rsidRDefault="00442CB3" w:rsidP="00D1096A">
            <w:pPr>
              <w:rPr>
                <w:sz w:val="20"/>
              </w:rPr>
            </w:pPr>
          </w:p>
        </w:tc>
      </w:tr>
      <w:tr w:rsidR="00442CB3" w:rsidRPr="00CF7E2D" w:rsidTr="00E55495">
        <w:tc>
          <w:tcPr>
            <w:tcW w:w="1134" w:type="dxa"/>
          </w:tcPr>
          <w:p w:rsidR="00442CB3" w:rsidRPr="009646B6" w:rsidRDefault="00442CB3" w:rsidP="00D1096A">
            <w:pPr>
              <w:rPr>
                <w:sz w:val="18"/>
                <w:szCs w:val="22"/>
                <w:highlight w:val="cyan"/>
              </w:rPr>
            </w:pPr>
            <w:r w:rsidRPr="009646B6">
              <w:rPr>
                <w:sz w:val="18"/>
                <w:szCs w:val="22"/>
                <w:highlight w:val="cyan"/>
              </w:rPr>
              <w:t>WP05</w:t>
            </w:r>
          </w:p>
        </w:tc>
        <w:tc>
          <w:tcPr>
            <w:tcW w:w="5103" w:type="dxa"/>
          </w:tcPr>
          <w:p w:rsidR="00442CB3" w:rsidRPr="009646B6" w:rsidRDefault="00442CB3" w:rsidP="00D1096A">
            <w:pPr>
              <w:rPr>
                <w:sz w:val="18"/>
                <w:szCs w:val="22"/>
                <w:highlight w:val="cyan"/>
              </w:rPr>
            </w:pPr>
            <w:r w:rsidRPr="009646B6">
              <w:rPr>
                <w:sz w:val="18"/>
                <w:szCs w:val="22"/>
                <w:highlight w:val="cyan"/>
              </w:rPr>
              <w:t>Handbook on radio frequency spectrum requirements for civil aviation, Volume II (Doc. 9718) Chapter 5 - DME</w:t>
            </w:r>
          </w:p>
        </w:tc>
        <w:tc>
          <w:tcPr>
            <w:tcW w:w="3261" w:type="dxa"/>
          </w:tcPr>
          <w:p w:rsidR="00442CB3" w:rsidRPr="009646B6" w:rsidRDefault="00442CB3" w:rsidP="00D1096A">
            <w:pPr>
              <w:rPr>
                <w:sz w:val="20"/>
                <w:szCs w:val="22"/>
              </w:rPr>
            </w:pPr>
            <w:r w:rsidRPr="009646B6">
              <w:rPr>
                <w:sz w:val="20"/>
                <w:szCs w:val="22"/>
              </w:rPr>
              <w:t>NSP Secretary</w:t>
            </w:r>
          </w:p>
          <w:p w:rsidR="00442CB3" w:rsidRPr="009646B6" w:rsidRDefault="00442CB3" w:rsidP="00D1096A">
            <w:pPr>
              <w:rPr>
                <w:sz w:val="20"/>
                <w:szCs w:val="22"/>
                <w:highlight w:val="cyan"/>
              </w:rPr>
            </w:pPr>
            <w:r w:rsidRPr="009646B6">
              <w:rPr>
                <w:sz w:val="20"/>
                <w:szCs w:val="22"/>
              </w:rPr>
              <w:t>(Robert Witzen)</w:t>
            </w:r>
          </w:p>
        </w:tc>
      </w:tr>
      <w:tr w:rsidR="00442CB3" w:rsidRPr="00CF7E2D" w:rsidTr="00E55495">
        <w:trPr>
          <w:cantSplit/>
        </w:trPr>
        <w:tc>
          <w:tcPr>
            <w:tcW w:w="9498" w:type="dxa"/>
            <w:gridSpan w:val="3"/>
          </w:tcPr>
          <w:p w:rsidR="00442CB3" w:rsidRDefault="00442CB3" w:rsidP="00D1096A">
            <w:pPr>
              <w:rPr>
                <w:sz w:val="20"/>
              </w:rPr>
            </w:pPr>
          </w:p>
          <w:p w:rsidR="00442CB3" w:rsidRDefault="00442CB3" w:rsidP="00D1096A">
            <w:pPr>
              <w:rPr>
                <w:sz w:val="20"/>
              </w:rPr>
            </w:pPr>
          </w:p>
          <w:p w:rsidR="00E55495" w:rsidRPr="00CF7E2D" w:rsidRDefault="00E55495" w:rsidP="00D1096A">
            <w:pPr>
              <w:rPr>
                <w:sz w:val="20"/>
              </w:rPr>
            </w:pPr>
          </w:p>
        </w:tc>
      </w:tr>
      <w:tr w:rsidR="00442CB3" w:rsidRPr="00CF7E2D" w:rsidTr="00E55495">
        <w:tc>
          <w:tcPr>
            <w:tcW w:w="9498" w:type="dxa"/>
            <w:gridSpan w:val="3"/>
          </w:tcPr>
          <w:p w:rsidR="00442CB3" w:rsidRPr="00CF7E2D" w:rsidRDefault="00442CB3" w:rsidP="00D1096A">
            <w:pPr>
              <w:rPr>
                <w:sz w:val="20"/>
              </w:rPr>
            </w:pPr>
            <w:r w:rsidRPr="00CF7E2D">
              <w:rPr>
                <w:b/>
                <w:highlight w:val="green"/>
              </w:rPr>
              <w:t>Agenda Item 6c): Signal and compatibility issues in the band 5000 to 5150 MHz</w:t>
            </w:r>
          </w:p>
        </w:tc>
      </w:tr>
      <w:tr w:rsidR="00442CB3" w:rsidRPr="00CF7E2D" w:rsidTr="00E55495">
        <w:tc>
          <w:tcPr>
            <w:tcW w:w="9498" w:type="dxa"/>
            <w:gridSpan w:val="3"/>
          </w:tcPr>
          <w:p w:rsidR="00442CB3" w:rsidRPr="00CF7E2D" w:rsidRDefault="00442CB3" w:rsidP="00D1096A">
            <w:pPr>
              <w:rPr>
                <w:sz w:val="20"/>
                <w:highlight w:val="lightGray"/>
              </w:rPr>
            </w:pPr>
            <w:r w:rsidRPr="00CF7E2D">
              <w:rPr>
                <w:i/>
                <w:iCs/>
                <w:sz w:val="20"/>
              </w:rPr>
              <w:t>Note: No papers have been presented and no discussion took place under this agenda item.</w:t>
            </w:r>
          </w:p>
        </w:tc>
      </w:tr>
      <w:tr w:rsidR="00442CB3" w:rsidRPr="00CF7E2D" w:rsidTr="00E55495">
        <w:trPr>
          <w:cantSplit/>
        </w:trPr>
        <w:tc>
          <w:tcPr>
            <w:tcW w:w="9498" w:type="dxa"/>
            <w:gridSpan w:val="3"/>
          </w:tcPr>
          <w:p w:rsidR="00442CB3" w:rsidRPr="00CF7E2D" w:rsidRDefault="00442CB3" w:rsidP="00D1096A">
            <w:pPr>
              <w:rPr>
                <w:b/>
                <w:bCs/>
                <w:sz w:val="20"/>
              </w:rPr>
            </w:pPr>
          </w:p>
        </w:tc>
      </w:tr>
      <w:tr w:rsidR="00442CB3" w:rsidRPr="00CF7E2D" w:rsidTr="00E55495">
        <w:tc>
          <w:tcPr>
            <w:tcW w:w="9498" w:type="dxa"/>
            <w:gridSpan w:val="3"/>
          </w:tcPr>
          <w:p w:rsidR="00442CB3" w:rsidRPr="00CF7E2D" w:rsidRDefault="00442CB3" w:rsidP="00D1096A">
            <w:pPr>
              <w:rPr>
                <w:sz w:val="20"/>
              </w:rPr>
            </w:pPr>
            <w:r w:rsidRPr="00CF7E2D">
              <w:rPr>
                <w:b/>
                <w:highlight w:val="green"/>
              </w:rPr>
              <w:t>Agenda Item 6d): GNSS signal and interference issues</w:t>
            </w:r>
          </w:p>
        </w:tc>
      </w:tr>
      <w:tr w:rsidR="00442CB3" w:rsidRPr="00CF7E2D" w:rsidTr="00E55495">
        <w:tc>
          <w:tcPr>
            <w:tcW w:w="9498" w:type="dxa"/>
            <w:gridSpan w:val="3"/>
          </w:tcPr>
          <w:p w:rsidR="00442CB3" w:rsidRPr="00CF7E2D" w:rsidRDefault="00442CB3" w:rsidP="00D1096A">
            <w:pPr>
              <w:rPr>
                <w:sz w:val="20"/>
              </w:rPr>
            </w:pPr>
          </w:p>
        </w:tc>
      </w:tr>
      <w:tr w:rsidR="00442CB3" w:rsidRPr="00AA26EE" w:rsidTr="00E55495">
        <w:tc>
          <w:tcPr>
            <w:tcW w:w="1134" w:type="dxa"/>
          </w:tcPr>
          <w:p w:rsidR="00442CB3" w:rsidRPr="00D313B0" w:rsidRDefault="00442CB3" w:rsidP="00D1096A">
            <w:pPr>
              <w:rPr>
                <w:sz w:val="18"/>
                <w:szCs w:val="22"/>
                <w:highlight w:val="cyan"/>
              </w:rPr>
            </w:pPr>
            <w:r w:rsidRPr="00D313B0">
              <w:rPr>
                <w:sz w:val="18"/>
                <w:szCs w:val="22"/>
                <w:highlight w:val="cyan"/>
              </w:rPr>
              <w:t>IP35</w:t>
            </w:r>
          </w:p>
        </w:tc>
        <w:tc>
          <w:tcPr>
            <w:tcW w:w="5103" w:type="dxa"/>
          </w:tcPr>
          <w:p w:rsidR="00442CB3" w:rsidRPr="00D313B0" w:rsidRDefault="00442CB3" w:rsidP="00D1096A">
            <w:pPr>
              <w:rPr>
                <w:sz w:val="18"/>
                <w:szCs w:val="22"/>
                <w:highlight w:val="cyan"/>
              </w:rPr>
            </w:pPr>
            <w:r w:rsidRPr="00D313B0">
              <w:rPr>
                <w:sz w:val="18"/>
                <w:szCs w:val="22"/>
                <w:highlight w:val="cyan"/>
              </w:rPr>
              <w:t>GNSS RFI reports via EVAIR</w:t>
            </w:r>
          </w:p>
        </w:tc>
        <w:tc>
          <w:tcPr>
            <w:tcW w:w="3261" w:type="dxa"/>
          </w:tcPr>
          <w:p w:rsidR="00442CB3" w:rsidRPr="00D313B0" w:rsidRDefault="00442CB3" w:rsidP="00D1096A">
            <w:pPr>
              <w:rPr>
                <w:sz w:val="18"/>
                <w:szCs w:val="22"/>
                <w:highlight w:val="cyan"/>
              </w:rPr>
            </w:pPr>
            <w:r w:rsidRPr="00D313B0">
              <w:rPr>
                <w:sz w:val="18"/>
                <w:szCs w:val="22"/>
                <w:highlight w:val="cyan"/>
              </w:rPr>
              <w:t>(Gerhard Berz)</w:t>
            </w:r>
          </w:p>
        </w:tc>
      </w:tr>
      <w:tr w:rsidR="00442CB3" w:rsidRPr="00CF7E2D" w:rsidTr="00E55495">
        <w:trPr>
          <w:cantSplit/>
        </w:trPr>
        <w:tc>
          <w:tcPr>
            <w:tcW w:w="9498" w:type="dxa"/>
            <w:gridSpan w:val="3"/>
          </w:tcPr>
          <w:p w:rsidR="00442CB3" w:rsidRPr="00CF7E2D" w:rsidRDefault="00442CB3" w:rsidP="00D1096A">
            <w:pPr>
              <w:rPr>
                <w:sz w:val="20"/>
              </w:rPr>
            </w:pPr>
          </w:p>
        </w:tc>
      </w:tr>
      <w:tr w:rsidR="00442CB3" w:rsidRPr="00CF7E2D" w:rsidTr="00E55495">
        <w:tc>
          <w:tcPr>
            <w:tcW w:w="9498" w:type="dxa"/>
            <w:gridSpan w:val="3"/>
          </w:tcPr>
          <w:p w:rsidR="00442CB3" w:rsidRPr="00CF7E2D" w:rsidRDefault="00442CB3" w:rsidP="00D1096A">
            <w:pPr>
              <w:rPr>
                <w:sz w:val="20"/>
              </w:rPr>
            </w:pPr>
            <w:r w:rsidRPr="00CF7E2D">
              <w:rPr>
                <w:b/>
                <w:highlight w:val="green"/>
              </w:rPr>
              <w:t>Agenda Item 6e): Open actions for the SWG from the ICAO NSP Panel meetings</w:t>
            </w:r>
          </w:p>
        </w:tc>
      </w:tr>
      <w:tr w:rsidR="00442CB3" w:rsidRPr="00CF7E2D" w:rsidTr="00E55495">
        <w:tc>
          <w:tcPr>
            <w:tcW w:w="9498" w:type="dxa"/>
            <w:gridSpan w:val="3"/>
          </w:tcPr>
          <w:p w:rsidR="00442CB3" w:rsidRPr="00CF7E2D" w:rsidRDefault="00442CB3" w:rsidP="00D1096A">
            <w:pPr>
              <w:rPr>
                <w:sz w:val="20"/>
              </w:rPr>
            </w:pPr>
            <w:r w:rsidRPr="00CF7E2D">
              <w:rPr>
                <w:i/>
                <w:iCs/>
                <w:sz w:val="20"/>
              </w:rPr>
              <w:t>Note: No papers have been presented under this agenda item.</w:t>
            </w:r>
          </w:p>
        </w:tc>
      </w:tr>
      <w:tr w:rsidR="00442CB3" w:rsidRPr="00CF7E2D" w:rsidTr="00E55495">
        <w:trPr>
          <w:cantSplit/>
        </w:trPr>
        <w:tc>
          <w:tcPr>
            <w:tcW w:w="9498" w:type="dxa"/>
            <w:gridSpan w:val="3"/>
          </w:tcPr>
          <w:p w:rsidR="00442CB3" w:rsidRPr="00CF7E2D" w:rsidRDefault="00442CB3" w:rsidP="00D1096A">
            <w:pPr>
              <w:rPr>
                <w:sz w:val="20"/>
              </w:rPr>
            </w:pPr>
          </w:p>
        </w:tc>
      </w:tr>
      <w:tr w:rsidR="00442CB3" w:rsidRPr="00CF7E2D" w:rsidTr="00E55495">
        <w:tc>
          <w:tcPr>
            <w:tcW w:w="9498" w:type="dxa"/>
            <w:gridSpan w:val="3"/>
          </w:tcPr>
          <w:p w:rsidR="00442CB3" w:rsidRPr="00CF7E2D" w:rsidRDefault="00442CB3" w:rsidP="00D1096A">
            <w:pPr>
              <w:rPr>
                <w:b/>
              </w:rPr>
            </w:pPr>
            <w:r w:rsidRPr="00CF7E2D">
              <w:rPr>
                <w:b/>
                <w:highlight w:val="green"/>
              </w:rPr>
              <w:t>Agenda Item 6f): Spectrum – any other business</w:t>
            </w:r>
          </w:p>
          <w:p w:rsidR="00442CB3" w:rsidRPr="00CF7E2D" w:rsidRDefault="00442CB3" w:rsidP="00D1096A">
            <w:pPr>
              <w:rPr>
                <w:sz w:val="20"/>
              </w:rPr>
            </w:pPr>
          </w:p>
        </w:tc>
      </w:tr>
      <w:tr w:rsidR="00442CB3" w:rsidRPr="00CE5B8C" w:rsidTr="00E55495">
        <w:tc>
          <w:tcPr>
            <w:tcW w:w="1134" w:type="dxa"/>
          </w:tcPr>
          <w:p w:rsidR="00442CB3" w:rsidRPr="00D313B0" w:rsidRDefault="00442CB3" w:rsidP="00D1096A">
            <w:pPr>
              <w:rPr>
                <w:sz w:val="18"/>
                <w:szCs w:val="22"/>
                <w:highlight w:val="cyan"/>
              </w:rPr>
            </w:pPr>
            <w:r w:rsidRPr="00D313B0">
              <w:rPr>
                <w:sz w:val="18"/>
                <w:szCs w:val="22"/>
                <w:highlight w:val="cyan"/>
              </w:rPr>
              <w:t>IP12</w:t>
            </w:r>
          </w:p>
        </w:tc>
        <w:tc>
          <w:tcPr>
            <w:tcW w:w="5103" w:type="dxa"/>
          </w:tcPr>
          <w:p w:rsidR="00442CB3" w:rsidRPr="00D313B0" w:rsidRDefault="00442CB3" w:rsidP="00D1096A">
            <w:pPr>
              <w:rPr>
                <w:sz w:val="18"/>
                <w:szCs w:val="22"/>
                <w:highlight w:val="cyan"/>
              </w:rPr>
            </w:pPr>
            <w:r w:rsidRPr="00D313B0">
              <w:rPr>
                <w:sz w:val="18"/>
                <w:szCs w:val="22"/>
                <w:highlight w:val="cyan"/>
              </w:rPr>
              <w:t>Approval of NSP Job Cards by Air Navigation Commission</w:t>
            </w:r>
          </w:p>
          <w:p w:rsidR="00442CB3" w:rsidRPr="00D313B0" w:rsidRDefault="00442CB3" w:rsidP="00D1096A">
            <w:pPr>
              <w:rPr>
                <w:sz w:val="18"/>
                <w:szCs w:val="22"/>
                <w:highlight w:val="cyan"/>
              </w:rPr>
            </w:pPr>
          </w:p>
        </w:tc>
        <w:tc>
          <w:tcPr>
            <w:tcW w:w="3261" w:type="dxa"/>
          </w:tcPr>
          <w:p w:rsidR="00442CB3" w:rsidRPr="00D313B0" w:rsidRDefault="00442CB3" w:rsidP="00D1096A">
            <w:pPr>
              <w:rPr>
                <w:sz w:val="18"/>
                <w:szCs w:val="22"/>
                <w:highlight w:val="cyan"/>
              </w:rPr>
            </w:pPr>
            <w:r w:rsidRPr="00D313B0">
              <w:rPr>
                <w:sz w:val="18"/>
                <w:szCs w:val="22"/>
                <w:highlight w:val="cyan"/>
              </w:rPr>
              <w:t>NSP Secretary</w:t>
            </w:r>
          </w:p>
          <w:p w:rsidR="00442CB3" w:rsidRPr="00D313B0" w:rsidRDefault="00442CB3" w:rsidP="00D1096A">
            <w:pPr>
              <w:rPr>
                <w:sz w:val="18"/>
                <w:szCs w:val="22"/>
                <w:highlight w:val="cyan"/>
              </w:rPr>
            </w:pPr>
          </w:p>
        </w:tc>
      </w:tr>
    </w:tbl>
    <w:p w:rsidR="00442CB3" w:rsidRPr="00CF7E2D" w:rsidRDefault="00442CB3" w:rsidP="00442CB3">
      <w:pPr>
        <w:rPr>
          <w:b/>
          <w:sz w:val="24"/>
        </w:rPr>
      </w:pPr>
    </w:p>
    <w:p w:rsidR="00442CB3" w:rsidRPr="00CF7E2D" w:rsidRDefault="00442CB3" w:rsidP="00442CB3">
      <w:pPr>
        <w:pStyle w:val="1Heading"/>
        <w:numPr>
          <w:ilvl w:val="0"/>
          <w:numId w:val="0"/>
        </w:numPr>
      </w:pPr>
      <w:r w:rsidRPr="00CF7E2D">
        <w:t>II. Results of the Discussions</w:t>
      </w:r>
    </w:p>
    <w:p w:rsidR="00442CB3" w:rsidRPr="00CF7E2D" w:rsidRDefault="00442CB3" w:rsidP="00442CB3">
      <w:pPr>
        <w:rPr>
          <w:b/>
          <w:highlight w:val="green"/>
        </w:rPr>
      </w:pPr>
      <w:r w:rsidRPr="00CF7E2D">
        <w:rPr>
          <w:b/>
          <w:highlight w:val="green"/>
        </w:rPr>
        <w:t>Agenda Item 6a): Signal and compatibility issues in the in the band 108 to 117.975 MHz</w:t>
      </w:r>
    </w:p>
    <w:p w:rsidR="00442CB3" w:rsidRPr="00CF7E2D" w:rsidRDefault="00442CB3" w:rsidP="00442CB3">
      <w:pPr>
        <w:rPr>
          <w:b/>
          <w:highlight w:val="green"/>
        </w:rPr>
      </w:pPr>
    </w:p>
    <w:p w:rsidR="00442CB3" w:rsidRDefault="00442CB3" w:rsidP="00442CB3">
      <w:pPr>
        <w:rPr>
          <w:i/>
        </w:rPr>
      </w:pPr>
      <w:r w:rsidRPr="00D313B0">
        <w:rPr>
          <w:i/>
        </w:rPr>
        <w:t>Note: The papers below, which are covered by this agenda item, were discussed by the SWG alone.</w:t>
      </w:r>
    </w:p>
    <w:p w:rsidR="00442CB3" w:rsidRDefault="00442CB3" w:rsidP="00442CB3">
      <w:pPr>
        <w:ind w:left="426" w:hanging="426"/>
        <w:rPr>
          <w:b/>
        </w:rPr>
      </w:pPr>
    </w:p>
    <w:p w:rsidR="00442CB3" w:rsidRPr="00033259" w:rsidRDefault="00442CB3" w:rsidP="00442CB3">
      <w:pPr>
        <w:ind w:left="426" w:hanging="426"/>
        <w:rPr>
          <w:b/>
          <w:highlight w:val="cyan"/>
        </w:rPr>
      </w:pPr>
      <w:r w:rsidRPr="00033259">
        <w:rPr>
          <w:b/>
          <w:highlight w:val="cyan"/>
        </w:rPr>
        <w:t>WP02,</w:t>
      </w:r>
      <w:r w:rsidRPr="00033259">
        <w:rPr>
          <w:b/>
          <w:highlight w:val="cyan"/>
        </w:rPr>
        <w:tab/>
        <w:t>Handbook on radio frequency spectrum requirements for civil aviation, Volume II (Doc. 9718) - Chapt</w:t>
      </w:r>
      <w:r>
        <w:rPr>
          <w:b/>
          <w:highlight w:val="cyan"/>
        </w:rPr>
        <w:t>er 1 – General Methodology for C</w:t>
      </w:r>
      <w:r w:rsidRPr="00033259">
        <w:rPr>
          <w:b/>
          <w:highlight w:val="cyan"/>
        </w:rPr>
        <w:t>ompatibility Analysis</w:t>
      </w:r>
    </w:p>
    <w:p w:rsidR="00442CB3" w:rsidRDefault="00442CB3" w:rsidP="00442CB3">
      <w:pPr>
        <w:pStyle w:val="SWGreportblock6a"/>
      </w:pPr>
      <w:r>
        <w:t>This paper presents a proposed revision of the existing Chapter 1 of the current Volume II of the ICAO Handbook on Radio Frequency Spectrum Requirements for Civil Aviation (DOC 9718). The main goal of the revisions is to improve the material on using the ITU-R propagation curves for aeronautical mobile and radionavigation services as contained in ITU-R Recommendation P.528-3. This Recommendation is foreseen to be updated by the ITU-R Study Group 3</w:t>
      </w:r>
      <w:r w:rsidRPr="00491B93">
        <w:t xml:space="preserve"> </w:t>
      </w:r>
      <w:r>
        <w:t xml:space="preserve">in May 2019. </w:t>
      </w:r>
    </w:p>
    <w:p w:rsidR="00442CB3" w:rsidRDefault="00442CB3" w:rsidP="00442CB3">
      <w:pPr>
        <w:pStyle w:val="SWGreportblock6a"/>
      </w:pPr>
      <w:r>
        <w:t xml:space="preserve">Section 1.3.3 in Chapter 1 has been largely re-written with the view to describe the increased propagation loss in the region closer to the radio line-of-sight of the radio path. This is caused by interference between the direct ray and a ray reflected from the surface of the Earth as well as the effect of the ground where diffraction starts to manifest itself. </w:t>
      </w:r>
    </w:p>
    <w:p w:rsidR="00442CB3" w:rsidRDefault="00442CB3" w:rsidP="00442CB3">
      <w:pPr>
        <w:pStyle w:val="SWGreportblock6a"/>
      </w:pPr>
      <w:r>
        <w:t xml:space="preserve">The new section 1.4 describes the generic model for the calculation of the minimum geographical separation distance between desired and undesired facilities. This model is assuming the protection of the minimum required field strength at the aircraft antenna. The minimum required field strength (desired signal) is specified in ICAO Annex 10. Protection of the desired signal is obtained by ensuring that the transmission loss between the undesired facility and the aircraft at the edge of the Designated Operational Coverage (DOC) is large enough to attenuate the undesired signal to below the maximum allowed level. This level in turn is determined by the established Desired-to-Undesired (D/U) signal ratio. </w:t>
      </w:r>
    </w:p>
    <w:p w:rsidR="00E55495" w:rsidRDefault="00E55495" w:rsidP="00E55495">
      <w:pPr>
        <w:pStyle w:val="SWGreportblock6a"/>
        <w:numPr>
          <w:ilvl w:val="0"/>
          <w:numId w:val="0"/>
        </w:numPr>
        <w:ind w:left="720" w:hanging="360"/>
      </w:pPr>
    </w:p>
    <w:p w:rsidR="00E55495" w:rsidRDefault="00E55495" w:rsidP="00E55495">
      <w:pPr>
        <w:pStyle w:val="SWGreportblock6a"/>
        <w:numPr>
          <w:ilvl w:val="0"/>
          <w:numId w:val="0"/>
        </w:numPr>
        <w:ind w:left="720" w:hanging="360"/>
      </w:pPr>
    </w:p>
    <w:p w:rsidR="00442CB3" w:rsidRDefault="00442CB3" w:rsidP="00442CB3">
      <w:pPr>
        <w:pStyle w:val="SWGreportblock6a"/>
      </w:pPr>
      <w:r>
        <w:t>In the discussion members of the SWG asked, whether there will be an impact by the expected update of ITU-R Recommendation P.528. The author of WP02 replied that he will closely monitor the update and will consider the changes in an update of this paper, which he will present to the autumn 2019 meeting of SWG. Furthermore, he mentioned that a free software implementing the update propagation model would be made available by ITU.</w:t>
      </w:r>
    </w:p>
    <w:p w:rsidR="00442CB3" w:rsidRDefault="00442CB3" w:rsidP="00442CB3">
      <w:pPr>
        <w:pStyle w:val="SWGreportblock6a"/>
      </w:pPr>
      <w:r>
        <w:t xml:space="preserve">Members of the SWG observed that the presented model for </w:t>
      </w:r>
      <w:r w:rsidRPr="007A2AD6">
        <w:t>calculating the minimum separation distance between the desired facility A and the undesired facility B</w:t>
      </w:r>
      <w:r>
        <w:t xml:space="preserve"> did not take into account the site-elevations of the transmit antennas. They expected that in particular the site-elevation of the undesired facility would have an impact on the </w:t>
      </w:r>
      <w:r w:rsidRPr="007A2AD6">
        <w:t>protection ratio of the desired signal versus the undesired signal</w:t>
      </w:r>
      <w:r>
        <w:t xml:space="preserve"> D/U at the edge of the DOC. </w:t>
      </w:r>
    </w:p>
    <w:p w:rsidR="00442CB3" w:rsidRDefault="00442CB3" w:rsidP="00442CB3">
      <w:pPr>
        <w:pStyle w:val="SWGreportblock6a"/>
      </w:pPr>
      <w:r>
        <w:t xml:space="preserve">The group agreed that this should be further explored. The author mentioned that a potential solution could be to apply the model contained in FAA Order 6050.32B, which adds e.g. 7 NM separation distance per 1000 ft site elevation difference for the case of Terminal Area VORs. Furthermore, the impact of the variation of antenna heights could be analysed by entering different elevations into the aforementioned software tool, which is currently under development. </w:t>
      </w:r>
    </w:p>
    <w:p w:rsidR="00442CB3" w:rsidRDefault="00442CB3" w:rsidP="00442CB3">
      <w:pPr>
        <w:pStyle w:val="SWGreportblock6a"/>
        <w:numPr>
          <w:ilvl w:val="0"/>
          <w:numId w:val="0"/>
        </w:numPr>
        <w:ind w:left="360"/>
      </w:pPr>
      <w:r w:rsidRPr="00F92FF9">
        <w:rPr>
          <w:b/>
          <w:u w:val="single"/>
        </w:rPr>
        <w:t xml:space="preserve">Action </w:t>
      </w:r>
      <w:r>
        <w:rPr>
          <w:b/>
          <w:u w:val="single"/>
        </w:rPr>
        <w:t>SWG08/</w:t>
      </w:r>
      <w:r w:rsidRPr="00F92FF9">
        <w:rPr>
          <w:b/>
          <w:u w:val="single"/>
        </w:rPr>
        <w:t>0</w:t>
      </w:r>
      <w:r>
        <w:rPr>
          <w:b/>
          <w:u w:val="single"/>
        </w:rPr>
        <w:t>1</w:t>
      </w:r>
      <w:r w:rsidRPr="00F92FF9">
        <w:t>: Robert Witzen to analyse the impact of the site-elevations of the desired and undesired facility on the D/U in the calculation of the minimum separation distance.</w:t>
      </w:r>
    </w:p>
    <w:p w:rsidR="00442CB3" w:rsidRDefault="00442CB3" w:rsidP="00442CB3">
      <w:pPr>
        <w:pStyle w:val="SWGreportblock6a"/>
      </w:pPr>
      <w:r>
        <w:t>Furthermore, the author of WP02 mentioned that 6050.32B increases the protection ratio (D/U) by 3 dB in order to take into account that a monitor-alarm of a navigation aid would be triggered, if the transmit power would drop by 3 dB. The group discussed, whether this model should also be applied by ICAO, however could not come to a final conclusion. The SWG agreed that this should be further explore.</w:t>
      </w:r>
    </w:p>
    <w:p w:rsidR="00442CB3" w:rsidRDefault="00442CB3" w:rsidP="00442CB3">
      <w:pPr>
        <w:pStyle w:val="SWGreportblock6a"/>
        <w:numPr>
          <w:ilvl w:val="0"/>
          <w:numId w:val="0"/>
        </w:numPr>
        <w:ind w:left="360"/>
      </w:pPr>
      <w:r w:rsidRPr="00F92FF9">
        <w:rPr>
          <w:b/>
          <w:u w:val="single"/>
        </w:rPr>
        <w:t xml:space="preserve">Action </w:t>
      </w:r>
      <w:r>
        <w:rPr>
          <w:b/>
          <w:u w:val="single"/>
        </w:rPr>
        <w:t>SWG08/</w:t>
      </w:r>
      <w:r w:rsidRPr="00F92FF9">
        <w:rPr>
          <w:b/>
          <w:u w:val="single"/>
        </w:rPr>
        <w:t>0</w:t>
      </w:r>
      <w:r>
        <w:rPr>
          <w:b/>
          <w:u w:val="single"/>
        </w:rPr>
        <w:t>2</w:t>
      </w:r>
      <w:r w:rsidRPr="00F92FF9">
        <w:t>:</w:t>
      </w:r>
      <w:r>
        <w:t xml:space="preserve"> SWG to further explore, whether an increase of the protection ratio (D/U) by 3 dB should be applied in order to take into, account that a monitor-alarm of a navigation aid would be triggered if the transmit power would drop by 3 dB.</w:t>
      </w:r>
    </w:p>
    <w:p w:rsidR="00442CB3" w:rsidRDefault="00442CB3" w:rsidP="00442CB3">
      <w:pPr>
        <w:ind w:left="426" w:hanging="426"/>
        <w:rPr>
          <w:b/>
        </w:rPr>
      </w:pPr>
    </w:p>
    <w:p w:rsidR="00442CB3" w:rsidRPr="00033259" w:rsidRDefault="00442CB3" w:rsidP="00442CB3">
      <w:pPr>
        <w:ind w:left="426" w:hanging="426"/>
        <w:rPr>
          <w:b/>
          <w:highlight w:val="cyan"/>
        </w:rPr>
      </w:pPr>
      <w:r w:rsidRPr="00033259">
        <w:rPr>
          <w:b/>
          <w:highlight w:val="cyan"/>
        </w:rPr>
        <w:t>WP12, rev.1,</w:t>
      </w:r>
      <w:r w:rsidRPr="00033259">
        <w:rPr>
          <w:b/>
          <w:highlight w:val="cyan"/>
        </w:rPr>
        <w:tab/>
        <w:t>Handbook on radio frequency spectrum requirements for civil aviation, Volume II (Doc. 9718) -Use of ITU aeronautical propagation curves for 5% and 50% of the time</w:t>
      </w:r>
    </w:p>
    <w:p w:rsidR="00442CB3" w:rsidRDefault="00442CB3" w:rsidP="00442CB3">
      <w:pPr>
        <w:pStyle w:val="SWGreportblock6a"/>
      </w:pPr>
      <w:r>
        <w:t>This paper presents minimum geographical separation distances that can be calculated with the generic model as presented in WP JWGs/4 – WP/02 in Chapter 1 of the Handbook on Radio Frequency Spectrum Requirements for Civil Aviation (DOC 9718), Volume II. Pre</w:t>
      </w:r>
      <w:r>
        <w:softHyphen/>
        <w:t>sented are separation distances for VOR facilities, transmitting on 112 MHz, operating co</w:t>
      </w:r>
      <w:r>
        <w:noBreakHyphen/>
        <w:t>frequency and on adjacent 50 kHz and 100 kHz frequencies and with different Designated Operational Coverages (DOC). Furthermore, s</w:t>
      </w:r>
      <w:r w:rsidRPr="00105194">
        <w:t>eparation distances between GBAS/VDB</w:t>
      </w:r>
      <w:r>
        <w:t xml:space="preserve"> and GBAS/VDB, GBAS VDB and ILS as well as GBAS VDB and VOR facilities are presented. The results are given for the </w:t>
      </w:r>
      <w:r w:rsidRPr="00CE6C28">
        <w:t>5% and 50% of the time</w:t>
      </w:r>
      <w:r>
        <w:t xml:space="preserve"> cases according to the propagation curves in ITU-R recommendation P.528.</w:t>
      </w:r>
    </w:p>
    <w:p w:rsidR="00442CB3" w:rsidRDefault="00442CB3" w:rsidP="00442CB3">
      <w:pPr>
        <w:pStyle w:val="SWGreportblock6a"/>
      </w:pPr>
      <w:r>
        <w:t xml:space="preserve"> Moreover, WP12 contains a comparison of the minimum separation distances that can be calculated with the generic method and with the method as used by the FAA (FAA Order 6050.32B). The results show that the separation values calculated with the FAA-Model (separation between facilities minus the Designated Operational Range) are pretty closed the separation values </w:t>
      </w:r>
      <w:r>
        <w:lastRenderedPageBreak/>
        <w:t>(separation between edge of Designated Operational Coverage and undesired facility) calculated with the 5% of the time propagation curves of ITU-R recommendation P.528.</w:t>
      </w:r>
    </w:p>
    <w:p w:rsidR="00442CB3" w:rsidRDefault="00442CB3" w:rsidP="00442CB3">
      <w:pPr>
        <w:pStyle w:val="SWGreportblock6a"/>
      </w:pPr>
      <w:r>
        <w:t>In the discussion of WP12, it was pointed out that the separation values for VORs in ICAO Annex 10, Vol. I are based today on the 5</w:t>
      </w:r>
      <w:r w:rsidRPr="00CE6C28">
        <w:t>0% of the time</w:t>
      </w:r>
      <w:r>
        <w:t xml:space="preserve"> propagation curves in ITU-R recommendation P.528. Moreover, the separation values for VORs in ICAO Annex 10, Vol. I are based on a propagation model assuming free-space propagation until the radio horizon and a constant slope of the attenuation </w:t>
      </w:r>
      <w:r w:rsidRPr="00E029C6">
        <w:t>Beyond Radio Line Of Sight of 0.5 dB/NM</w:t>
      </w:r>
      <w:r>
        <w:t xml:space="preserve"> (</w:t>
      </w:r>
      <w:r w:rsidRPr="00E029C6">
        <w:t>Attachment D, 7.2.1.3.3)</w:t>
      </w:r>
      <w:r>
        <w:t xml:space="preserve">. </w:t>
      </w:r>
    </w:p>
    <w:p w:rsidR="00442CB3" w:rsidRDefault="00442CB3" w:rsidP="00442CB3">
      <w:pPr>
        <w:pStyle w:val="SWGreportblock6a"/>
      </w:pPr>
      <w:r>
        <w:t>In WP12, it was pointed out that for GBAS VDB, applying the 5% of the time propagation curves still resulted in smaller separation distances between co-frequency GBAS/VDB facilities than the values which are today in ICAO Annex 10, Vol. I, Attachment D, section 7.2. The reason is that the existing propagation model for GBAS/VDB in Annex 10 underestimates the propagation loss near and beyond the Radio Horizon.</w:t>
      </w:r>
    </w:p>
    <w:p w:rsidR="00442CB3" w:rsidRDefault="00442CB3" w:rsidP="00442CB3">
      <w:pPr>
        <w:pStyle w:val="SWGreportblock6a"/>
      </w:pPr>
      <w:r>
        <w:t xml:space="preserve">Members of the SWG emphasized that it would be advisable, rather than using the 50% of the time propagation curves, the 5% of the time propagation curves should be used for determining the Undesired signal power at the edge of the Designated Operational Coverage (DOC). It was explained that the signal power of the Desired signal at the edge of the DOC would not be calculated by means of a propagation model, but would be derived from the minimum required fieldstrength according to ICAO Annex 10, Vol. I. </w:t>
      </w:r>
    </w:p>
    <w:p w:rsidR="00442CB3" w:rsidRDefault="00442CB3" w:rsidP="00442CB3">
      <w:pPr>
        <w:pStyle w:val="SWGreportblock6a"/>
      </w:pPr>
      <w:r>
        <w:t>The SWG agreed that the 5% of the time propagation curves of ITU-R recommendation P.528 should be used for the future specification of international frequency assignment planning rules for GBAS VDB for determination of the propagation loss for the Undesired signal.</w:t>
      </w:r>
      <w:r w:rsidRPr="00055DB5">
        <w:t xml:space="preserve"> </w:t>
      </w:r>
      <w:r>
        <w:t>It was explained that a propagation model (e.g. ITU-R 95 % propagation curve) for the Desired facility would only be applied, if needed for planning purposes of the DOC of the Desired facility.</w:t>
      </w:r>
    </w:p>
    <w:p w:rsidR="00442CB3" w:rsidRDefault="00442CB3" w:rsidP="00442CB3">
      <w:pPr>
        <w:ind w:left="426" w:hanging="426"/>
        <w:rPr>
          <w:b/>
        </w:rPr>
      </w:pPr>
    </w:p>
    <w:p w:rsidR="00E55495" w:rsidRDefault="00E55495" w:rsidP="00442CB3">
      <w:pPr>
        <w:ind w:left="426" w:hanging="426"/>
        <w:rPr>
          <w:b/>
        </w:rPr>
      </w:pPr>
    </w:p>
    <w:p w:rsidR="00442CB3" w:rsidRDefault="00442CB3" w:rsidP="00442CB3">
      <w:pPr>
        <w:ind w:left="426" w:hanging="426"/>
        <w:rPr>
          <w:b/>
          <w:highlight w:val="cyan"/>
        </w:rPr>
      </w:pPr>
      <w:r w:rsidRPr="00033259">
        <w:rPr>
          <w:b/>
          <w:highlight w:val="cyan"/>
        </w:rPr>
        <w:t>WP03,</w:t>
      </w:r>
      <w:r w:rsidRPr="00033259">
        <w:rPr>
          <w:b/>
          <w:highlight w:val="cyan"/>
        </w:rPr>
        <w:tab/>
        <w:t>Handbook on radio frequency spectrum requirements for civil aviation, Volume II (Doc. 9718) Chapter 3 – ILS</w:t>
      </w:r>
    </w:p>
    <w:p w:rsidR="00442CB3" w:rsidRDefault="00442CB3" w:rsidP="00442CB3">
      <w:pPr>
        <w:ind w:left="426" w:hanging="426"/>
        <w:rPr>
          <w:b/>
          <w:highlight w:val="lightGray"/>
        </w:rPr>
      </w:pPr>
    </w:p>
    <w:p w:rsidR="00442CB3" w:rsidRPr="00294420" w:rsidRDefault="00442CB3" w:rsidP="00442CB3">
      <w:pPr>
        <w:pStyle w:val="SWGreportblock6a"/>
      </w:pPr>
      <w:r w:rsidRPr="00294420">
        <w:t xml:space="preserve">This paper presents material for the frequency assignment planning of ILS for incorporation in Chapter 3 of volume II of </w:t>
      </w:r>
      <w:r>
        <w:t xml:space="preserve">ICAO </w:t>
      </w:r>
      <w:r w:rsidRPr="00294420">
        <w:t>D</w:t>
      </w:r>
      <w:r>
        <w:t>oc</w:t>
      </w:r>
      <w:r w:rsidRPr="00294420">
        <w:t xml:space="preserve"> 9718)</w:t>
      </w:r>
      <w:r>
        <w:t>.</w:t>
      </w:r>
      <w:r w:rsidRPr="00294420">
        <w:t xml:space="preserve"> It introduces for the frequency assignment planning of ILS systems the generic method that has been proposed in</w:t>
      </w:r>
      <w:r>
        <w:t xml:space="preserve"> WP02</w:t>
      </w:r>
      <w:r w:rsidRPr="00294420">
        <w:t xml:space="preserve">. This paper also contains material to assess compatibility between </w:t>
      </w:r>
      <w:r>
        <w:t xml:space="preserve">ILS </w:t>
      </w:r>
      <w:r w:rsidRPr="00294420">
        <w:t>Localizer and VOR systems.</w:t>
      </w:r>
    </w:p>
    <w:p w:rsidR="00442CB3" w:rsidRPr="00294420" w:rsidRDefault="00442CB3" w:rsidP="00442CB3">
      <w:pPr>
        <w:pStyle w:val="SWGreportblock6a"/>
      </w:pPr>
      <w:r w:rsidRPr="00294420">
        <w:t>The SWG supported the proposal in WP03 to move the guidance material in Annex 10, Vol. I, Appendix C, paragraph 2.6.1and 2.6.2 to ICAO EUR Doc. 011, since this material is only used in the ICAO Europe region.</w:t>
      </w:r>
      <w:r>
        <w:t xml:space="preserve"> In this context, the group recommended checking whether this material is referenced in the SARPs for ILS, i.e. ICAO Annex 10, Vol. I, Chapter 3, section 3.1.</w:t>
      </w:r>
    </w:p>
    <w:p w:rsidR="00442CB3" w:rsidRDefault="00442CB3" w:rsidP="00442CB3">
      <w:pPr>
        <w:pStyle w:val="SWGreportblock6a"/>
      </w:pPr>
      <w:r w:rsidRPr="00294420">
        <w:t>In the discussion, SWG participants provided a number of comments and change requests, which will be taken into account in an update of the paper for the subsequent SWG meeting.</w:t>
      </w:r>
      <w:r>
        <w:t xml:space="preserve"> In addition, a discussion took place on the EIRP values to be applied. In this context, members of the SWG observed that some EIRP values in the European ICAO COM3 table were missing and others (e.g. 17 dBW) did not seem to be correct. One major change request concerned the EIRP of ILS </w:t>
      </w:r>
      <w:r>
        <w:lastRenderedPageBreak/>
        <w:t>Localizers. It was recommended that the updated material should provide examples of frequency separation criteria for the following typical cases:</w:t>
      </w:r>
    </w:p>
    <w:p w:rsidR="00442CB3" w:rsidRDefault="00442CB3" w:rsidP="00442CB3">
      <w:pPr>
        <w:pStyle w:val="SWGreportblock6a"/>
        <w:numPr>
          <w:ilvl w:val="0"/>
          <w:numId w:val="25"/>
        </w:numPr>
      </w:pPr>
      <w:r>
        <w:t>ILS Localizer with and EIRP of 27 dBW (resulting from a transmitter output power of 25W, a cable loss of 1.7 dB and an antenna gain of 15 dBi)</w:t>
      </w:r>
    </w:p>
    <w:p w:rsidR="00442CB3" w:rsidRPr="00294420" w:rsidRDefault="00442CB3" w:rsidP="00442CB3">
      <w:pPr>
        <w:pStyle w:val="SWGreportblock6a"/>
        <w:numPr>
          <w:ilvl w:val="0"/>
          <w:numId w:val="25"/>
        </w:numPr>
      </w:pPr>
      <w:r>
        <w:t>ILS Localizer with and EIRP of 30 dBW (resulting from a transmitter output power of 25W, a cable loss of 1.7 dB and an antenna gain of 17.5 dBi)</w:t>
      </w:r>
    </w:p>
    <w:p w:rsidR="00442CB3" w:rsidRDefault="00442CB3" w:rsidP="00442CB3">
      <w:pPr>
        <w:ind w:left="426" w:hanging="426"/>
        <w:rPr>
          <w:b/>
        </w:rPr>
      </w:pPr>
    </w:p>
    <w:p w:rsidR="00442CB3" w:rsidRPr="00790B02" w:rsidRDefault="00442CB3" w:rsidP="00442CB3">
      <w:pPr>
        <w:ind w:left="426" w:hanging="426"/>
        <w:rPr>
          <w:b/>
          <w:highlight w:val="cyan"/>
        </w:rPr>
      </w:pPr>
      <w:r w:rsidRPr="00033259">
        <w:rPr>
          <w:b/>
          <w:highlight w:val="cyan"/>
        </w:rPr>
        <w:t>WP04</w:t>
      </w:r>
      <w:r>
        <w:rPr>
          <w:b/>
          <w:highlight w:val="cyan"/>
        </w:rPr>
        <w:t>,</w:t>
      </w:r>
      <w:r w:rsidRPr="00033259">
        <w:rPr>
          <w:b/>
          <w:highlight w:val="cyan"/>
        </w:rPr>
        <w:tab/>
        <w:t>Handbook on radio frequency spectrum requirements for civil aviation, Volume II (Doc. 9718) Chapter 4 - VOR</w:t>
      </w:r>
    </w:p>
    <w:p w:rsidR="00442CB3" w:rsidRDefault="00442CB3" w:rsidP="00442CB3">
      <w:pPr>
        <w:pStyle w:val="SWGreportblock6a"/>
      </w:pPr>
      <w:r>
        <w:t>This paper presents material for the frequency assignment planning of the VOR for incorporation in Chapter 4 of Vol. II of ICAO Doc 9718. It introduces for the frequency assignment planning of VOR systems the generic method that has been proposed in a separate working paper. This paper also contains material to assess compatibility between ILS Localizer and VOR systems.</w:t>
      </w:r>
    </w:p>
    <w:p w:rsidR="00442CB3" w:rsidRPr="00294420" w:rsidRDefault="00442CB3" w:rsidP="00442CB3">
      <w:pPr>
        <w:pStyle w:val="SWGreportblock6a"/>
      </w:pPr>
      <w:r>
        <w:t>The SWG supported the proposal in WP04 to move the guidance material in ICAO Annex 10, Appendix C, paragraph 3.4 on the geographical separation distances and the use of the “S”-factor to ICAO EUR Doc. 011, since this material is only being used in the European ICAO Region. In this context, the group recommended checking, whether this material is referenced in the SARPs for VOR, i.e. section 3.3 of ICAO Annex 10, Vol. I, Chapter 3.</w:t>
      </w:r>
    </w:p>
    <w:p w:rsidR="00442CB3" w:rsidRPr="000557D7" w:rsidRDefault="00442CB3" w:rsidP="00442CB3">
      <w:pPr>
        <w:pStyle w:val="SWGreportblock6a"/>
      </w:pPr>
      <w:r w:rsidRPr="000557D7">
        <w:t>In the discussion, SWG participants provided a number of comments and change requests, which will be taken into account in an update of the paper for the subsequent SWG meeting.</w:t>
      </w:r>
    </w:p>
    <w:p w:rsidR="00442CB3" w:rsidRDefault="00442CB3" w:rsidP="00442CB3">
      <w:pPr>
        <w:ind w:left="426" w:hanging="426"/>
      </w:pPr>
    </w:p>
    <w:p w:rsidR="00442CB3" w:rsidRPr="00D313B0" w:rsidRDefault="00442CB3" w:rsidP="00442CB3">
      <w:pPr>
        <w:rPr>
          <w:i/>
        </w:rPr>
      </w:pPr>
      <w:r w:rsidRPr="00D313B0">
        <w:rPr>
          <w:i/>
        </w:rPr>
        <w:t>Note: The papers and topics mentioned below, which are covered by this agenda item, were discussed by the SWG with participation of some members of the GWG via teleconference (WebEx). Those GWG members are mentioned in the list of participants in Attachment B of this report.</w:t>
      </w:r>
    </w:p>
    <w:p w:rsidR="00442CB3" w:rsidRDefault="00442CB3" w:rsidP="00442CB3">
      <w:pPr>
        <w:ind w:left="426" w:hanging="426"/>
      </w:pPr>
    </w:p>
    <w:p w:rsidR="00442CB3" w:rsidRPr="00A71D91" w:rsidRDefault="00442CB3" w:rsidP="00442CB3">
      <w:pPr>
        <w:ind w:left="426" w:hanging="426"/>
        <w:rPr>
          <w:b/>
          <w:highlight w:val="cyan"/>
        </w:rPr>
      </w:pPr>
      <w:r w:rsidRPr="00A71D91">
        <w:rPr>
          <w:b/>
          <w:highlight w:val="cyan"/>
        </w:rPr>
        <w:t>WP25, rev.1</w:t>
      </w:r>
      <w:r>
        <w:rPr>
          <w:b/>
          <w:highlight w:val="cyan"/>
        </w:rPr>
        <w:t xml:space="preserve"> and rev.2, </w:t>
      </w:r>
      <w:r w:rsidRPr="00A71D91">
        <w:rPr>
          <w:b/>
          <w:highlight w:val="cyan"/>
        </w:rPr>
        <w:t>GBAS/VDB Signal-In-Space Desired-To-Undesired ratios for frequency coordination</w:t>
      </w:r>
    </w:p>
    <w:p w:rsidR="00442CB3" w:rsidRPr="0049154F" w:rsidRDefault="00442CB3" w:rsidP="00442CB3">
      <w:pPr>
        <w:pStyle w:val="SWGreportblock6a"/>
      </w:pPr>
      <w:r w:rsidRPr="00FC1B8D">
        <w:t>The paper presents two possible candidates of Signal-In-Space (SIS) Desired-To-Undesired (D/U) ratios for Desired VDB versus Undesired VDB, VOR and ILS to be taken for geographical separation distance calculation. These two sets of criteria were considered by the author of WP25 to represent an alternate proposal to the table contained in section 6.4.1 “D/U ratio for desired VDB vs undesired VDB, VOR or ILS” of WP/6 “Chapter 6 – GBAS/VDB-Handbook on radio frequency spectrum requirements for civil aviation, Volume II (Doc. 9718)”</w:t>
      </w:r>
      <w:r>
        <w:t>.</w:t>
      </w:r>
    </w:p>
    <w:p w:rsidR="00442CB3" w:rsidRDefault="00442CB3" w:rsidP="00442CB3">
      <w:pPr>
        <w:pStyle w:val="SWGreportblock6a"/>
      </w:pPr>
      <w:r w:rsidRPr="00790D0D">
        <w:t xml:space="preserve">The paper emphasizes, that an important element for the conversion of receiver-D/U to SIS-D/U accounting for the Relative Antenna Gain, RAG (aka Antenna Gain Variation, AGV). The worst-case for the RAG, which was assumed for the derivation of international frequency assignment planning criteria, was </w:t>
      </w:r>
      <w:r>
        <w:t>-1</w:t>
      </w:r>
      <w:r w:rsidRPr="00790D0D">
        <w:t xml:space="preserve">5 dB. This means that because </w:t>
      </w:r>
      <w:r>
        <w:t xml:space="preserve">of </w:t>
      </w:r>
      <w:r w:rsidRPr="00790D0D">
        <w:t xml:space="preserve">the </w:t>
      </w:r>
      <w:r>
        <w:t xml:space="preserve">fact that the </w:t>
      </w:r>
      <w:r w:rsidRPr="00790D0D">
        <w:t>Desired GBAS VDB transmitter could be located below and behind the aircraft, while the Undesired transmitter could be in front of the aircraft transmitting with its maximum antenna gain (e.g. an ILS Localizer) towards the aircraft</w:t>
      </w:r>
      <w:r>
        <w:t xml:space="preserve">, </w:t>
      </w:r>
      <w:r w:rsidRPr="00790D0D">
        <w:t>aircraft using their nose-mounted ILS Localizer receive antenna could receive the Undesired transmitter with a 15 dB higher gain compared to the Desired Transmitter.</w:t>
      </w:r>
    </w:p>
    <w:p w:rsidR="00E55495" w:rsidRPr="00790D0D" w:rsidRDefault="00E55495" w:rsidP="00E55495">
      <w:pPr>
        <w:pStyle w:val="SWGreportblock6a"/>
        <w:numPr>
          <w:ilvl w:val="0"/>
          <w:numId w:val="0"/>
        </w:numPr>
        <w:ind w:left="720" w:hanging="360"/>
      </w:pPr>
    </w:p>
    <w:p w:rsidR="00442CB3" w:rsidRPr="00790D0D" w:rsidRDefault="00442CB3" w:rsidP="00442CB3">
      <w:pPr>
        <w:pStyle w:val="SWGreportblock6a"/>
      </w:pPr>
      <w:r w:rsidRPr="00790D0D">
        <w:t>In the paper</w:t>
      </w:r>
      <w:r>
        <w:t>,</w:t>
      </w:r>
      <w:r w:rsidRPr="00790D0D">
        <w:t xml:space="preserve"> it was argued that a more moderate assumption of -7 dB could be made for the RAG, since in areas where international frequency assignment planning criteria would hold (in contrast to same-airport compatibility guidance), the aircraft would always</w:t>
      </w:r>
      <w:r>
        <w:t xml:space="preserve"> be</w:t>
      </w:r>
      <w:r w:rsidRPr="00790D0D">
        <w:t xml:space="preserve"> flying towards the destination airport and therefore towards the desired VDB transmitter.</w:t>
      </w:r>
    </w:p>
    <w:p w:rsidR="00442CB3" w:rsidRPr="00790D0D" w:rsidRDefault="00442CB3" w:rsidP="00442CB3">
      <w:pPr>
        <w:pStyle w:val="SWGreportblock6a"/>
      </w:pPr>
      <w:r w:rsidRPr="00790D0D">
        <w:t>Various members of the meeting challenged this assumption arguing that the direction of the aircraft would also turn during its flight along approach procedures close to the airport</w:t>
      </w:r>
      <w:r>
        <w:t>, and that the GBAS VDB might not even be sited at the same airport</w:t>
      </w:r>
      <w:r w:rsidRPr="00790D0D">
        <w:t xml:space="preserve">. The reliability of the GBAS/VDB reception would also be important during those phases of flight. Some members of the meeting argued that many aircraft would use the tail-mounted VOR-receive antenna, which had a more moderate RAG. However, it was also pointed out by others that the number of aircraft using the nose-mounted antenna could not be ignored. After considering all these arguments, the meeting decided recommending moving on with the option of </w:t>
      </w:r>
      <w:r>
        <w:t>a</w:t>
      </w:r>
      <w:r w:rsidRPr="00790D0D">
        <w:t xml:space="preserve"> RAG of -15 dB.</w:t>
      </w:r>
    </w:p>
    <w:p w:rsidR="00442CB3" w:rsidRPr="00790D0D" w:rsidRDefault="00442CB3" w:rsidP="00442CB3">
      <w:pPr>
        <w:pStyle w:val="SWGreportblock6a"/>
      </w:pPr>
      <w:r w:rsidRPr="00790D0D">
        <w:t>In the first discussion of WP25, rev.1, members of the SWG also provided various minor change requests with respect to this version. They were presented to the meeting during</w:t>
      </w:r>
      <w:r>
        <w:t xml:space="preserve"> </w:t>
      </w:r>
      <w:r w:rsidRPr="00790D0D">
        <w:t>a later session</w:t>
      </w:r>
      <w:r>
        <w:t xml:space="preserve"> and agreed</w:t>
      </w:r>
      <w:r w:rsidRPr="00790D0D">
        <w:t>. In order for the paper to provide a reliable basis for a future reference of this paper in the context of tracking the rational for the selection of parameters to be applied for the international frequency assignment planning, the meeting requested a submission of the changed version as revision 2 of WP25.</w:t>
      </w:r>
    </w:p>
    <w:p w:rsidR="00442CB3" w:rsidRDefault="00442CB3" w:rsidP="00442CB3">
      <w:pPr>
        <w:ind w:left="426" w:hanging="426"/>
      </w:pPr>
    </w:p>
    <w:p w:rsidR="00442CB3" w:rsidRDefault="00442CB3" w:rsidP="00442CB3">
      <w:pPr>
        <w:ind w:left="426" w:hanging="426"/>
      </w:pPr>
    </w:p>
    <w:p w:rsidR="00442CB3" w:rsidRPr="00A71D91" w:rsidRDefault="00442CB3" w:rsidP="00442CB3">
      <w:pPr>
        <w:ind w:left="426" w:hanging="426"/>
        <w:rPr>
          <w:b/>
          <w:highlight w:val="cyan"/>
        </w:rPr>
      </w:pPr>
      <w:r w:rsidRPr="00A71D91">
        <w:rPr>
          <w:b/>
          <w:highlight w:val="cyan"/>
        </w:rPr>
        <w:t>WP37</w:t>
      </w:r>
      <w:r>
        <w:rPr>
          <w:b/>
          <w:highlight w:val="cyan"/>
        </w:rPr>
        <w:t>,</w:t>
      </w:r>
      <w:r w:rsidRPr="00A71D91">
        <w:rPr>
          <w:b/>
          <w:highlight w:val="cyan"/>
        </w:rPr>
        <w:tab/>
        <w:t>GBAS/VDB frequency planning exercise: new results</w:t>
      </w:r>
    </w:p>
    <w:p w:rsidR="00442CB3" w:rsidRDefault="00442CB3" w:rsidP="00442CB3">
      <w:pPr>
        <w:pStyle w:val="SWGreportblock6a"/>
      </w:pPr>
      <w:r w:rsidRPr="003F0339">
        <w:t xml:space="preserve">This working paper is a response to action item SWG05/01 to perform a GBAS/VDB frequency planning exercise for Europe based on </w:t>
      </w:r>
      <w:r>
        <w:t xml:space="preserve">a </w:t>
      </w:r>
      <w:r w:rsidRPr="003F0339">
        <w:t>-60 dB GBAS D/U criteri</w:t>
      </w:r>
      <w:r>
        <w:t>on</w:t>
      </w:r>
      <w:r w:rsidRPr="003F0339">
        <w:t xml:space="preserve"> beyond 1 MHz and taking into account a Relative Antenna Gain of 15 dB. The paper actually provides results of the GBAS/VDB frequency planning exercise </w:t>
      </w:r>
      <w:r>
        <w:t xml:space="preserve">trying to assign frequencies for </w:t>
      </w:r>
      <w:r w:rsidRPr="00F34047">
        <w:t>916 stations</w:t>
      </w:r>
      <w:r>
        <w:t xml:space="preserve"> in Europe. For this purpose, the </w:t>
      </w:r>
      <w:r w:rsidRPr="003F0339">
        <w:t>Signal-In-Space (SIS) Desired-To-Undesired (D/U) ratios for desired VDB vs undesired VDB, VOR and ILS presented in JWGs4 WP25</w:t>
      </w:r>
      <w:r>
        <w:t xml:space="preserve"> were considered</w:t>
      </w:r>
      <w:r w:rsidRPr="003F0339">
        <w:t>.</w:t>
      </w:r>
      <w:r>
        <w:t xml:space="preserve"> </w:t>
      </w:r>
    </w:p>
    <w:p w:rsidR="00442CB3" w:rsidRDefault="00442CB3" w:rsidP="00442CB3">
      <w:pPr>
        <w:pStyle w:val="SWGreportblock6a"/>
      </w:pPr>
      <w:r w:rsidRPr="003F0339">
        <w:t>The paper presents the following results for the considered two</w:t>
      </w:r>
      <w:r>
        <w:t xml:space="preserve"> options applied in the planning exercise</w:t>
      </w:r>
      <w:r w:rsidRPr="003F0339">
        <w:t>:</w:t>
      </w:r>
    </w:p>
    <w:p w:rsidR="00442CB3" w:rsidRDefault="00442CB3" w:rsidP="00442CB3">
      <w:pPr>
        <w:pStyle w:val="SWGreportblock6a"/>
        <w:numPr>
          <w:ilvl w:val="0"/>
          <w:numId w:val="21"/>
        </w:numPr>
      </w:pPr>
      <w:r>
        <w:t xml:space="preserve">worst case relative airborne antenna gain variation of -15 dB and increasing transmission loss with frequency offset up to 6 dB at 1 MHz and beyond =&gt; </w:t>
      </w:r>
      <w:r w:rsidRPr="00DC28C9">
        <w:t>Success Rate</w:t>
      </w:r>
      <w:r>
        <w:t xml:space="preserve"> of </w:t>
      </w:r>
      <w:r w:rsidRPr="00DC28C9">
        <w:t>84%</w:t>
      </w:r>
    </w:p>
    <w:p w:rsidR="00442CB3" w:rsidRDefault="00442CB3" w:rsidP="00442CB3">
      <w:pPr>
        <w:pStyle w:val="SWGreportblock6a"/>
        <w:numPr>
          <w:ilvl w:val="0"/>
          <w:numId w:val="21"/>
        </w:numPr>
      </w:pPr>
      <w:r>
        <w:t xml:space="preserve">reduced relative airborne antenna gain variation of -7 dB and increasing transmission loss with frequency offset up to 6 dB at 1 MHz and beyond =&gt; </w:t>
      </w:r>
      <w:r w:rsidRPr="00DC28C9">
        <w:t>Success Rate</w:t>
      </w:r>
      <w:r>
        <w:t xml:space="preserve"> of</w:t>
      </w:r>
      <w:r w:rsidR="00E55495">
        <w:t xml:space="preserve"> </w:t>
      </w:r>
      <w:r w:rsidRPr="00DC28C9">
        <w:t>91%</w:t>
      </w:r>
    </w:p>
    <w:p w:rsidR="00E55495" w:rsidRDefault="00E55495" w:rsidP="00E55495">
      <w:pPr>
        <w:pStyle w:val="SWGreportblock6a"/>
        <w:numPr>
          <w:ilvl w:val="0"/>
          <w:numId w:val="0"/>
        </w:numPr>
        <w:ind w:left="720" w:hanging="360"/>
      </w:pPr>
    </w:p>
    <w:p w:rsidR="00E55495" w:rsidRDefault="00E55495" w:rsidP="00E55495">
      <w:pPr>
        <w:pStyle w:val="SWGreportblock6a"/>
        <w:numPr>
          <w:ilvl w:val="0"/>
          <w:numId w:val="0"/>
        </w:numPr>
        <w:ind w:left="720" w:hanging="360"/>
      </w:pPr>
    </w:p>
    <w:p w:rsidR="00E55495" w:rsidRDefault="00E55495" w:rsidP="00E55495">
      <w:pPr>
        <w:pStyle w:val="SWGreportblock6a"/>
        <w:numPr>
          <w:ilvl w:val="0"/>
          <w:numId w:val="0"/>
        </w:numPr>
        <w:ind w:left="720" w:hanging="360"/>
      </w:pPr>
    </w:p>
    <w:p w:rsidR="00E55495" w:rsidRDefault="00E55495" w:rsidP="00E55495">
      <w:pPr>
        <w:pStyle w:val="SWGreportblock6a"/>
        <w:numPr>
          <w:ilvl w:val="0"/>
          <w:numId w:val="0"/>
        </w:numPr>
        <w:ind w:left="720" w:hanging="360"/>
      </w:pPr>
    </w:p>
    <w:p w:rsidR="00E55495" w:rsidRDefault="00E55495" w:rsidP="00E55495">
      <w:pPr>
        <w:pStyle w:val="SWGreportblock6a"/>
        <w:numPr>
          <w:ilvl w:val="0"/>
          <w:numId w:val="0"/>
        </w:numPr>
        <w:ind w:left="720" w:hanging="360"/>
      </w:pPr>
    </w:p>
    <w:p w:rsidR="00442CB3" w:rsidRPr="003F0339" w:rsidRDefault="00442CB3" w:rsidP="00442CB3">
      <w:pPr>
        <w:pStyle w:val="SWGreportblock6a"/>
      </w:pPr>
      <w:r>
        <w:t xml:space="preserve">In the paper, it was explained that for the simulations, the GBAS Designated Operational Coverage (DOC) has been defined with a keyhole shape for the lateral coverage and with a 0.9° slope to represent the lower limit of the vertical coverage. The simulation tool calculates desired and undesired signal levels and verifies that the required D/U ratio is ensured at any point (test points) within the DOC wherever an undesired system is located inside or outside the DOC. This means that the verification is made for all points located along the 0.9° slope of the GBAS vertical DOC. Incompatibilities are observed for the test points located in the lower part of the GBAS DOC when the distance to the undesired facility is relatively short. SWG members observed, that </w:t>
      </w:r>
      <w:r w:rsidRPr="00BF1A1B">
        <w:t>the approach used here is not the same as the approach discussed above (i.e., the generic model) since it calculates “D” at each test point rather than assuming it equals the minimum guaranteed signal level</w:t>
      </w:r>
      <w:r>
        <w:t>.</w:t>
      </w:r>
    </w:p>
    <w:p w:rsidR="00442CB3" w:rsidRDefault="00442CB3" w:rsidP="00442CB3">
      <w:pPr>
        <w:pStyle w:val="SWGreportblock6a"/>
      </w:pPr>
      <w:r>
        <w:t>The paper illustrates the unsuccessful assignments with two examples for the case of RAG = -15 dB):</w:t>
      </w:r>
    </w:p>
    <w:p w:rsidR="00442CB3" w:rsidRPr="00D13144" w:rsidRDefault="00442CB3" w:rsidP="00442CB3">
      <w:pPr>
        <w:pStyle w:val="SWGreportblock6a"/>
        <w:numPr>
          <w:ilvl w:val="0"/>
          <w:numId w:val="22"/>
        </w:numPr>
      </w:pPr>
      <w:r w:rsidRPr="00D13144">
        <w:t>GBAS - Munchen RWY 08 / VOR – Maisach =&gt; The VOR at the edge of the GBAS DOC (keyhole) causes the incompatibility</w:t>
      </w:r>
      <w:r>
        <w:t>.</w:t>
      </w:r>
    </w:p>
    <w:p w:rsidR="00442CB3" w:rsidRPr="00D13144" w:rsidRDefault="00442CB3" w:rsidP="00442CB3">
      <w:pPr>
        <w:pStyle w:val="SWGreportblock6a"/>
        <w:numPr>
          <w:ilvl w:val="0"/>
          <w:numId w:val="22"/>
        </w:numPr>
      </w:pPr>
      <w:r w:rsidRPr="00D13144">
        <w:t>GBAS – Paris Orly RWY 20 / ILS LLZ – Paris CDG RWY 26R =&gt; The ILS Localizer from a near-by airport</w:t>
      </w:r>
      <w:r>
        <w:t>, which is inside the GBAS DOC</w:t>
      </w:r>
      <w:r w:rsidRPr="00D13144">
        <w:t xml:space="preserve"> causes the incompatibility</w:t>
      </w:r>
      <w:r>
        <w:t>.</w:t>
      </w:r>
    </w:p>
    <w:p w:rsidR="00442CB3" w:rsidRDefault="00442CB3" w:rsidP="00442CB3">
      <w:pPr>
        <w:pStyle w:val="SWGreportblock6a"/>
      </w:pPr>
      <w:r>
        <w:t>In the discussion of this paper the group agreed with the conclusions of the paper, that:</w:t>
      </w:r>
    </w:p>
    <w:p w:rsidR="00442CB3" w:rsidRDefault="00442CB3" w:rsidP="00442CB3">
      <w:pPr>
        <w:pStyle w:val="SWGreportblock6a"/>
        <w:numPr>
          <w:ilvl w:val="0"/>
          <w:numId w:val="23"/>
        </w:numPr>
      </w:pPr>
      <w:r>
        <w:t>Incompatibilities may be observed when the undesired system is inside the GBAS DOC.</w:t>
      </w:r>
    </w:p>
    <w:p w:rsidR="00442CB3" w:rsidRDefault="00442CB3" w:rsidP="00442CB3">
      <w:pPr>
        <w:pStyle w:val="SWGreportblock6a"/>
        <w:numPr>
          <w:ilvl w:val="0"/>
          <w:numId w:val="23"/>
        </w:numPr>
      </w:pPr>
      <w:r>
        <w:t>It is recommended that States conduct local study to consider detailed characteristics of every installation (e.g. exact location, antenna pattern, actual EIRP, etc.) when assessing frequency compatibility between GBAS VDB and ILS LLZ or VOR facilities that are located nearby.</w:t>
      </w:r>
    </w:p>
    <w:p w:rsidR="00442CB3" w:rsidRDefault="00442CB3" w:rsidP="00442CB3">
      <w:pPr>
        <w:pStyle w:val="SWGreportblock6a"/>
      </w:pPr>
      <w:r>
        <w:t xml:space="preserve">Furthermore, members of the meeting welcomed the use of a 0.9° slope representing the lower limit of the vertical coverage in order to increase the success rate of the frequency assignment planning. Although the number of 0.9° was challenged initially by some members, finally the meeting agreed that this number should be used in the future, since it is consistent with the GBAS service volume specification. </w:t>
      </w:r>
    </w:p>
    <w:p w:rsidR="00442CB3" w:rsidRDefault="00442CB3" w:rsidP="00442CB3">
      <w:pPr>
        <w:ind w:left="426" w:hanging="426"/>
      </w:pPr>
    </w:p>
    <w:p w:rsidR="00442CB3" w:rsidRPr="00A71D91" w:rsidRDefault="00442CB3" w:rsidP="00442CB3">
      <w:pPr>
        <w:ind w:left="426" w:hanging="426"/>
        <w:rPr>
          <w:b/>
          <w:highlight w:val="cyan"/>
        </w:rPr>
      </w:pPr>
      <w:r w:rsidRPr="00A71D91">
        <w:rPr>
          <w:b/>
          <w:highlight w:val="cyan"/>
        </w:rPr>
        <w:t>WP06, rev.3</w:t>
      </w:r>
      <w:r w:rsidRPr="00A71D91">
        <w:rPr>
          <w:b/>
          <w:highlight w:val="cyan"/>
        </w:rPr>
        <w:tab/>
        <w:t>Handbook on radio frequency spectrum requirements for civil aviation, Volume II (Doc. 9718), Chapter 6 – GBAS/VDB</w:t>
      </w:r>
    </w:p>
    <w:p w:rsidR="00442CB3" w:rsidRPr="00B159A1" w:rsidRDefault="00442CB3" w:rsidP="00442CB3">
      <w:pPr>
        <w:pStyle w:val="SWGreportblock6a"/>
      </w:pPr>
      <w:r w:rsidRPr="00B159A1">
        <w:t xml:space="preserve">This paper presents draft material for the frequency assignment planning of the GBAS/VDB for incorporation in Chapter 6 of volume II </w:t>
      </w:r>
      <w:r>
        <w:t xml:space="preserve">of ICAO </w:t>
      </w:r>
      <w:r w:rsidRPr="00B159A1">
        <w:t>D</w:t>
      </w:r>
      <w:r>
        <w:t>oc</w:t>
      </w:r>
      <w:r w:rsidRPr="00B159A1">
        <w:t xml:space="preserve">. It introduces for the frequency assignment planning of GBAS/VDB systems the generic method that has been proposed in WP2. WP6, rev.3 takes into account comments from </w:t>
      </w:r>
      <w:r>
        <w:t xml:space="preserve">the </w:t>
      </w:r>
      <w:r w:rsidRPr="00B159A1">
        <w:t xml:space="preserve">first review of WP6, rev.2 by </w:t>
      </w:r>
      <w:r>
        <w:t xml:space="preserve">the </w:t>
      </w:r>
      <w:r w:rsidRPr="00B159A1">
        <w:t>GWG.</w:t>
      </w:r>
    </w:p>
    <w:p w:rsidR="00442CB3" w:rsidRDefault="00442CB3" w:rsidP="00442CB3">
      <w:pPr>
        <w:pStyle w:val="SWGreportblock6a"/>
      </w:pPr>
      <w:r>
        <w:t>In the discussion, the following change requests were recommended:</w:t>
      </w:r>
    </w:p>
    <w:p w:rsidR="00442CB3" w:rsidRDefault="00442CB3" w:rsidP="00442CB3">
      <w:pPr>
        <w:pStyle w:val="SWGreportblock6a"/>
        <w:numPr>
          <w:ilvl w:val="0"/>
          <w:numId w:val="24"/>
        </w:numPr>
      </w:pPr>
      <w:r>
        <w:t>To explore the possibility to apply the site elevations of the Desired and Undesired transmitters for the compatibility analysis of GBAS VDB.</w:t>
      </w:r>
    </w:p>
    <w:p w:rsidR="00442CB3" w:rsidRDefault="00442CB3" w:rsidP="00442CB3">
      <w:pPr>
        <w:pStyle w:val="SWGreportblock6a"/>
        <w:numPr>
          <w:ilvl w:val="0"/>
          <w:numId w:val="24"/>
        </w:numPr>
      </w:pPr>
      <w:r>
        <w:lastRenderedPageBreak/>
        <w:t>To take into account a 0.9° slope representing the lower limit of the vertical coverage</w:t>
      </w:r>
    </w:p>
    <w:p w:rsidR="00442CB3" w:rsidRDefault="00442CB3" w:rsidP="00442CB3">
      <w:pPr>
        <w:pStyle w:val="SWGreportblock6a"/>
        <w:numPr>
          <w:ilvl w:val="0"/>
          <w:numId w:val="24"/>
        </w:numPr>
      </w:pPr>
      <w:r>
        <w:t>To explore the basis for applying a cross-polar isolation, when analysing the compatibility between a horizontally polarized GBAS VDB and vertically polarized undesired systems like VHF COM and VDL4.</w:t>
      </w:r>
    </w:p>
    <w:p w:rsidR="00442CB3" w:rsidRDefault="00442CB3" w:rsidP="00442CB3">
      <w:pPr>
        <w:pStyle w:val="SWGreportblock6a"/>
        <w:numPr>
          <w:ilvl w:val="0"/>
          <w:numId w:val="0"/>
        </w:numPr>
        <w:ind w:left="360"/>
      </w:pPr>
      <w:r w:rsidRPr="007E19B1">
        <w:rPr>
          <w:b/>
          <w:u w:val="single"/>
        </w:rPr>
        <w:t>Action item SWG08/</w:t>
      </w:r>
      <w:r>
        <w:rPr>
          <w:b/>
          <w:u w:val="single"/>
        </w:rPr>
        <w:t>03</w:t>
      </w:r>
      <w:r w:rsidRPr="007E19B1">
        <w:rPr>
          <w:b/>
          <w:u w:val="single"/>
        </w:rPr>
        <w:t>:</w:t>
      </w:r>
      <w:r>
        <w:t xml:space="preserve"> Robert Witzen to explore the possibility to apply the site elevations of the Desired and Undesired transmitters for the compatibility analysis of GBAS VDB.</w:t>
      </w:r>
    </w:p>
    <w:p w:rsidR="00442CB3" w:rsidRDefault="00442CB3" w:rsidP="00442CB3">
      <w:pPr>
        <w:pStyle w:val="SWGreportblock6a"/>
        <w:numPr>
          <w:ilvl w:val="0"/>
          <w:numId w:val="0"/>
        </w:numPr>
        <w:ind w:left="360"/>
      </w:pPr>
      <w:r w:rsidRPr="007E19B1">
        <w:rPr>
          <w:b/>
          <w:u w:val="single"/>
        </w:rPr>
        <w:t>Action item SWG08/</w:t>
      </w:r>
      <w:r>
        <w:rPr>
          <w:b/>
          <w:u w:val="single"/>
        </w:rPr>
        <w:t>04</w:t>
      </w:r>
      <w:r w:rsidRPr="007E19B1">
        <w:rPr>
          <w:b/>
          <w:u w:val="single"/>
        </w:rPr>
        <w:t>:</w:t>
      </w:r>
      <w:r>
        <w:t xml:space="preserve"> Robert Witzen to take into account a 0.9° slope representing the lower limit of the vertical coverage for the compatibility analysis of GBAS VDB.</w:t>
      </w:r>
    </w:p>
    <w:p w:rsidR="00442CB3" w:rsidRDefault="00442CB3" w:rsidP="00442CB3">
      <w:pPr>
        <w:pStyle w:val="SWGreportblock6a"/>
        <w:numPr>
          <w:ilvl w:val="0"/>
          <w:numId w:val="0"/>
        </w:numPr>
        <w:ind w:left="360"/>
      </w:pPr>
      <w:r w:rsidRPr="007E19B1">
        <w:rPr>
          <w:b/>
          <w:u w:val="single"/>
        </w:rPr>
        <w:t>Action item SWG08/</w:t>
      </w:r>
      <w:r>
        <w:rPr>
          <w:b/>
          <w:u w:val="single"/>
        </w:rPr>
        <w:t>05</w:t>
      </w:r>
      <w:r w:rsidRPr="007E19B1">
        <w:rPr>
          <w:b/>
          <w:u w:val="single"/>
        </w:rPr>
        <w:t>:</w:t>
      </w:r>
      <w:r w:rsidRPr="007E19B1">
        <w:t xml:space="preserve"> SWG members to explore the basis for applying a cross-polar isolation, when analysing the compatibility between a horizontally polarized GBAS VDB and vertically polarized undesired systems like VHF COM and VDL4.</w:t>
      </w:r>
    </w:p>
    <w:p w:rsidR="00442CB3" w:rsidRPr="00B159A1" w:rsidRDefault="00442CB3" w:rsidP="00442CB3">
      <w:pPr>
        <w:pStyle w:val="SWGreportblock6a"/>
      </w:pPr>
      <w:r>
        <w:t>Furthermore, the meeting discussed whether there is a need to coordinate GBAS channel numbers in the frame of international frequency coordination. The meeting agreed that it would be sufficient to coordinate RPDS and RSDS values,</w:t>
      </w:r>
      <w:r w:rsidRPr="00EB21D3">
        <w:t xml:space="preserve"> </w:t>
      </w:r>
      <w:r>
        <w:t xml:space="preserve">which have to be unique with the Protection Range (i.e. area in which a GBAS VDB frequency cannot be re-used, see ICAO EUR Doc 011, section 4.6.2). These would lead to unique channel numbers (ICAO Annex 10, Vol. I, chapter 3, section 3.6.5.7 “Channel number” and </w:t>
      </w:r>
      <w:r w:rsidRPr="00D313B0">
        <w:t>Attachment D</w:t>
      </w:r>
      <w:r>
        <w:t>, section 7.7, “</w:t>
      </w:r>
      <w:r w:rsidRPr="0069405D">
        <w:t>GBAS channel selection</w:t>
      </w:r>
      <w:r>
        <w:t>”).</w:t>
      </w:r>
    </w:p>
    <w:p w:rsidR="00442CB3" w:rsidRDefault="00442CB3" w:rsidP="00442CB3">
      <w:pPr>
        <w:ind w:left="426" w:hanging="426"/>
      </w:pPr>
    </w:p>
    <w:p w:rsidR="00442CB3" w:rsidRPr="00015C73" w:rsidRDefault="00442CB3" w:rsidP="00442CB3">
      <w:pPr>
        <w:ind w:left="426" w:hanging="426"/>
        <w:rPr>
          <w:b/>
        </w:rPr>
      </w:pPr>
      <w:r w:rsidRPr="00015C73">
        <w:rPr>
          <w:b/>
          <w:highlight w:val="cyan"/>
        </w:rPr>
        <w:t>&lt;Way-forward towards international frequency coordination guidance and same-airport compatibility guidance for GBAS VDB&gt;</w:t>
      </w:r>
    </w:p>
    <w:p w:rsidR="00442CB3" w:rsidRDefault="00442CB3" w:rsidP="00442CB3">
      <w:pPr>
        <w:ind w:left="426" w:hanging="426"/>
      </w:pPr>
    </w:p>
    <w:p w:rsidR="00442CB3" w:rsidRDefault="00442CB3" w:rsidP="00442CB3">
      <w:pPr>
        <w:pStyle w:val="SWGreportblock6a"/>
      </w:pPr>
      <w:r>
        <w:t>In the context of the discussion of the aforementioned GBAS VDB related papers the w</w:t>
      </w:r>
      <w:r w:rsidRPr="00C95C2D">
        <w:t>ay-forward towards international frequency coordination guidance and same-airport compatibility guidance</w:t>
      </w:r>
      <w:r>
        <w:t xml:space="preserve"> were discussed by the SWG with participation of some members of GBAS Working Group as follows:</w:t>
      </w:r>
    </w:p>
    <w:p w:rsidR="00442CB3" w:rsidRDefault="00442CB3" w:rsidP="00442CB3">
      <w:pPr>
        <w:pStyle w:val="SWGreportblock6a"/>
      </w:pPr>
      <w:r>
        <w:t>Members of RTCA SC-159 WG 4 told the meeting, that the material in sections K.4 (</w:t>
      </w:r>
      <w:r w:rsidRPr="00C95C2D">
        <w:t>Rationale for Field Strength Requirement</w:t>
      </w:r>
      <w:r>
        <w:t>), K.6 (</w:t>
      </w:r>
      <w:r w:rsidRPr="00C95C2D">
        <w:t>Aircraft Installation Considerations</w:t>
      </w:r>
      <w:r>
        <w:t>), K.7 (</w:t>
      </w:r>
      <w:r w:rsidRPr="00A85221">
        <w:t>Ground Installation Considerations</w:t>
      </w:r>
      <w:r>
        <w:t>) as well as K.8 (</w:t>
      </w:r>
      <w:r w:rsidRPr="00A85221">
        <w:t>Continuity Considerations</w:t>
      </w:r>
      <w:r>
        <w:t xml:space="preserve">) of Appendix K of ‘RTCA </w:t>
      </w:r>
      <w:r>
        <w:rPr>
          <w:szCs w:val="22"/>
        </w:rPr>
        <w:t>DO-253D - Change 1’</w:t>
      </w:r>
      <w:r>
        <w:t xml:space="preserve"> could serve as a basis for the derivation of </w:t>
      </w:r>
      <w:r w:rsidRPr="00A85221">
        <w:t>same-airport compatibility guidance</w:t>
      </w:r>
      <w:r>
        <w:t xml:space="preserve">. It was announced ‘RTCA </w:t>
      </w:r>
      <w:r>
        <w:rPr>
          <w:szCs w:val="22"/>
        </w:rPr>
        <w:t>DO-253D - Change 1’ would be published June 2019.</w:t>
      </w:r>
    </w:p>
    <w:p w:rsidR="00442CB3" w:rsidRDefault="00442CB3" w:rsidP="00442CB3">
      <w:pPr>
        <w:pStyle w:val="SWGreportblock6a"/>
      </w:pPr>
      <w:r>
        <w:t xml:space="preserve">The meeting accepted the offer that the VDB ad-hoc group of WG4 support the development of same-airport compatibility guidance. The meeting agreed to form a team, led by the SWG rapporteur to perform this task until the October 2019 meeting of ICAO NSP Participants: Robert Witzen, Pierre Ladoux, Jules Hermens, Daniel Domey, Joel Wichgers, </w:t>
      </w:r>
      <w:r w:rsidRPr="00B2029F">
        <w:t>Mark R. Dickinson</w:t>
      </w:r>
      <w:r>
        <w:t xml:space="preserve"> and Andreas Lipp; Winfried Dunkel and Matt Harris would also be invited). They will meet between physical SWG meetings monthly via teleconference (WebEx).</w:t>
      </w:r>
    </w:p>
    <w:p w:rsidR="00442CB3" w:rsidRDefault="00442CB3" w:rsidP="00442CB3">
      <w:pPr>
        <w:pStyle w:val="SWGreportblock6a"/>
        <w:numPr>
          <w:ilvl w:val="0"/>
          <w:numId w:val="0"/>
        </w:numPr>
        <w:ind w:left="360"/>
      </w:pPr>
      <w:r w:rsidRPr="00234175">
        <w:rPr>
          <w:b/>
          <w:u w:val="single"/>
        </w:rPr>
        <w:t>Action SWG08/</w:t>
      </w:r>
      <w:r>
        <w:rPr>
          <w:b/>
          <w:u w:val="single"/>
        </w:rPr>
        <w:t>06</w:t>
      </w:r>
      <w:r w:rsidRPr="00234175">
        <w:rPr>
          <w:b/>
          <w:u w:val="single"/>
        </w:rPr>
        <w:t>:</w:t>
      </w:r>
      <w:r w:rsidRPr="00015C73">
        <w:t xml:space="preserve"> </w:t>
      </w:r>
      <w:r>
        <w:t>Felix Butsch to lead the team developing ‘same-airport compatibility guidance’ and ‘siting guidance’ for GBAS VDB.</w:t>
      </w:r>
    </w:p>
    <w:p w:rsidR="00E55495" w:rsidRDefault="00E55495" w:rsidP="00442CB3">
      <w:pPr>
        <w:pStyle w:val="SWGreportblock6a"/>
        <w:numPr>
          <w:ilvl w:val="0"/>
          <w:numId w:val="0"/>
        </w:numPr>
        <w:ind w:left="360"/>
      </w:pPr>
    </w:p>
    <w:p w:rsidR="00E55495" w:rsidRDefault="00E55495" w:rsidP="00442CB3">
      <w:pPr>
        <w:pStyle w:val="SWGreportblock6a"/>
        <w:numPr>
          <w:ilvl w:val="0"/>
          <w:numId w:val="0"/>
        </w:numPr>
        <w:ind w:left="360"/>
      </w:pPr>
    </w:p>
    <w:p w:rsidR="00442CB3" w:rsidRDefault="00442CB3" w:rsidP="00442CB3">
      <w:pPr>
        <w:pStyle w:val="SWGreportblock6a"/>
      </w:pPr>
      <w:r>
        <w:t>The SWG rapporteur raised the question of whether the ‘same-airport compatibility guidance’ should be accommodated in Vol. II of ICAO Doc 9718, or in Appendix D of ICAO Annex 10, Vol. I, Attachment D. Furthermore, it was mentioned that siting criteria for navigation aids are typically contained in attachments to ICAO Annex 10, Vol. I. The meeting recommended that a package of ‘same-airport compatibility guidance’ and ‘siting guidance’ should be developed jointly. The home of this material should then be discussed again, after this material was available. In this context, it was also explained that material to be included into Amendment 93 of ICAO Annex 10, Vol. I needed to be ready in Q4/2020. Inclusion into ICAO Doc 9718 would not need to adhere to such strict deadlines.</w:t>
      </w:r>
    </w:p>
    <w:p w:rsidR="00442CB3" w:rsidRDefault="00442CB3" w:rsidP="00442CB3">
      <w:pPr>
        <w:pStyle w:val="SWGreportblock6a"/>
      </w:pPr>
      <w:r>
        <w:t>Furthermore, a discussion of the way forward towards completion of ‘international frequency assignment planning criteria’ for GBAS VDB took place. Members of the meeting observed that in the proposed Chapter 3 of Vol. II of ICAO Doc 9718 contained in WP6 the following elements were still missing:</w:t>
      </w:r>
    </w:p>
    <w:p w:rsidR="00442CB3" w:rsidRDefault="00442CB3" w:rsidP="00442CB3">
      <w:pPr>
        <w:pStyle w:val="SWGreportblock6a"/>
        <w:numPr>
          <w:ilvl w:val="0"/>
          <w:numId w:val="19"/>
        </w:numPr>
      </w:pPr>
      <w:r w:rsidRPr="007442A3">
        <w:t>VDB versus ILS Localizer signals</w:t>
      </w:r>
      <w:r>
        <w:t xml:space="preserve">: =&gt; The meeting was of the opinion that this could be developed in a similar way as the proposed material on </w:t>
      </w:r>
      <w:r w:rsidRPr="007442A3">
        <w:t xml:space="preserve">VDB versus </w:t>
      </w:r>
      <w:r>
        <w:t>VOR</w:t>
      </w:r>
      <w:r w:rsidRPr="007442A3">
        <w:t xml:space="preserve"> signals</w:t>
      </w:r>
      <w:r>
        <w:t>. (Robert Witzen would take care of this)</w:t>
      </w:r>
    </w:p>
    <w:p w:rsidR="00442CB3" w:rsidRDefault="00442CB3" w:rsidP="00442CB3">
      <w:pPr>
        <w:pStyle w:val="SWGreportblock6a"/>
        <w:numPr>
          <w:ilvl w:val="0"/>
          <w:numId w:val="19"/>
        </w:numPr>
      </w:pPr>
      <w:r w:rsidRPr="007442A3">
        <w:t xml:space="preserve">VDB versus </w:t>
      </w:r>
      <w:r>
        <w:t>VDL Mode 4</w:t>
      </w:r>
      <w:r w:rsidRPr="007442A3">
        <w:t xml:space="preserve"> signals</w:t>
      </w:r>
      <w:r>
        <w:t>: =&gt; Robert Witzen volunteered to take care of this task.</w:t>
      </w:r>
    </w:p>
    <w:p w:rsidR="00442CB3" w:rsidRDefault="00442CB3" w:rsidP="00442CB3">
      <w:pPr>
        <w:pStyle w:val="SWGreportblock6a"/>
        <w:numPr>
          <w:ilvl w:val="0"/>
          <w:numId w:val="19"/>
        </w:numPr>
      </w:pPr>
      <w:r w:rsidRPr="007442A3">
        <w:t xml:space="preserve">VDB versus </w:t>
      </w:r>
      <w:r>
        <w:t>VHF COM</w:t>
      </w:r>
      <w:r w:rsidRPr="007442A3">
        <w:t xml:space="preserve"> signals</w:t>
      </w:r>
      <w:r>
        <w:t>: =&gt; Robert Witzen and Felix Butsch volunteered to take care of this task with support by the aforementioned team formed to advance the development of ‘same-airport compatibility guidance’</w:t>
      </w:r>
    </w:p>
    <w:p w:rsidR="00442CB3" w:rsidRDefault="00442CB3" w:rsidP="00442CB3">
      <w:pPr>
        <w:pStyle w:val="SWGreportblock6a"/>
        <w:numPr>
          <w:ilvl w:val="0"/>
          <w:numId w:val="0"/>
        </w:numPr>
        <w:ind w:left="360"/>
      </w:pPr>
      <w:r w:rsidRPr="00234175">
        <w:rPr>
          <w:b/>
          <w:u w:val="single"/>
        </w:rPr>
        <w:t>Action SWG08/</w:t>
      </w:r>
      <w:r>
        <w:rPr>
          <w:b/>
          <w:u w:val="single"/>
        </w:rPr>
        <w:t>07</w:t>
      </w:r>
      <w:r w:rsidRPr="00234175">
        <w:rPr>
          <w:b/>
          <w:u w:val="single"/>
        </w:rPr>
        <w:t>:</w:t>
      </w:r>
      <w:r>
        <w:t xml:space="preserve"> R</w:t>
      </w:r>
      <w:r w:rsidRPr="006D430D">
        <w:t>obert Witzen to develop frequency assignment planning criteria for VDB versus ILS Localizer signals</w:t>
      </w:r>
    </w:p>
    <w:p w:rsidR="00442CB3" w:rsidRDefault="00442CB3" w:rsidP="00442CB3">
      <w:pPr>
        <w:pStyle w:val="SWGreportblock6a"/>
        <w:numPr>
          <w:ilvl w:val="0"/>
          <w:numId w:val="0"/>
        </w:numPr>
        <w:ind w:left="360"/>
      </w:pPr>
      <w:r w:rsidRPr="00234175">
        <w:rPr>
          <w:b/>
          <w:u w:val="single"/>
        </w:rPr>
        <w:t>Action SWG08/</w:t>
      </w:r>
      <w:r>
        <w:rPr>
          <w:b/>
          <w:u w:val="single"/>
        </w:rPr>
        <w:t>08</w:t>
      </w:r>
      <w:r w:rsidRPr="00234175">
        <w:rPr>
          <w:b/>
          <w:u w:val="single"/>
        </w:rPr>
        <w:t>:</w:t>
      </w:r>
      <w:r>
        <w:t xml:space="preserve"> R</w:t>
      </w:r>
      <w:r w:rsidRPr="006D430D">
        <w:t xml:space="preserve">obert Witzen to develop frequency assignment planning criteria for VDB versus </w:t>
      </w:r>
      <w:r>
        <w:t>VDL Mode 4</w:t>
      </w:r>
      <w:r w:rsidRPr="006D430D">
        <w:t xml:space="preserve"> signals</w:t>
      </w:r>
    </w:p>
    <w:p w:rsidR="00442CB3" w:rsidRDefault="00442CB3" w:rsidP="00442CB3">
      <w:pPr>
        <w:pStyle w:val="SWGreportblock6a"/>
        <w:numPr>
          <w:ilvl w:val="0"/>
          <w:numId w:val="0"/>
        </w:numPr>
        <w:ind w:left="360"/>
      </w:pPr>
      <w:r w:rsidRPr="00234175">
        <w:rPr>
          <w:b/>
          <w:u w:val="single"/>
        </w:rPr>
        <w:t>Action SWG08/</w:t>
      </w:r>
      <w:r>
        <w:rPr>
          <w:b/>
          <w:u w:val="single"/>
        </w:rPr>
        <w:t>09</w:t>
      </w:r>
      <w:r w:rsidRPr="00234175">
        <w:rPr>
          <w:b/>
          <w:u w:val="single"/>
        </w:rPr>
        <w:t>:</w:t>
      </w:r>
      <w:r>
        <w:t xml:space="preserve"> R</w:t>
      </w:r>
      <w:r w:rsidRPr="006D430D">
        <w:t>obert Witzen</w:t>
      </w:r>
      <w:r>
        <w:t xml:space="preserve"> and Felix Butsch</w:t>
      </w:r>
      <w:r w:rsidRPr="006D430D">
        <w:t xml:space="preserve"> to develop frequency assignment planning criteria for VDB versus </w:t>
      </w:r>
      <w:r>
        <w:t xml:space="preserve">VHF COM </w:t>
      </w:r>
      <w:r w:rsidRPr="006D430D">
        <w:t>signals</w:t>
      </w:r>
      <w:r>
        <w:t xml:space="preserve"> with support of VDB ad-hoc group.</w:t>
      </w:r>
    </w:p>
    <w:p w:rsidR="00442CB3" w:rsidRDefault="00442CB3" w:rsidP="00442CB3">
      <w:pPr>
        <w:pStyle w:val="SWGreportblock6a"/>
      </w:pPr>
      <w:r>
        <w:t xml:space="preserve">Moreover, the following discussion on various aspects for the development of </w:t>
      </w:r>
      <w:r w:rsidRPr="006D430D">
        <w:t>frequency assignment planning criteria for VDB</w:t>
      </w:r>
      <w:r>
        <w:t xml:space="preserve"> took place:</w:t>
      </w:r>
    </w:p>
    <w:p w:rsidR="00442CB3" w:rsidRDefault="00442CB3" w:rsidP="00442CB3">
      <w:pPr>
        <w:pStyle w:val="SWGreportblock6a"/>
      </w:pPr>
      <w:r>
        <w:t>The meeting could not endorse the proposal by WP25 to assume a Relative Antenna Gain, RAG (aka Antenna Gain Variation, AGV) of -7 dB instead of -15 dB. The rationale mentioned was that it could not safely assumed that an aircraft using GBAS would always be pointed toward a VDB-transmitter, even if it was in an area, where only the international frequency assignment planning criteria (i.e. not the detailed same-airport compatibility guidance) would apply. Members of the meeting mentioned the following potential solutions to mitigate national cases where this assumption would lead to a situation that no compatible VDB frequency could be coordinated:</w:t>
      </w:r>
    </w:p>
    <w:p w:rsidR="00442CB3" w:rsidRDefault="00442CB3" w:rsidP="00442CB3">
      <w:pPr>
        <w:pStyle w:val="SWGreportblock6a"/>
        <w:numPr>
          <w:ilvl w:val="0"/>
          <w:numId w:val="20"/>
        </w:numPr>
      </w:pPr>
      <w:r>
        <w:t xml:space="preserve">To ignore “small regions of interference” taking into account that these regions are “insignificant for the operational use”, i.e. without an impact on the flight procedures based on </w:t>
      </w:r>
      <w:r>
        <w:lastRenderedPageBreak/>
        <w:t>GBAS (similar to that was done for Terminal Area VORs according to Annex 10, Vol. I, Att. C, section 3.4.4.</w:t>
      </w:r>
    </w:p>
    <w:p w:rsidR="00442CB3" w:rsidRDefault="00442CB3" w:rsidP="00442CB3">
      <w:pPr>
        <w:pStyle w:val="SWGreportblock6a"/>
        <w:numPr>
          <w:ilvl w:val="0"/>
          <w:numId w:val="20"/>
        </w:numPr>
      </w:pPr>
      <w:r>
        <w:t>To take into account detailed information on the antenna characteristics of the Undesired transmitters (e.g. ILS Localizers, VOR etc.)</w:t>
      </w:r>
    </w:p>
    <w:p w:rsidR="00442CB3" w:rsidRDefault="00442CB3" w:rsidP="00442CB3">
      <w:pPr>
        <w:pStyle w:val="SWGreportblock6a"/>
      </w:pPr>
      <w:r>
        <w:t>In this context, it was also observed that today the location of terrestrial navigation aids are registered in frequency lists for international frequency assignment planning only with a resolution of 1 arc minute (i.e. magnitude of 1 NM). Improving this to 1 arc second (order of 30 metres) could be helpful in order to avoid small areas of interference from undesired navigation aids.</w:t>
      </w:r>
    </w:p>
    <w:p w:rsidR="00442CB3" w:rsidRPr="00CF7E2D" w:rsidRDefault="00442CB3" w:rsidP="00442CB3">
      <w:pPr>
        <w:rPr>
          <w:b/>
          <w:highlight w:val="green"/>
        </w:rPr>
      </w:pPr>
      <w:r w:rsidRPr="00CF7E2D">
        <w:rPr>
          <w:b/>
          <w:highlight w:val="green"/>
        </w:rPr>
        <w:t>Agenda Item 6b): Signal and compatibility issues in the band 960 to 1215 MHz</w:t>
      </w:r>
    </w:p>
    <w:p w:rsidR="00442CB3" w:rsidRDefault="00442CB3" w:rsidP="00442CB3">
      <w:pPr>
        <w:rPr>
          <w:b/>
        </w:rPr>
      </w:pPr>
    </w:p>
    <w:p w:rsidR="00442CB3" w:rsidRPr="00CE07AA" w:rsidRDefault="00442CB3" w:rsidP="00442CB3">
      <w:pPr>
        <w:rPr>
          <w:b/>
          <w:highlight w:val="cyan"/>
        </w:rPr>
      </w:pPr>
      <w:r w:rsidRPr="00CE07AA">
        <w:rPr>
          <w:b/>
          <w:highlight w:val="cyan"/>
        </w:rPr>
        <w:t>WP05, Handbook on radio frequency spectrum requirements for civil aviation, Volume II (Doc. 9718) Chapter 5 - DME</w:t>
      </w:r>
    </w:p>
    <w:p w:rsidR="00442CB3" w:rsidRPr="003C22D7" w:rsidRDefault="00442CB3" w:rsidP="00442CB3">
      <w:pPr>
        <w:pStyle w:val="SWGreportblock6b"/>
      </w:pPr>
      <w:r w:rsidRPr="003C22D7">
        <w:t xml:space="preserve">This paper presents material for the frequency assignment planning of the DME for incorporation in Chapter 5 of volume II </w:t>
      </w:r>
      <w:r>
        <w:t xml:space="preserve">of ICAO </w:t>
      </w:r>
      <w:r w:rsidRPr="003C22D7">
        <w:t>D</w:t>
      </w:r>
      <w:r>
        <w:t>oc 9</w:t>
      </w:r>
      <w:r w:rsidRPr="003C22D7">
        <w:t>718.</w:t>
      </w:r>
      <w:r>
        <w:t xml:space="preserve"> </w:t>
      </w:r>
      <w:r w:rsidRPr="003C22D7">
        <w:t>It introduces for the frequency assignment planning of DME systems the generic method that has been proposed in the separate working paper, WP02.</w:t>
      </w:r>
    </w:p>
    <w:p w:rsidR="00442CB3" w:rsidRPr="003C22D7" w:rsidRDefault="00442CB3" w:rsidP="00442CB3">
      <w:pPr>
        <w:pStyle w:val="SWGreportblock6b"/>
      </w:pPr>
      <w:r w:rsidRPr="003C22D7">
        <w:t>In the discussion, SWG participants provided a number of comments and change requests, which will be taken into account in an update of the paper for the subsequent SWG meeting. One major issue, which arose, was the interpretation of Desired-to-Undesired values specified in Table</w:t>
      </w:r>
      <w:r>
        <w:t xml:space="preserve"> </w:t>
      </w:r>
      <w:r w:rsidRPr="003C22D7">
        <w:t>5.5 of the paper (identical to Table C-6 of ICAO Annex 10, Vol. I, Att. C, section 7.1.8). In particular, it was unclear whether column A or column B should be applied for the derivation of frequency assignment planning purposes</w:t>
      </w:r>
      <w:r>
        <w:t xml:space="preserve"> for DME</w:t>
      </w:r>
      <w:r w:rsidRPr="003C22D7">
        <w:t>.</w:t>
      </w:r>
      <w:r>
        <w:t xml:space="preserve"> The SWG recommended that this should be further explored (e.g. comparison with Figure 10 of Appendix 3 of section 2 of FAA Order 6050.32B).</w:t>
      </w:r>
    </w:p>
    <w:p w:rsidR="00442CB3" w:rsidRPr="003C22D7" w:rsidRDefault="00442CB3" w:rsidP="00442CB3">
      <w:pPr>
        <w:pStyle w:val="SWGreportblock6b"/>
        <w:numPr>
          <w:ilvl w:val="0"/>
          <w:numId w:val="0"/>
        </w:numPr>
      </w:pPr>
      <w:r w:rsidRPr="003C22D7">
        <w:rPr>
          <w:b/>
          <w:u w:val="single"/>
        </w:rPr>
        <w:t>Action SWG08/</w:t>
      </w:r>
      <w:r>
        <w:rPr>
          <w:b/>
          <w:u w:val="single"/>
        </w:rPr>
        <w:t>10</w:t>
      </w:r>
      <w:r w:rsidRPr="003C22D7">
        <w:rPr>
          <w:b/>
          <w:u w:val="single"/>
        </w:rPr>
        <w:t>:</w:t>
      </w:r>
      <w:r w:rsidRPr="003C22D7">
        <w:t xml:space="preserve"> SWG members to contribute to the interpretation of the meaning of D/U values for DME </w:t>
      </w:r>
      <w:r>
        <w:t>contained</w:t>
      </w:r>
      <w:r w:rsidRPr="003C22D7">
        <w:t xml:space="preserve"> in Table C-6 of ICAO Annex 10, Vol. I, Att. C, section 7.1.8</w:t>
      </w:r>
      <w:r>
        <w:t>.</w:t>
      </w:r>
    </w:p>
    <w:p w:rsidR="00442CB3" w:rsidRPr="00015C73" w:rsidRDefault="00442CB3" w:rsidP="00442CB3">
      <w:pPr>
        <w:pStyle w:val="SWGreportblock6b"/>
        <w:numPr>
          <w:ilvl w:val="0"/>
          <w:numId w:val="29"/>
        </w:numPr>
      </w:pPr>
      <w:r w:rsidRPr="000D2711">
        <w:t xml:space="preserve">Moreover, the group recommended that </w:t>
      </w:r>
      <w:r w:rsidRPr="00015C73">
        <w:t>UAT should also be mentioned</w:t>
      </w:r>
      <w:r w:rsidRPr="000D2711">
        <w:t xml:space="preserve"> in the frequency assignment planning purposes for DME</w:t>
      </w:r>
      <w:r w:rsidRPr="00015C73">
        <w:t xml:space="preserve">. Therefore, a reference </w:t>
      </w:r>
      <w:r>
        <w:t xml:space="preserve">similar </w:t>
      </w:r>
      <w:r w:rsidRPr="00015C73">
        <w:t>to ICAO Annex 10, Vol. I, Att. C, section 7.1.11 “Considerations for the universal access transceiver (UAT)”, which refers to Part II of the “Manual on the Universal Access Transceiver”, UAT (ICAO Doc 9861)</w:t>
      </w:r>
      <w:r>
        <w:t>,</w:t>
      </w:r>
      <w:r w:rsidRPr="00356F56">
        <w:t xml:space="preserve"> </w:t>
      </w:r>
      <w:r w:rsidRPr="00015C73">
        <w:t>should be inserted</w:t>
      </w:r>
      <w:r>
        <w:t>.</w:t>
      </w:r>
    </w:p>
    <w:p w:rsidR="00442CB3" w:rsidRPr="00CF7E2D" w:rsidRDefault="00442CB3" w:rsidP="00442CB3">
      <w:pPr>
        <w:rPr>
          <w:b/>
          <w:highlight w:val="cyan"/>
        </w:rPr>
      </w:pPr>
    </w:p>
    <w:p w:rsidR="00442CB3" w:rsidRPr="00CF7E2D" w:rsidRDefault="00442CB3" w:rsidP="00442CB3">
      <w:r w:rsidRPr="00CF7E2D">
        <w:rPr>
          <w:b/>
          <w:highlight w:val="green"/>
        </w:rPr>
        <w:t>Agenda Item 6c): Signal and compatibility issues in the band 5000 to 5150 MHz</w:t>
      </w:r>
    </w:p>
    <w:p w:rsidR="00442CB3" w:rsidRDefault="00442CB3" w:rsidP="00442CB3">
      <w:pPr>
        <w:rPr>
          <w:i/>
          <w:iCs/>
          <w:sz w:val="20"/>
        </w:rPr>
      </w:pPr>
      <w:r>
        <w:rPr>
          <w:i/>
          <w:iCs/>
          <w:sz w:val="20"/>
        </w:rPr>
        <w:t>N</w:t>
      </w:r>
      <w:r w:rsidRPr="00CF7E2D">
        <w:rPr>
          <w:i/>
          <w:iCs/>
          <w:sz w:val="20"/>
        </w:rPr>
        <w:t>ote: No papers have been presented under this agenda item.</w:t>
      </w:r>
    </w:p>
    <w:p w:rsidR="00E55495" w:rsidRPr="00CF7E2D" w:rsidRDefault="00E55495" w:rsidP="00442CB3">
      <w:pPr>
        <w:rPr>
          <w:i/>
          <w:iCs/>
          <w:sz w:val="20"/>
        </w:rPr>
      </w:pPr>
    </w:p>
    <w:p w:rsidR="00442CB3" w:rsidRDefault="00442CB3" w:rsidP="00442CB3">
      <w:pPr>
        <w:rPr>
          <w:i/>
          <w:iCs/>
          <w:sz w:val="20"/>
        </w:rPr>
      </w:pPr>
    </w:p>
    <w:p w:rsidR="00442CB3" w:rsidRPr="00CF7E2D" w:rsidRDefault="00442CB3" w:rsidP="00442CB3">
      <w:pPr>
        <w:rPr>
          <w:b/>
          <w:highlight w:val="green"/>
        </w:rPr>
      </w:pPr>
      <w:r w:rsidRPr="00CF7E2D">
        <w:rPr>
          <w:b/>
          <w:highlight w:val="green"/>
        </w:rPr>
        <w:t>Agenda Item 6d): GNSS signal and interference issues</w:t>
      </w:r>
    </w:p>
    <w:p w:rsidR="00442CB3" w:rsidRPr="00CF7E2D" w:rsidRDefault="00442CB3" w:rsidP="00442CB3">
      <w:pPr>
        <w:rPr>
          <w:i/>
          <w:highlight w:val="yellow"/>
        </w:rPr>
      </w:pPr>
    </w:p>
    <w:p w:rsidR="00442CB3" w:rsidRPr="006607D8" w:rsidRDefault="00442CB3" w:rsidP="00442CB3">
      <w:pPr>
        <w:rPr>
          <w:b/>
          <w:highlight w:val="cyan"/>
        </w:rPr>
      </w:pPr>
      <w:r>
        <w:rPr>
          <w:b/>
          <w:highlight w:val="cyan"/>
        </w:rPr>
        <w:t>IP35,</w:t>
      </w:r>
      <w:r w:rsidRPr="006607D8">
        <w:rPr>
          <w:b/>
          <w:highlight w:val="cyan"/>
        </w:rPr>
        <w:tab/>
        <w:t xml:space="preserve">GNSS RFI </w:t>
      </w:r>
      <w:r>
        <w:rPr>
          <w:b/>
          <w:highlight w:val="cyan"/>
        </w:rPr>
        <w:t>Reports via EVAIR</w:t>
      </w:r>
    </w:p>
    <w:p w:rsidR="00442CB3" w:rsidRPr="008A3189" w:rsidRDefault="00442CB3" w:rsidP="00442CB3">
      <w:pPr>
        <w:pStyle w:val="SWGreportblock6d"/>
      </w:pPr>
      <w:r w:rsidRPr="008A3189">
        <w:t xml:space="preserve">IP35 contains a presentation on EUROCONTROL’s EVAIR Function Manager on the impact and scope of GPS-related Radio Interference Reports (EVAIR </w:t>
      </w:r>
      <w:r>
        <w:t xml:space="preserve">is the acronym of </w:t>
      </w:r>
      <w:r w:rsidRPr="008A3189">
        <w:t xml:space="preserve">EUROCONTROL Voluntary ATM Incident Reporting). Such reports </w:t>
      </w:r>
      <w:r>
        <w:t xml:space="preserve">submitted </w:t>
      </w:r>
      <w:r w:rsidRPr="008A3189">
        <w:t xml:space="preserve">by approx. 60 Aircraft Operators (AOs) were collected and evaluated from the period between 2014 and 2018. </w:t>
      </w:r>
      <w:r w:rsidRPr="008A3189">
        <w:lastRenderedPageBreak/>
        <w:t>While the number of GPS</w:t>
      </w:r>
      <w:r>
        <w:t>-related EVAIR</w:t>
      </w:r>
      <w:r w:rsidRPr="008A3189">
        <w:t xml:space="preserve"> reports stayed below 4 per day, it significantly increased to approx. 6.5 per day in 2018. </w:t>
      </w:r>
      <w:r w:rsidRPr="00433A0B">
        <w:t>GPS reports in 2018 made 68% of EVAIR AOs’ ATM reports</w:t>
      </w:r>
      <w:r>
        <w:t>. Members of the SWG observed that the increase of GPS-related EVAIR reports is not due to a global increase of such events, but rather to the increase of GPS RFI events in certain regions.</w:t>
      </w:r>
    </w:p>
    <w:p w:rsidR="00442CB3" w:rsidRDefault="00442CB3" w:rsidP="00442CB3">
      <w:pPr>
        <w:pStyle w:val="SWGreportblock6d"/>
      </w:pPr>
      <w:r w:rsidRPr="008A3189">
        <w:t xml:space="preserve">The distribution per phase of flight was as follows: En-route 75 %, App 13 %, Landing 3 %, Take-off 7 %, and Taxiing 2 %. </w:t>
      </w:r>
      <w:r>
        <w:t>In 17 % of the cases, one on-board GPS-receiver failed, in 83 % of the cases both receivers failed.</w:t>
      </w:r>
    </w:p>
    <w:p w:rsidR="00442CB3" w:rsidRPr="008A3189" w:rsidRDefault="00442CB3" w:rsidP="00442CB3">
      <w:pPr>
        <w:pStyle w:val="SWGreportblock6d"/>
      </w:pPr>
      <w:r w:rsidRPr="008A3189">
        <w:t>The most frequent problems reported within GPS outages reports were:</w:t>
      </w:r>
    </w:p>
    <w:p w:rsidR="00442CB3" w:rsidRPr="008A3189" w:rsidRDefault="00442CB3" w:rsidP="00442CB3">
      <w:pPr>
        <w:pStyle w:val="ListParagraph"/>
        <w:numPr>
          <w:ilvl w:val="0"/>
          <w:numId w:val="26"/>
        </w:numPr>
      </w:pPr>
      <w:r w:rsidRPr="008A3189">
        <w:t>Disagreement between GPS positions and NAV FMSs;</w:t>
      </w:r>
    </w:p>
    <w:p w:rsidR="00442CB3" w:rsidRPr="008A3189" w:rsidRDefault="00442CB3" w:rsidP="00442CB3">
      <w:pPr>
        <w:pStyle w:val="ListParagraph"/>
        <w:numPr>
          <w:ilvl w:val="0"/>
          <w:numId w:val="26"/>
        </w:numPr>
      </w:pPr>
      <w:r w:rsidRPr="008A3189">
        <w:t xml:space="preserve">Terrain warnings, sometimes with pull up requests. </w:t>
      </w:r>
    </w:p>
    <w:p w:rsidR="00442CB3" w:rsidRPr="008A3189" w:rsidRDefault="00442CB3" w:rsidP="00442CB3">
      <w:pPr>
        <w:pStyle w:val="ListParagraph"/>
        <w:numPr>
          <w:ilvl w:val="0"/>
          <w:numId w:val="26"/>
        </w:numPr>
      </w:pPr>
      <w:r w:rsidRPr="008A3189">
        <w:t>Unable to fly RNP</w:t>
      </w:r>
    </w:p>
    <w:p w:rsidR="00442CB3" w:rsidRPr="008A3189" w:rsidRDefault="00442CB3" w:rsidP="00442CB3">
      <w:pPr>
        <w:pStyle w:val="ListParagraph"/>
        <w:numPr>
          <w:ilvl w:val="0"/>
          <w:numId w:val="26"/>
        </w:numPr>
      </w:pPr>
      <w:r w:rsidRPr="008A3189">
        <w:t>In a few cases lack of situational awareness and requests for the assistance of radar vectoring to reach the destination</w:t>
      </w:r>
    </w:p>
    <w:p w:rsidR="00442CB3" w:rsidRPr="008A3189" w:rsidRDefault="00442CB3" w:rsidP="00442CB3">
      <w:pPr>
        <w:pStyle w:val="ListParagraph"/>
        <w:numPr>
          <w:ilvl w:val="0"/>
          <w:numId w:val="26"/>
        </w:numPr>
      </w:pPr>
      <w:r w:rsidRPr="008A3189">
        <w:t>Wind and ground speed wrong presentations</w:t>
      </w:r>
    </w:p>
    <w:p w:rsidR="00442CB3" w:rsidRPr="008A3189" w:rsidRDefault="00442CB3" w:rsidP="00442CB3">
      <w:pPr>
        <w:pStyle w:val="ListParagraph"/>
        <w:numPr>
          <w:ilvl w:val="0"/>
          <w:numId w:val="26"/>
        </w:numPr>
      </w:pPr>
      <w:r w:rsidRPr="008A3189">
        <w:t>Lost ADS-B, wind shear, terrain and surface functionalities</w:t>
      </w:r>
    </w:p>
    <w:p w:rsidR="00442CB3" w:rsidRDefault="00442CB3" w:rsidP="00442CB3">
      <w:pPr>
        <w:pStyle w:val="ListParagraph"/>
        <w:numPr>
          <w:ilvl w:val="0"/>
          <w:numId w:val="26"/>
        </w:numPr>
      </w:pPr>
      <w:r w:rsidRPr="008A3189">
        <w:t>Aircraft clocks began to count backwards</w:t>
      </w:r>
    </w:p>
    <w:p w:rsidR="00442CB3" w:rsidRDefault="00442CB3" w:rsidP="00442CB3">
      <w:pPr>
        <w:pStyle w:val="SWGreportblock6d"/>
      </w:pPr>
      <w:r>
        <w:t>The most affected areas and flights were:</w:t>
      </w:r>
    </w:p>
    <w:p w:rsidR="00442CB3" w:rsidRDefault="00442CB3" w:rsidP="00442CB3">
      <w:pPr>
        <w:pStyle w:val="ListParagraph"/>
        <w:numPr>
          <w:ilvl w:val="0"/>
          <w:numId w:val="26"/>
        </w:numPr>
      </w:pPr>
      <w:r>
        <w:t>Middle east – Europe across the Black Sea</w:t>
      </w:r>
    </w:p>
    <w:p w:rsidR="00442CB3" w:rsidRDefault="00442CB3" w:rsidP="00442CB3">
      <w:pPr>
        <w:pStyle w:val="ListParagraph"/>
        <w:numPr>
          <w:ilvl w:val="0"/>
          <w:numId w:val="26"/>
        </w:numPr>
      </w:pPr>
      <w:r>
        <w:t>Middle east – Europa via Mediterranean Sea</w:t>
      </w:r>
    </w:p>
    <w:p w:rsidR="00442CB3" w:rsidRPr="00F37D8F" w:rsidRDefault="00442CB3" w:rsidP="00442CB3">
      <w:pPr>
        <w:pStyle w:val="ListParagraph"/>
        <w:numPr>
          <w:ilvl w:val="0"/>
          <w:numId w:val="26"/>
        </w:numPr>
      </w:pPr>
      <w:r>
        <w:t>Middle east – Canada and America via Cross polar routes</w:t>
      </w:r>
    </w:p>
    <w:p w:rsidR="00442CB3" w:rsidRDefault="00442CB3" w:rsidP="00442CB3">
      <w:pPr>
        <w:pStyle w:val="SWGreportblock6d"/>
        <w:numPr>
          <w:ilvl w:val="0"/>
          <w:numId w:val="0"/>
        </w:numPr>
        <w:ind w:left="360"/>
      </w:pPr>
    </w:p>
    <w:p w:rsidR="00442CB3" w:rsidRDefault="00442CB3" w:rsidP="00442CB3">
      <w:pPr>
        <w:pStyle w:val="SWGreportblock6d"/>
      </w:pPr>
      <w:r>
        <w:t>During the discussion of this presentation, it was also mentioned that in some rare-cases the GPS receivers did not recover after the RFI incident for hours or even until landing. The various types of problems were reported by EUROCONTROL to the Aircraft Manufacturers and via EUROCAE WG62 and RTCA-SC159 to the GPS receiver manufacturers. Both afore</w:t>
      </w:r>
      <w:r>
        <w:softHyphen/>
        <w:t xml:space="preserve">mentioned groups took the task on-board to improve RFI detection and RFI robustness for the next generation GNSS receivers. However, only limited development of RFI detection capabilities using receiver observables is ongoing in receiver standardization groups, and therefore, further contributions on the topic would be most welcome.” </w:t>
      </w:r>
    </w:p>
    <w:p w:rsidR="00442CB3" w:rsidRDefault="00442CB3" w:rsidP="00442CB3">
      <w:pPr>
        <w:pStyle w:val="SWGreportblock6d"/>
      </w:pPr>
      <w:r w:rsidRPr="00A270AC">
        <w:t>It was also mentioned that the amended Job Card NSP006.03 “GNSS Radio Frequency Interference” contains now a new task with the title “</w:t>
      </w:r>
      <w:r>
        <w:t xml:space="preserve">GNSS RFI mitigation function </w:t>
      </w:r>
      <w:r w:rsidRPr="00031374">
        <w:t xml:space="preserve">development” dealing with “the development of a concept of operation for next generation equipment functions to improve navigation service robustness in the presence of RFI to GNSS”. </w:t>
      </w:r>
      <w:r>
        <w:t xml:space="preserve">The SWG noted that </w:t>
      </w:r>
      <w:r w:rsidRPr="00031374">
        <w:t>Eurocontrol is preparing material with respect to this task</w:t>
      </w:r>
      <w:r>
        <w:t xml:space="preserve"> and would welcome further contributions from other NSP members</w:t>
      </w:r>
      <w:r w:rsidRPr="00031374">
        <w:t>.</w:t>
      </w:r>
      <w:r>
        <w:t xml:space="preserve"> </w:t>
      </w:r>
    </w:p>
    <w:p w:rsidR="00442CB3" w:rsidRDefault="00442CB3" w:rsidP="00442CB3">
      <w:pPr>
        <w:pStyle w:val="SWGreportblock6d"/>
      </w:pPr>
      <w:r>
        <w:t>Moreover, it was pointed out that while in the past failures of GPS receivers due to RFI events were only considered as “operational nuisances”, the number of cases has now reached a level where there may be an impact on capacity. Conflict areas, as well as airspace to which traffic is diverted to avoid those conflict areas, were especially vulnerable to GPS RFI. In this context, EUROCONTROL was preparing guidance material on ‘</w:t>
      </w:r>
      <w:r w:rsidRPr="00AA5D9D">
        <w:t>GNSS Reversion”.</w:t>
      </w:r>
    </w:p>
    <w:p w:rsidR="00E55495" w:rsidRDefault="00E55495" w:rsidP="00E55495">
      <w:pPr>
        <w:pStyle w:val="SWGreportblock6d"/>
        <w:numPr>
          <w:ilvl w:val="0"/>
          <w:numId w:val="0"/>
        </w:numPr>
        <w:ind w:left="720" w:hanging="360"/>
      </w:pPr>
    </w:p>
    <w:p w:rsidR="00E55495" w:rsidRDefault="00E55495" w:rsidP="00E55495">
      <w:pPr>
        <w:pStyle w:val="SWGreportblock6d"/>
        <w:numPr>
          <w:ilvl w:val="0"/>
          <w:numId w:val="0"/>
        </w:numPr>
        <w:ind w:left="720" w:hanging="360"/>
      </w:pPr>
    </w:p>
    <w:p w:rsidR="00442CB3" w:rsidRDefault="00442CB3" w:rsidP="00442CB3">
      <w:pPr>
        <w:pStyle w:val="SWGreportblock6d"/>
      </w:pPr>
      <w:r>
        <w:t xml:space="preserve">Furthermore, it was discussed that monitoring as well as fast detection and resolution of GNSS RFI may require a big effort in the future. Monitoring of GNSS RFI via evaluation of the on-board receiver’s status in order to produce a ‘heat-map’ of the impact seemed to be more efficient than deploying a ground monitoring and localisation network. However, current GPS receiver’s status monitoring and ADS-B function provided only limited possibilities for this purpose. Although, there is an ongoing effort to standardise new functionalities for this purpose, many years may be necessary before this new technology would be available. </w:t>
      </w:r>
    </w:p>
    <w:p w:rsidR="00442CB3" w:rsidRDefault="00442CB3" w:rsidP="00442CB3">
      <w:pPr>
        <w:pStyle w:val="SWGreportblock6d"/>
        <w:numPr>
          <w:ilvl w:val="0"/>
          <w:numId w:val="0"/>
        </w:numPr>
        <w:ind w:left="357"/>
      </w:pPr>
    </w:p>
    <w:p w:rsidR="00442CB3" w:rsidRDefault="00442CB3" w:rsidP="00442CB3">
      <w:pPr>
        <w:pStyle w:val="SWGreportblock6d"/>
        <w:ind w:left="709" w:hanging="283"/>
      </w:pPr>
      <w:r>
        <w:t>Finally, SWG meeting participants provided the links to the following relevant reports, which are available in the Internet:</w:t>
      </w:r>
    </w:p>
    <w:p w:rsidR="00442CB3" w:rsidRDefault="00442CB3" w:rsidP="00442CB3">
      <w:pPr>
        <w:pStyle w:val="SWGreportblock6d"/>
        <w:numPr>
          <w:ilvl w:val="0"/>
          <w:numId w:val="27"/>
        </w:numPr>
        <w:ind w:left="1276" w:hanging="567"/>
      </w:pPr>
      <w:r>
        <w:t xml:space="preserve">C4ADS (non-profit organization) report March 24, 2019: </w:t>
      </w:r>
    </w:p>
    <w:p w:rsidR="00442CB3" w:rsidRDefault="00442CB3" w:rsidP="00442CB3">
      <w:pPr>
        <w:pStyle w:val="SWGreportblock6d"/>
        <w:numPr>
          <w:ilvl w:val="0"/>
          <w:numId w:val="0"/>
        </w:numPr>
        <w:ind w:left="1276" w:hanging="567"/>
      </w:pPr>
      <w:r>
        <w:t xml:space="preserve">Overview: </w:t>
      </w:r>
      <w:hyperlink r:id="rId11" w:history="1">
        <w:r w:rsidRPr="0029340B">
          <w:rPr>
            <w:rStyle w:val="Hyperlink"/>
          </w:rPr>
          <w:t>https://www.c4reports.org/aboveusonlystars</w:t>
        </w:r>
      </w:hyperlink>
    </w:p>
    <w:p w:rsidR="00442CB3" w:rsidRDefault="00442CB3" w:rsidP="00442CB3">
      <w:pPr>
        <w:pStyle w:val="SWGreportblock6d"/>
        <w:numPr>
          <w:ilvl w:val="0"/>
          <w:numId w:val="0"/>
        </w:numPr>
        <w:ind w:left="1276" w:hanging="567"/>
      </w:pPr>
      <w:r>
        <w:t xml:space="preserve">Full Report: </w:t>
      </w:r>
      <w:hyperlink r:id="rId12" w:history="1">
        <w:r w:rsidRPr="0029340B">
          <w:rPr>
            <w:rStyle w:val="Hyperlink"/>
          </w:rPr>
          <w:t>https://static1.squarespace.com/static/566ef8b4d8af107232d5358a/t/5c99488beb39314c45e782da/1553549492554/Above+Us+Only+Stars.pdf</w:t>
        </w:r>
      </w:hyperlink>
    </w:p>
    <w:p w:rsidR="00442CB3" w:rsidRDefault="00442CB3" w:rsidP="00442CB3">
      <w:pPr>
        <w:pStyle w:val="SWGreportblock6d"/>
        <w:numPr>
          <w:ilvl w:val="0"/>
          <w:numId w:val="0"/>
        </w:numPr>
        <w:ind w:left="1276" w:hanging="567"/>
      </w:pPr>
      <w:r>
        <w:t>The C4ADS Executive Summary closing statement is: “</w:t>
      </w:r>
      <w:r w:rsidRPr="000141FB">
        <w:rPr>
          <w:i/>
        </w:rPr>
        <w:t>However, the low cost, commercial availability, and ease of deployment of these technologies will empower not only states, but also insurgents, terrorists, and criminals in a wide range of destabilizing state-sponsored and non-state illicit networks. GNSS spoofing activities endanger everything from global navigational safety to civilian finance, logistics, and communication systems</w:t>
      </w:r>
      <w:r>
        <w:t>”.</w:t>
      </w:r>
    </w:p>
    <w:p w:rsidR="00442CB3" w:rsidRPr="00C10136" w:rsidRDefault="00442CB3" w:rsidP="00442CB3">
      <w:pPr>
        <w:pStyle w:val="SWGreportblock6d"/>
        <w:numPr>
          <w:ilvl w:val="0"/>
          <w:numId w:val="27"/>
        </w:numPr>
        <w:ind w:left="1276" w:hanging="567"/>
        <w:rPr>
          <w:rStyle w:val="Hyperlink"/>
        </w:rPr>
      </w:pPr>
      <w:r>
        <w:t xml:space="preserve">U.S. DOC NTIA and OSTP (White House agencies) released a report on 26 March 2019 with a set of recommendations to support the radio frequency needs of the space sector: </w:t>
      </w:r>
      <w:hyperlink r:id="rId13" w:history="1">
        <w:r w:rsidRPr="0029340B">
          <w:rPr>
            <w:rStyle w:val="Hyperlink"/>
          </w:rPr>
          <w:t>https://www.commerce.gov/sites/default/files/2019-03/DrivingSpaceCommerce.pdf</w:t>
        </w:r>
      </w:hyperlink>
    </w:p>
    <w:p w:rsidR="00442CB3" w:rsidRPr="00C10136" w:rsidRDefault="00442CB3" w:rsidP="00442CB3">
      <w:pPr>
        <w:pStyle w:val="SWGreportblock6d"/>
        <w:numPr>
          <w:ilvl w:val="0"/>
          <w:numId w:val="0"/>
        </w:numPr>
        <w:ind w:left="1276"/>
        <w:rPr>
          <w:i/>
          <w:lang w:val="en-US"/>
        </w:rPr>
      </w:pPr>
      <w:r w:rsidRPr="007D58DF">
        <w:rPr>
          <w:rStyle w:val="Hyperlink"/>
          <w:color w:val="000000" w:themeColor="text1"/>
        </w:rPr>
        <w:t>Among other things, this document warns about “LEO Satellites with Software Defined Radios as potential jammers”: “</w:t>
      </w:r>
      <w:r w:rsidRPr="00C10136">
        <w:rPr>
          <w:i/>
          <w:lang w:val="en-US"/>
        </w:rPr>
        <w:t>The newer technology of software-defined radios presents even more policy issues. Some satellites (today, mostly small lower Earth orbit (LEO) satellites) are designed with software-defined radios, which can adapt frequency usage dynamically and which may open the door over time to new regulatory approaches to spectrum sharing. However, many legacy satellites without the ability to adapt to different areas of spectrum will be on orbit for decades to come. Transmitters capable of operating across wide frequency bands are certainly attractive for their flexibility, but these same transmitters could be sources of interference or jamming if allowed to operate across spectrum used for space services. Carefully thought out regulatory implementation of these new spectrum access technologies and techniques is imperative. So information about threats and vulnerabilities is</w:t>
      </w:r>
      <w:r>
        <w:rPr>
          <w:i/>
          <w:lang w:val="en-US"/>
        </w:rPr>
        <w:t xml:space="preserve"> </w:t>
      </w:r>
      <w:r w:rsidRPr="00C10136">
        <w:rPr>
          <w:i/>
          <w:lang w:val="en-US"/>
        </w:rPr>
        <w:t>starting to be introduced in the public domain as well as within the aviation community.”</w:t>
      </w:r>
    </w:p>
    <w:p w:rsidR="00442CB3" w:rsidRDefault="00442CB3" w:rsidP="00442CB3"/>
    <w:p w:rsidR="00442CB3" w:rsidRPr="00CF7E2D" w:rsidRDefault="00442CB3" w:rsidP="00442CB3">
      <w:pPr>
        <w:rPr>
          <w:b/>
          <w:highlight w:val="green"/>
        </w:rPr>
      </w:pPr>
      <w:r w:rsidRPr="00CF7E2D">
        <w:rPr>
          <w:b/>
          <w:highlight w:val="green"/>
        </w:rPr>
        <w:t>Agenda Item 6e): Open actions for SWG from ICAO NSP Panel meetings</w:t>
      </w:r>
    </w:p>
    <w:p w:rsidR="00442CB3" w:rsidRPr="00CF7E2D" w:rsidRDefault="00442CB3" w:rsidP="00442CB3">
      <w:pPr>
        <w:rPr>
          <w:i/>
        </w:rPr>
      </w:pPr>
      <w:r w:rsidRPr="00CF7E2D">
        <w:rPr>
          <w:i/>
        </w:rPr>
        <w:t>Note: No actions from panel meeting under this agenda item</w:t>
      </w:r>
      <w:r>
        <w:rPr>
          <w:i/>
        </w:rPr>
        <w:t xml:space="preserve"> were</w:t>
      </w:r>
      <w:r w:rsidRPr="00CF7E2D">
        <w:rPr>
          <w:i/>
        </w:rPr>
        <w:t xml:space="preserve"> discussed.</w:t>
      </w:r>
    </w:p>
    <w:p w:rsidR="00442CB3" w:rsidRDefault="00442CB3" w:rsidP="00442CB3">
      <w:pPr>
        <w:rPr>
          <w:b/>
          <w:highlight w:val="green"/>
        </w:rPr>
      </w:pPr>
    </w:p>
    <w:p w:rsidR="00442CB3" w:rsidRPr="00CF7E2D" w:rsidRDefault="00442CB3" w:rsidP="00442CB3">
      <w:pPr>
        <w:rPr>
          <w:b/>
          <w:highlight w:val="green"/>
        </w:rPr>
      </w:pPr>
    </w:p>
    <w:p w:rsidR="00442CB3" w:rsidRPr="00CF7E2D" w:rsidRDefault="00442CB3" w:rsidP="00442CB3">
      <w:pPr>
        <w:rPr>
          <w:b/>
        </w:rPr>
      </w:pPr>
      <w:r w:rsidRPr="00CF7E2D">
        <w:rPr>
          <w:b/>
          <w:highlight w:val="green"/>
        </w:rPr>
        <w:t>Agenda Item 6f): Spectrum – any other business</w:t>
      </w:r>
    </w:p>
    <w:p w:rsidR="00442CB3" w:rsidRDefault="00442CB3" w:rsidP="00442CB3">
      <w:pPr>
        <w:rPr>
          <w:b/>
          <w:highlight w:val="cyan"/>
        </w:rPr>
      </w:pPr>
    </w:p>
    <w:p w:rsidR="00442CB3" w:rsidRDefault="00442CB3" w:rsidP="00442CB3">
      <w:pPr>
        <w:rPr>
          <w:b/>
          <w:highlight w:val="cyan"/>
        </w:rPr>
      </w:pPr>
      <w:r w:rsidRPr="00BF641A">
        <w:rPr>
          <w:b/>
          <w:highlight w:val="cyan"/>
        </w:rPr>
        <w:t>IP12</w:t>
      </w:r>
      <w:r w:rsidRPr="00BF641A">
        <w:rPr>
          <w:b/>
          <w:highlight w:val="cyan"/>
        </w:rPr>
        <w:tab/>
        <w:t>Approval of NSP Job Cards by Air Navigation Commission</w:t>
      </w:r>
    </w:p>
    <w:p w:rsidR="00442CB3" w:rsidRPr="00BF641A" w:rsidRDefault="00442CB3" w:rsidP="00442CB3">
      <w:pPr>
        <w:rPr>
          <w:b/>
          <w:highlight w:val="cyan"/>
        </w:rPr>
      </w:pPr>
    </w:p>
    <w:p w:rsidR="00442CB3" w:rsidRDefault="00442CB3" w:rsidP="00442CB3">
      <w:pPr>
        <w:pStyle w:val="SWGreportblock6f"/>
      </w:pPr>
      <w:r>
        <w:t xml:space="preserve">IP12 reports about the approval of </w:t>
      </w:r>
      <w:r w:rsidRPr="00BF641A">
        <w:t>NSP Job Cards by Air Navigation Commission</w:t>
      </w:r>
      <w:r>
        <w:t>, ANC. The following proposed Job Cards are relevant to the work of the SWG:</w:t>
      </w:r>
    </w:p>
    <w:p w:rsidR="00442CB3" w:rsidRDefault="00442CB3" w:rsidP="00442CB3">
      <w:pPr>
        <w:pStyle w:val="SWGreportblock6f"/>
        <w:numPr>
          <w:ilvl w:val="0"/>
          <w:numId w:val="18"/>
        </w:numPr>
      </w:pPr>
      <w:r w:rsidRPr="007D58DF">
        <w:rPr>
          <w:b/>
        </w:rPr>
        <w:t xml:space="preserve"> NSP006.03</w:t>
      </w:r>
      <w:r>
        <w:t>, “GNSS Radio Frequency Interference”, including a new task on “</w:t>
      </w:r>
      <w:r w:rsidRPr="00560040">
        <w:t>GNSS RFI mitigation function development”</w:t>
      </w:r>
      <w:r>
        <w:t>.</w:t>
      </w:r>
    </w:p>
    <w:p w:rsidR="00442CB3" w:rsidRDefault="00442CB3" w:rsidP="00442CB3">
      <w:pPr>
        <w:pStyle w:val="SWGreportblock6f"/>
        <w:numPr>
          <w:ilvl w:val="0"/>
          <w:numId w:val="18"/>
        </w:numPr>
      </w:pPr>
      <w:r>
        <w:t xml:space="preserve"> </w:t>
      </w:r>
      <w:r w:rsidRPr="007D58DF">
        <w:rPr>
          <w:b/>
        </w:rPr>
        <w:t>NSP012.01</w:t>
      </w:r>
      <w:r>
        <w:t>, “Movement of frequency assignment planning criteria for VHF/UHF NAV systems from Annex 10 Vol. I to Doc 9718 Volume II”.</w:t>
      </w:r>
    </w:p>
    <w:p w:rsidR="00442CB3" w:rsidRDefault="00442CB3" w:rsidP="00442CB3">
      <w:pPr>
        <w:pStyle w:val="SWGreportblock6f"/>
      </w:pPr>
      <w:r>
        <w:t xml:space="preserve">The SWG learned from this paper that the ANC approved the proposed changes to the Job Card </w:t>
      </w:r>
      <w:r w:rsidRPr="00BF641A">
        <w:t xml:space="preserve">NSP006.03, </w:t>
      </w:r>
      <w:r>
        <w:t>“</w:t>
      </w:r>
      <w:r w:rsidRPr="00BF641A">
        <w:t>GNSS Radio Frequency Interference</w:t>
      </w:r>
      <w:r>
        <w:t xml:space="preserve">”. </w:t>
      </w:r>
    </w:p>
    <w:p w:rsidR="00442CB3" w:rsidRPr="00BF641A" w:rsidRDefault="00442CB3" w:rsidP="00442CB3">
      <w:pPr>
        <w:pStyle w:val="SWGreportblock6f"/>
      </w:pPr>
      <w:r>
        <w:t xml:space="preserve">Concerning the Job Card </w:t>
      </w:r>
      <w:r w:rsidRPr="00C70D24">
        <w:t>NSP012.01,</w:t>
      </w:r>
      <w:r>
        <w:t xml:space="preserve"> the ANC concurred with the outcome of a peer review by the Secretariat that that a new Job Card was not required. The rational was that the proposed new card did not involve the development of any actual new provisions, as opposed to minor “maintenance” changes already included in the basic terms of reference of the panel. </w:t>
      </w:r>
    </w:p>
    <w:p w:rsidR="00442CB3" w:rsidRDefault="00442CB3" w:rsidP="00442CB3">
      <w:pPr>
        <w:ind w:left="426" w:hanging="426"/>
      </w:pPr>
    </w:p>
    <w:p w:rsidR="00442CB3" w:rsidRDefault="00442CB3" w:rsidP="00442CB3">
      <w:pPr>
        <w:ind w:left="426" w:hanging="426"/>
      </w:pPr>
    </w:p>
    <w:p w:rsidR="00442CB3" w:rsidRPr="00CF7E2D" w:rsidRDefault="00442CB3" w:rsidP="00442CB3">
      <w:pPr>
        <w:rPr>
          <w:b/>
          <w:bCs/>
        </w:rPr>
      </w:pPr>
      <w:r w:rsidRPr="00CF7E2D">
        <w:rPr>
          <w:b/>
          <w:bCs/>
        </w:rPr>
        <w:t>III</w:t>
      </w:r>
      <w:r w:rsidRPr="00CF7E2D">
        <w:rPr>
          <w:b/>
          <w:bCs/>
        </w:rPr>
        <w:tab/>
        <w:t>Administrative matters</w:t>
      </w:r>
    </w:p>
    <w:p w:rsidR="00442CB3" w:rsidRPr="00CF7E2D" w:rsidRDefault="00442CB3" w:rsidP="00442CB3"/>
    <w:p w:rsidR="00442CB3" w:rsidRPr="00CF7E2D" w:rsidRDefault="00442CB3" w:rsidP="00442CB3">
      <w:pPr>
        <w:rPr>
          <w:b/>
          <w:bCs/>
        </w:rPr>
      </w:pPr>
      <w:r w:rsidRPr="00CF7E2D">
        <w:t xml:space="preserve">An updated action item list of the SWG can be found as Attachment B of this report. The next meeting of the Spectrum Working Group is expected to take place </w:t>
      </w:r>
      <w:r>
        <w:t xml:space="preserve">in Montreal from </w:t>
      </w:r>
      <w:r w:rsidRPr="004963E1">
        <w:t>15</w:t>
      </w:r>
      <w:r w:rsidRPr="004963E1">
        <w:rPr>
          <w:vertAlign w:val="superscript"/>
        </w:rPr>
        <w:t>th</w:t>
      </w:r>
      <w:r w:rsidRPr="004963E1">
        <w:t xml:space="preserve"> to 18</w:t>
      </w:r>
      <w:r w:rsidRPr="004963E1">
        <w:rPr>
          <w:vertAlign w:val="superscript"/>
        </w:rPr>
        <w:t>th</w:t>
      </w:r>
      <w:r w:rsidRPr="004963E1">
        <w:t xml:space="preserve"> of October 2019,</w:t>
      </w:r>
      <w:r>
        <w:t xml:space="preserve"> i.e. within the first week of the </w:t>
      </w:r>
      <w:r w:rsidRPr="00CF7E2D">
        <w:t>next ICAO NSP meeting.</w:t>
      </w:r>
      <w:r>
        <w:t xml:space="preserve"> </w:t>
      </w:r>
      <w:r w:rsidRPr="005E1E54">
        <w:t>This will allow the arrangement of joint m</w:t>
      </w:r>
      <w:r>
        <w:t xml:space="preserve">eetings with the GWG and CNTWG, </w:t>
      </w:r>
      <w:r w:rsidRPr="005E1E54">
        <w:t>e.g. to discuss GBAS VDB</w:t>
      </w:r>
      <w:r>
        <w:t>-</w:t>
      </w:r>
      <w:r w:rsidRPr="005E1E54">
        <w:t xml:space="preserve"> and LDACS</w:t>
      </w:r>
      <w:r>
        <w:t>-related</w:t>
      </w:r>
      <w:r w:rsidRPr="005E1E54">
        <w:t xml:space="preserve"> issues.</w:t>
      </w:r>
      <w:r w:rsidRPr="00CF7E2D">
        <w:br w:type="page"/>
      </w:r>
    </w:p>
    <w:p w:rsidR="00442CB3" w:rsidRPr="00CF7E2D" w:rsidRDefault="00442CB3" w:rsidP="00442CB3">
      <w:pPr>
        <w:rPr>
          <w:b/>
          <w:bCs/>
        </w:rPr>
      </w:pPr>
      <w:r w:rsidRPr="00CF7E2D">
        <w:rPr>
          <w:b/>
          <w:bCs/>
        </w:rPr>
        <w:lastRenderedPageBreak/>
        <w:t>ATTACHMENT A: ACTION ITEM LIST</w:t>
      </w:r>
    </w:p>
    <w:p w:rsidR="00442CB3" w:rsidRPr="00CF7E2D" w:rsidRDefault="00442CB3" w:rsidP="00442CB3"/>
    <w:tbl>
      <w:tblPr>
        <w:tblW w:w="918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2"/>
        <w:gridCol w:w="4961"/>
        <w:gridCol w:w="1237"/>
        <w:gridCol w:w="1790"/>
      </w:tblGrid>
      <w:tr w:rsidR="00442CB3" w:rsidRPr="00CF7E2D" w:rsidTr="00D1096A">
        <w:tc>
          <w:tcPr>
            <w:tcW w:w="1192" w:type="dxa"/>
            <w:tcBorders>
              <w:bottom w:val="nil"/>
            </w:tcBorders>
          </w:tcPr>
          <w:p w:rsidR="00442CB3" w:rsidRPr="00CF7E2D" w:rsidRDefault="00442CB3" w:rsidP="00D1096A">
            <w:pPr>
              <w:rPr>
                <w:b/>
                <w:bCs/>
                <w:sz w:val="20"/>
              </w:rPr>
            </w:pPr>
            <w:r w:rsidRPr="00CF7E2D">
              <w:rPr>
                <w:b/>
                <w:bCs/>
                <w:sz w:val="20"/>
              </w:rPr>
              <w:t>Action number</w:t>
            </w:r>
          </w:p>
        </w:tc>
        <w:tc>
          <w:tcPr>
            <w:tcW w:w="4961" w:type="dxa"/>
            <w:tcBorders>
              <w:bottom w:val="nil"/>
            </w:tcBorders>
          </w:tcPr>
          <w:p w:rsidR="00442CB3" w:rsidRPr="00CF7E2D" w:rsidRDefault="00442CB3" w:rsidP="00D1096A">
            <w:pPr>
              <w:rPr>
                <w:b/>
                <w:bCs/>
                <w:sz w:val="20"/>
              </w:rPr>
            </w:pPr>
            <w:r w:rsidRPr="00CF7E2D">
              <w:rPr>
                <w:b/>
                <w:bCs/>
                <w:sz w:val="20"/>
              </w:rPr>
              <w:t>Action</w:t>
            </w:r>
          </w:p>
          <w:p w:rsidR="00442CB3" w:rsidRPr="00CF7E2D" w:rsidRDefault="00442CB3" w:rsidP="00D1096A">
            <w:pPr>
              <w:rPr>
                <w:b/>
                <w:bCs/>
                <w:sz w:val="20"/>
              </w:rPr>
            </w:pPr>
          </w:p>
        </w:tc>
        <w:tc>
          <w:tcPr>
            <w:tcW w:w="1237" w:type="dxa"/>
            <w:tcBorders>
              <w:bottom w:val="nil"/>
            </w:tcBorders>
          </w:tcPr>
          <w:p w:rsidR="00442CB3" w:rsidRPr="00CF7E2D" w:rsidRDefault="00442CB3" w:rsidP="00D1096A">
            <w:pPr>
              <w:rPr>
                <w:b/>
                <w:bCs/>
                <w:sz w:val="20"/>
              </w:rPr>
            </w:pPr>
            <w:r w:rsidRPr="00CF7E2D">
              <w:rPr>
                <w:b/>
                <w:bCs/>
                <w:sz w:val="20"/>
              </w:rPr>
              <w:t>Actionees</w:t>
            </w:r>
          </w:p>
        </w:tc>
        <w:tc>
          <w:tcPr>
            <w:tcW w:w="1790" w:type="dxa"/>
            <w:tcBorders>
              <w:bottom w:val="nil"/>
            </w:tcBorders>
          </w:tcPr>
          <w:p w:rsidR="00442CB3" w:rsidRPr="00CF7E2D" w:rsidRDefault="00442CB3" w:rsidP="00D1096A">
            <w:pPr>
              <w:rPr>
                <w:b/>
                <w:bCs/>
                <w:sz w:val="20"/>
              </w:rPr>
            </w:pPr>
            <w:r w:rsidRPr="00CF7E2D">
              <w:rPr>
                <w:b/>
                <w:bCs/>
                <w:sz w:val="20"/>
              </w:rPr>
              <w:t>Status</w:t>
            </w:r>
          </w:p>
        </w:tc>
      </w:tr>
      <w:tr w:rsidR="00442CB3" w:rsidRPr="00CF7E2D" w:rsidTr="00D1096A">
        <w:tc>
          <w:tcPr>
            <w:tcW w:w="9180" w:type="dxa"/>
            <w:gridSpan w:val="4"/>
          </w:tcPr>
          <w:p w:rsidR="00442CB3" w:rsidRPr="00CF7E2D" w:rsidRDefault="00442CB3" w:rsidP="00D1096A">
            <w:pPr>
              <w:rPr>
                <w:b/>
                <w:bCs/>
                <w:sz w:val="20"/>
              </w:rPr>
            </w:pPr>
          </w:p>
          <w:p w:rsidR="00442CB3" w:rsidRPr="00CF7E2D" w:rsidRDefault="00442CB3" w:rsidP="00D1096A">
            <w:pPr>
              <w:rPr>
                <w:b/>
                <w:bCs/>
                <w:sz w:val="20"/>
              </w:rPr>
            </w:pPr>
            <w:r w:rsidRPr="00CF7E2D">
              <w:rPr>
                <w:b/>
                <w:bCs/>
                <w:sz w:val="20"/>
              </w:rPr>
              <w:t>Actions from the Montreal meeting October 2006 (SSG10):</w:t>
            </w:r>
          </w:p>
          <w:p w:rsidR="00442CB3" w:rsidRPr="00CF7E2D" w:rsidRDefault="00442CB3" w:rsidP="00D1096A">
            <w:pPr>
              <w:rPr>
                <w:sz w:val="20"/>
              </w:rPr>
            </w:pPr>
          </w:p>
        </w:tc>
      </w:tr>
      <w:tr w:rsidR="00442CB3" w:rsidRPr="00CF7E2D" w:rsidTr="00D1096A">
        <w:tc>
          <w:tcPr>
            <w:tcW w:w="1192" w:type="dxa"/>
          </w:tcPr>
          <w:p w:rsidR="00442CB3" w:rsidRPr="00CF7E2D" w:rsidRDefault="00442CB3" w:rsidP="00D1096A">
            <w:pPr>
              <w:rPr>
                <w:sz w:val="20"/>
              </w:rPr>
            </w:pPr>
            <w:r w:rsidRPr="00CF7E2D">
              <w:rPr>
                <w:sz w:val="20"/>
              </w:rPr>
              <w:t>SSG10/10</w:t>
            </w:r>
          </w:p>
        </w:tc>
        <w:tc>
          <w:tcPr>
            <w:tcW w:w="4961" w:type="dxa"/>
          </w:tcPr>
          <w:p w:rsidR="00442CB3" w:rsidRPr="00CF7E2D" w:rsidRDefault="00442CB3" w:rsidP="00D1096A">
            <w:pPr>
              <w:rPr>
                <w:sz w:val="20"/>
              </w:rPr>
            </w:pPr>
            <w:r w:rsidRPr="00CF7E2D">
              <w:rPr>
                <w:sz w:val="20"/>
              </w:rPr>
              <w:t>To develop more detailed frequency coordination criteria between GBAS and VHF-COM as well as GBAS and ILS for publication by ICAO.</w:t>
            </w:r>
          </w:p>
        </w:tc>
        <w:tc>
          <w:tcPr>
            <w:tcW w:w="1237" w:type="dxa"/>
          </w:tcPr>
          <w:p w:rsidR="00442CB3" w:rsidRPr="00CF7E2D" w:rsidRDefault="00442CB3" w:rsidP="00D1096A">
            <w:pPr>
              <w:rPr>
                <w:sz w:val="20"/>
              </w:rPr>
            </w:pPr>
            <w:r w:rsidRPr="00CF7E2D">
              <w:rPr>
                <w:sz w:val="20"/>
              </w:rPr>
              <w:t>SSG</w:t>
            </w:r>
          </w:p>
        </w:tc>
        <w:tc>
          <w:tcPr>
            <w:tcW w:w="1790" w:type="dxa"/>
          </w:tcPr>
          <w:p w:rsidR="00442CB3" w:rsidRDefault="00442CB3" w:rsidP="00D1096A">
            <w:pPr>
              <w:rPr>
                <w:sz w:val="20"/>
              </w:rPr>
            </w:pPr>
            <w:r w:rsidRPr="00CF7E2D">
              <w:rPr>
                <w:sz w:val="20"/>
              </w:rPr>
              <w:t>Ongoing</w:t>
            </w:r>
            <w:r>
              <w:rPr>
                <w:sz w:val="20"/>
              </w:rPr>
              <w:t>,</w:t>
            </w:r>
          </w:p>
          <w:p w:rsidR="00442CB3" w:rsidRDefault="00442CB3" w:rsidP="00D1096A">
            <w:pPr>
              <w:rPr>
                <w:sz w:val="20"/>
              </w:rPr>
            </w:pPr>
            <w:r w:rsidRPr="00E7721E">
              <w:rPr>
                <w:sz w:val="20"/>
              </w:rPr>
              <w:t>Partly fulfilled by NSP/5-WP10</w:t>
            </w:r>
            <w:r>
              <w:rPr>
                <w:sz w:val="20"/>
              </w:rPr>
              <w:t>,</w:t>
            </w:r>
          </w:p>
          <w:p w:rsidR="00442CB3" w:rsidRDefault="00442CB3" w:rsidP="00D1096A">
            <w:pPr>
              <w:rPr>
                <w:sz w:val="20"/>
              </w:rPr>
            </w:pPr>
            <w:r>
              <w:rPr>
                <w:sz w:val="20"/>
              </w:rPr>
              <w:t>NSP/5-WP04,</w:t>
            </w:r>
          </w:p>
          <w:p w:rsidR="00442CB3" w:rsidRDefault="00442CB3" w:rsidP="00D1096A">
            <w:pPr>
              <w:rPr>
                <w:sz w:val="20"/>
              </w:rPr>
            </w:pPr>
            <w:r>
              <w:rPr>
                <w:sz w:val="20"/>
              </w:rPr>
              <w:t>NSP/5-Flimsy 7</w:t>
            </w:r>
          </w:p>
          <w:p w:rsidR="00442CB3" w:rsidRPr="00CF7E2D" w:rsidRDefault="00442CB3" w:rsidP="00D1096A">
            <w:pPr>
              <w:rPr>
                <w:sz w:val="20"/>
              </w:rPr>
            </w:pPr>
            <w:r>
              <w:rPr>
                <w:sz w:val="20"/>
              </w:rPr>
              <w:t>JWGs4-WP06</w:t>
            </w:r>
          </w:p>
        </w:tc>
      </w:tr>
      <w:tr w:rsidR="00442CB3" w:rsidRPr="00CF7E2D" w:rsidTr="00D1096A">
        <w:tc>
          <w:tcPr>
            <w:tcW w:w="9180" w:type="dxa"/>
            <w:gridSpan w:val="4"/>
            <w:vAlign w:val="center"/>
          </w:tcPr>
          <w:p w:rsidR="00442CB3" w:rsidRPr="00CF7E2D" w:rsidRDefault="00442CB3" w:rsidP="00D1096A">
            <w:pPr>
              <w:rPr>
                <w:b/>
                <w:bCs/>
                <w:sz w:val="20"/>
              </w:rPr>
            </w:pPr>
          </w:p>
          <w:p w:rsidR="00442CB3" w:rsidRPr="00CF7E2D" w:rsidRDefault="00442CB3" w:rsidP="00D1096A">
            <w:pPr>
              <w:rPr>
                <w:b/>
                <w:bCs/>
                <w:sz w:val="20"/>
              </w:rPr>
            </w:pPr>
            <w:r w:rsidRPr="00CF7E2D">
              <w:rPr>
                <w:b/>
                <w:bCs/>
                <w:sz w:val="20"/>
              </w:rPr>
              <w:t>Actions from the Montreal meeting May 2010 (SSG16):</w:t>
            </w:r>
          </w:p>
          <w:p w:rsidR="00442CB3" w:rsidRPr="00CF7E2D" w:rsidRDefault="00442CB3" w:rsidP="00D1096A">
            <w:pPr>
              <w:rPr>
                <w:sz w:val="20"/>
              </w:rPr>
            </w:pPr>
          </w:p>
        </w:tc>
      </w:tr>
      <w:tr w:rsidR="00442CB3" w:rsidRPr="00CF7E2D" w:rsidTr="00D1096A">
        <w:tc>
          <w:tcPr>
            <w:tcW w:w="1192" w:type="dxa"/>
          </w:tcPr>
          <w:p w:rsidR="00442CB3" w:rsidRPr="00CF7E2D" w:rsidRDefault="00442CB3" w:rsidP="00D1096A">
            <w:pPr>
              <w:rPr>
                <w:sz w:val="20"/>
              </w:rPr>
            </w:pPr>
            <w:r w:rsidRPr="00CF7E2D">
              <w:rPr>
                <w:sz w:val="20"/>
              </w:rPr>
              <w:t>SSG16/</w:t>
            </w:r>
            <w:r>
              <w:rPr>
                <w:sz w:val="20"/>
              </w:rPr>
              <w:t>0</w:t>
            </w:r>
            <w:r w:rsidRPr="00CF7E2D">
              <w:rPr>
                <w:sz w:val="20"/>
              </w:rPr>
              <w:t>2</w:t>
            </w:r>
          </w:p>
        </w:tc>
        <w:tc>
          <w:tcPr>
            <w:tcW w:w="4961" w:type="dxa"/>
          </w:tcPr>
          <w:p w:rsidR="00442CB3" w:rsidRPr="00CF7E2D" w:rsidRDefault="00442CB3" w:rsidP="00D1096A">
            <w:pPr>
              <w:rPr>
                <w:sz w:val="20"/>
              </w:rPr>
            </w:pPr>
            <w:r w:rsidRPr="00CF7E2D">
              <w:rPr>
                <w:sz w:val="20"/>
              </w:rPr>
              <w:t>To provide results of the compatibility studies of L-DACS and DME.</w:t>
            </w:r>
          </w:p>
        </w:tc>
        <w:tc>
          <w:tcPr>
            <w:tcW w:w="1237" w:type="dxa"/>
          </w:tcPr>
          <w:p w:rsidR="00442CB3" w:rsidRPr="00CF7E2D" w:rsidRDefault="00442CB3" w:rsidP="00D1096A">
            <w:pPr>
              <w:rPr>
                <w:sz w:val="20"/>
              </w:rPr>
            </w:pPr>
            <w:r w:rsidRPr="00CF7E2D">
              <w:rPr>
                <w:sz w:val="20"/>
              </w:rPr>
              <w:t>SSG members</w:t>
            </w:r>
          </w:p>
        </w:tc>
        <w:tc>
          <w:tcPr>
            <w:tcW w:w="1790" w:type="dxa"/>
          </w:tcPr>
          <w:p w:rsidR="00442CB3" w:rsidRPr="00CF7E2D" w:rsidRDefault="00442CB3" w:rsidP="00D1096A">
            <w:pPr>
              <w:rPr>
                <w:sz w:val="20"/>
              </w:rPr>
            </w:pPr>
            <w:r w:rsidRPr="00CF7E2D">
              <w:rPr>
                <w:sz w:val="20"/>
              </w:rPr>
              <w:t>Ongoing</w:t>
            </w:r>
            <w:r>
              <w:rPr>
                <w:sz w:val="20"/>
              </w:rPr>
              <w:t>, new results expected in Oct. 2019</w:t>
            </w:r>
          </w:p>
          <w:p w:rsidR="00442CB3" w:rsidRPr="00CF7E2D" w:rsidRDefault="00442CB3" w:rsidP="00D1096A">
            <w:pPr>
              <w:rPr>
                <w:sz w:val="20"/>
              </w:rPr>
            </w:pPr>
          </w:p>
        </w:tc>
      </w:tr>
      <w:tr w:rsidR="00442CB3" w:rsidRPr="00CF7E2D" w:rsidTr="00D1096A">
        <w:trPr>
          <w:trHeight w:val="163"/>
        </w:trPr>
        <w:tc>
          <w:tcPr>
            <w:tcW w:w="9180" w:type="dxa"/>
            <w:gridSpan w:val="4"/>
            <w:shd w:val="clear" w:color="auto" w:fill="FFFFFF"/>
          </w:tcPr>
          <w:p w:rsidR="00442CB3" w:rsidRPr="00CF7E2D" w:rsidRDefault="00442CB3" w:rsidP="00D1096A">
            <w:pPr>
              <w:rPr>
                <w:sz w:val="20"/>
              </w:rPr>
            </w:pPr>
          </w:p>
        </w:tc>
      </w:tr>
      <w:tr w:rsidR="00442CB3" w:rsidRPr="00CF7E2D" w:rsidTr="00D1096A">
        <w:tc>
          <w:tcPr>
            <w:tcW w:w="9180" w:type="dxa"/>
            <w:gridSpan w:val="4"/>
            <w:shd w:val="clear" w:color="auto" w:fill="FFFFFF"/>
          </w:tcPr>
          <w:p w:rsidR="00442CB3" w:rsidRPr="00CF7E2D" w:rsidRDefault="00442CB3" w:rsidP="00D1096A">
            <w:pPr>
              <w:pStyle w:val="Header"/>
              <w:rPr>
                <w:sz w:val="20"/>
              </w:rPr>
            </w:pPr>
          </w:p>
          <w:p w:rsidR="00442CB3" w:rsidRPr="00CF7E2D" w:rsidRDefault="00442CB3" w:rsidP="00D1096A">
            <w:pPr>
              <w:rPr>
                <w:b/>
                <w:bCs/>
                <w:sz w:val="20"/>
              </w:rPr>
            </w:pPr>
            <w:r w:rsidRPr="00CF7E2D">
              <w:rPr>
                <w:b/>
                <w:bCs/>
                <w:sz w:val="20"/>
              </w:rPr>
              <w:t>Actions from the Montreal meeting of SWG December 2015 (SWG1):</w:t>
            </w:r>
          </w:p>
          <w:p w:rsidR="00442CB3" w:rsidRPr="00CF7E2D" w:rsidRDefault="00442CB3" w:rsidP="00D1096A">
            <w:pPr>
              <w:pStyle w:val="Header"/>
              <w:rPr>
                <w:sz w:val="20"/>
                <w:highlight w:val="yellow"/>
              </w:rPr>
            </w:pP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SWG01/02</w:t>
            </w:r>
          </w:p>
        </w:tc>
        <w:tc>
          <w:tcPr>
            <w:tcW w:w="4961" w:type="dxa"/>
            <w:shd w:val="clear" w:color="auto" w:fill="FFFFFF"/>
          </w:tcPr>
          <w:p w:rsidR="00442CB3" w:rsidRPr="00CF7E2D" w:rsidRDefault="00442CB3" w:rsidP="00D1096A">
            <w:pPr>
              <w:pStyle w:val="Header"/>
              <w:rPr>
                <w:sz w:val="20"/>
              </w:rPr>
            </w:pPr>
            <w:r w:rsidRPr="00CF7E2D">
              <w:rPr>
                <w:sz w:val="20"/>
              </w:rPr>
              <w:t>To report about progress on standardisation of increased robustness and warning capabilities against GNSS RFI and spoofing.</w:t>
            </w:r>
          </w:p>
        </w:tc>
        <w:tc>
          <w:tcPr>
            <w:tcW w:w="1237" w:type="dxa"/>
            <w:shd w:val="clear" w:color="auto" w:fill="FFFFFF"/>
          </w:tcPr>
          <w:p w:rsidR="00442CB3" w:rsidRPr="00CF7E2D" w:rsidRDefault="00442CB3" w:rsidP="00D1096A">
            <w:pPr>
              <w:pStyle w:val="Header"/>
              <w:rPr>
                <w:sz w:val="20"/>
              </w:rPr>
            </w:pPr>
            <w:r w:rsidRPr="00CF7E2D">
              <w:rPr>
                <w:sz w:val="20"/>
              </w:rPr>
              <w:t>RTCA</w:t>
            </w:r>
            <w:r>
              <w:rPr>
                <w:sz w:val="20"/>
              </w:rPr>
              <w:t>-</w:t>
            </w:r>
            <w:r w:rsidRPr="00CF7E2D">
              <w:rPr>
                <w:sz w:val="20"/>
              </w:rPr>
              <w:t xml:space="preserve"> represent</w:t>
            </w:r>
            <w:r>
              <w:rPr>
                <w:sz w:val="20"/>
              </w:rPr>
              <w:softHyphen/>
            </w:r>
            <w:r w:rsidRPr="00CF7E2D">
              <w:rPr>
                <w:sz w:val="20"/>
              </w:rPr>
              <w:t>ative to NSP</w:t>
            </w:r>
          </w:p>
        </w:tc>
        <w:tc>
          <w:tcPr>
            <w:tcW w:w="1790" w:type="dxa"/>
            <w:shd w:val="clear" w:color="auto" w:fill="FFFFFF"/>
          </w:tcPr>
          <w:p w:rsidR="00442CB3" w:rsidRPr="00CF7E2D" w:rsidRDefault="00442CB3" w:rsidP="00D1096A">
            <w:pPr>
              <w:pStyle w:val="Header"/>
              <w:rPr>
                <w:sz w:val="20"/>
              </w:rPr>
            </w:pPr>
            <w:r w:rsidRPr="00CF7E2D">
              <w:rPr>
                <w:sz w:val="20"/>
              </w:rPr>
              <w:t>Open</w:t>
            </w: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SWG01/08</w:t>
            </w:r>
          </w:p>
        </w:tc>
        <w:tc>
          <w:tcPr>
            <w:tcW w:w="4961" w:type="dxa"/>
            <w:shd w:val="clear" w:color="auto" w:fill="FFFFFF"/>
          </w:tcPr>
          <w:p w:rsidR="00442CB3" w:rsidRPr="00CF7E2D" w:rsidRDefault="00442CB3" w:rsidP="00D1096A">
            <w:pPr>
              <w:pStyle w:val="Header"/>
              <w:rPr>
                <w:sz w:val="20"/>
              </w:rPr>
            </w:pPr>
            <w:r w:rsidRPr="00CF7E2D">
              <w:rPr>
                <w:sz w:val="20"/>
              </w:rPr>
              <w:t xml:space="preserve">To check the impact of the GBAS positioning service (addressed in section 7.2.1.5 of ICAO Annex 10, Vol. I, Appendix D) and the GBAS </w:t>
            </w:r>
            <w:r>
              <w:rPr>
                <w:sz w:val="20"/>
              </w:rPr>
              <w:t>E</w:t>
            </w:r>
            <w:r w:rsidRPr="00CF7E2D">
              <w:rPr>
                <w:sz w:val="20"/>
              </w:rPr>
              <w:t>xtended Service Volume on frequency coordination. (Section 3.4.4 of WP9 to NSP/2 provides new information ESV and positioning service and its need for spectrum protection</w:t>
            </w:r>
            <w:r>
              <w:rPr>
                <w:sz w:val="20"/>
              </w:rPr>
              <w:t>)</w:t>
            </w:r>
            <w:r w:rsidRPr="00CF7E2D">
              <w:rPr>
                <w:sz w:val="20"/>
              </w:rPr>
              <w:t>.</w:t>
            </w:r>
          </w:p>
        </w:tc>
        <w:tc>
          <w:tcPr>
            <w:tcW w:w="1237" w:type="dxa"/>
            <w:shd w:val="clear" w:color="auto" w:fill="FFFFFF"/>
          </w:tcPr>
          <w:p w:rsidR="00442CB3" w:rsidRPr="00CF7E2D" w:rsidRDefault="00442CB3" w:rsidP="00D1096A">
            <w:pPr>
              <w:pStyle w:val="Header"/>
              <w:rPr>
                <w:sz w:val="20"/>
              </w:rPr>
            </w:pPr>
            <w:r w:rsidRPr="00CF7E2D">
              <w:rPr>
                <w:sz w:val="20"/>
              </w:rPr>
              <w:t>SWG members</w:t>
            </w:r>
          </w:p>
        </w:tc>
        <w:tc>
          <w:tcPr>
            <w:tcW w:w="1790" w:type="dxa"/>
            <w:shd w:val="clear" w:color="auto" w:fill="FFFFFF"/>
          </w:tcPr>
          <w:p w:rsidR="00442CB3" w:rsidRDefault="00442CB3" w:rsidP="00D1096A">
            <w:pPr>
              <w:pStyle w:val="Header"/>
              <w:rPr>
                <w:sz w:val="20"/>
              </w:rPr>
            </w:pPr>
            <w:r w:rsidRPr="00CF7E2D">
              <w:rPr>
                <w:sz w:val="20"/>
              </w:rPr>
              <w:t>Open</w:t>
            </w:r>
            <w:r>
              <w:rPr>
                <w:sz w:val="20"/>
              </w:rPr>
              <w:t>,</w:t>
            </w:r>
          </w:p>
          <w:p w:rsidR="00442CB3" w:rsidRPr="00CF7E2D" w:rsidRDefault="00442CB3" w:rsidP="00D1096A">
            <w:pPr>
              <w:pStyle w:val="Header"/>
              <w:rPr>
                <w:sz w:val="20"/>
              </w:rPr>
            </w:pPr>
            <w:r>
              <w:rPr>
                <w:sz w:val="20"/>
              </w:rPr>
              <w:t xml:space="preserve">Partly taken into account in </w:t>
            </w:r>
            <w:r w:rsidRPr="001A7DB0">
              <w:rPr>
                <w:sz w:val="20"/>
              </w:rPr>
              <w:t>JWGs4-WP06</w:t>
            </w:r>
          </w:p>
        </w:tc>
      </w:tr>
      <w:tr w:rsidR="00442CB3" w:rsidRPr="00CF7E2D" w:rsidTr="00D1096A">
        <w:tc>
          <w:tcPr>
            <w:tcW w:w="9180" w:type="dxa"/>
            <w:gridSpan w:val="4"/>
            <w:shd w:val="clear" w:color="auto" w:fill="FFFFFF"/>
          </w:tcPr>
          <w:p w:rsidR="00442CB3" w:rsidRPr="00CF7E2D" w:rsidRDefault="00442CB3" w:rsidP="00D1096A">
            <w:pPr>
              <w:pStyle w:val="Header"/>
              <w:rPr>
                <w:sz w:val="20"/>
              </w:rPr>
            </w:pPr>
          </w:p>
        </w:tc>
      </w:tr>
      <w:tr w:rsidR="00442CB3" w:rsidRPr="00CF7E2D" w:rsidTr="00D1096A">
        <w:tc>
          <w:tcPr>
            <w:tcW w:w="9180" w:type="dxa"/>
            <w:gridSpan w:val="4"/>
            <w:shd w:val="clear" w:color="auto" w:fill="FFFFFF"/>
          </w:tcPr>
          <w:p w:rsidR="00442CB3" w:rsidRPr="00CF7E2D" w:rsidRDefault="00442CB3" w:rsidP="00D1096A">
            <w:pPr>
              <w:rPr>
                <w:b/>
                <w:bCs/>
                <w:sz w:val="20"/>
                <w:highlight w:val="yellow"/>
              </w:rPr>
            </w:pPr>
          </w:p>
          <w:p w:rsidR="00442CB3" w:rsidRPr="00CF7E2D" w:rsidRDefault="00442CB3" w:rsidP="00D1096A">
            <w:pPr>
              <w:rPr>
                <w:b/>
                <w:bCs/>
                <w:sz w:val="20"/>
              </w:rPr>
            </w:pPr>
            <w:r w:rsidRPr="00CF7E2D">
              <w:rPr>
                <w:b/>
                <w:bCs/>
                <w:sz w:val="20"/>
              </w:rPr>
              <w:t>Actions from the Montreal meeting of SWG June 2016 (SWG2):</w:t>
            </w:r>
          </w:p>
          <w:p w:rsidR="00442CB3" w:rsidRPr="00CF7E2D" w:rsidRDefault="00442CB3" w:rsidP="00D1096A">
            <w:pPr>
              <w:pStyle w:val="Header"/>
              <w:rPr>
                <w:sz w:val="20"/>
                <w:highlight w:val="yellow"/>
              </w:rPr>
            </w:pP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SWG02/02</w:t>
            </w:r>
          </w:p>
        </w:tc>
        <w:tc>
          <w:tcPr>
            <w:tcW w:w="4961" w:type="dxa"/>
            <w:shd w:val="clear" w:color="auto" w:fill="FFFFFF"/>
          </w:tcPr>
          <w:p w:rsidR="00442CB3" w:rsidRPr="00CF7E2D" w:rsidRDefault="00442CB3" w:rsidP="00D1096A">
            <w:pPr>
              <w:pStyle w:val="Header"/>
              <w:rPr>
                <w:sz w:val="20"/>
              </w:rPr>
            </w:pPr>
            <w:r w:rsidRPr="00CF7E2D">
              <w:rPr>
                <w:sz w:val="20"/>
              </w:rPr>
              <w:t xml:space="preserve">Develop guidance for local frequency planning i.e. ensuring compatibility between </w:t>
            </w:r>
            <w:proofErr w:type="spellStart"/>
            <w:r w:rsidRPr="00CF7E2D">
              <w:rPr>
                <w:sz w:val="20"/>
              </w:rPr>
              <w:t>Nav</w:t>
            </w:r>
            <w:proofErr w:type="spellEnd"/>
            <w:r w:rsidRPr="00CF7E2D">
              <w:rPr>
                <w:sz w:val="20"/>
              </w:rPr>
              <w:t>-aids and VHF-COM-systems at the same airport (e.g. between existing ILS Localizers and a new GBAS VDB, between existing VORs and a new GBAS VDB, between existing VHF-COM and a new GBAS VDB).</w:t>
            </w:r>
          </w:p>
        </w:tc>
        <w:tc>
          <w:tcPr>
            <w:tcW w:w="1237" w:type="dxa"/>
            <w:shd w:val="clear" w:color="auto" w:fill="FFFFFF"/>
          </w:tcPr>
          <w:p w:rsidR="00442CB3" w:rsidRPr="00CF7E2D" w:rsidRDefault="00442CB3" w:rsidP="00D1096A">
            <w:pPr>
              <w:pStyle w:val="Header"/>
              <w:rPr>
                <w:sz w:val="20"/>
              </w:rPr>
            </w:pPr>
            <w:r w:rsidRPr="00CF7E2D">
              <w:rPr>
                <w:sz w:val="20"/>
              </w:rPr>
              <w:t>SWG members</w:t>
            </w:r>
          </w:p>
        </w:tc>
        <w:tc>
          <w:tcPr>
            <w:tcW w:w="1790" w:type="dxa"/>
            <w:shd w:val="clear" w:color="auto" w:fill="FFFFFF"/>
          </w:tcPr>
          <w:p w:rsidR="00442CB3" w:rsidRDefault="00442CB3" w:rsidP="00D1096A">
            <w:pPr>
              <w:pStyle w:val="Header"/>
              <w:rPr>
                <w:sz w:val="20"/>
              </w:rPr>
            </w:pPr>
            <w:r>
              <w:rPr>
                <w:sz w:val="20"/>
              </w:rPr>
              <w:t>Ongoing,</w:t>
            </w:r>
          </w:p>
          <w:p w:rsidR="00442CB3" w:rsidRPr="00CF7E2D" w:rsidRDefault="00442CB3" w:rsidP="00D1096A">
            <w:pPr>
              <w:rPr>
                <w:sz w:val="20"/>
              </w:rPr>
            </w:pPr>
            <w:r>
              <w:rPr>
                <w:sz w:val="20"/>
              </w:rPr>
              <w:t xml:space="preserve">Partly fulfilled by </w:t>
            </w:r>
            <w:r w:rsidRPr="00CC03EB">
              <w:rPr>
                <w:sz w:val="20"/>
              </w:rPr>
              <w:t>NSP/5-WP14</w:t>
            </w:r>
            <w:r>
              <w:rPr>
                <w:sz w:val="20"/>
              </w:rPr>
              <w:t>. New results expected in Oct. 2019</w:t>
            </w:r>
          </w:p>
        </w:tc>
      </w:tr>
      <w:tr w:rsidR="00442CB3" w:rsidRPr="00CF7E2D" w:rsidTr="00D1096A">
        <w:tc>
          <w:tcPr>
            <w:tcW w:w="9180" w:type="dxa"/>
            <w:gridSpan w:val="4"/>
            <w:shd w:val="clear" w:color="auto" w:fill="FFFFFF"/>
          </w:tcPr>
          <w:p w:rsidR="00442CB3" w:rsidRPr="00CF7E2D" w:rsidRDefault="00442CB3" w:rsidP="00D1096A">
            <w:pPr>
              <w:pStyle w:val="Header"/>
              <w:rPr>
                <w:sz w:val="20"/>
              </w:rPr>
            </w:pPr>
          </w:p>
        </w:tc>
      </w:tr>
      <w:tr w:rsidR="00442CB3" w:rsidRPr="00CF7E2D" w:rsidTr="00D1096A">
        <w:tc>
          <w:tcPr>
            <w:tcW w:w="9180" w:type="dxa"/>
            <w:gridSpan w:val="4"/>
            <w:shd w:val="clear" w:color="auto" w:fill="FFFFFF"/>
          </w:tcPr>
          <w:p w:rsidR="00442CB3" w:rsidRPr="00CF7E2D" w:rsidRDefault="00442CB3" w:rsidP="00D1096A">
            <w:pPr>
              <w:rPr>
                <w:b/>
                <w:bCs/>
                <w:sz w:val="20"/>
              </w:rPr>
            </w:pPr>
            <w:r w:rsidRPr="00CF7E2D">
              <w:rPr>
                <w:b/>
                <w:bCs/>
                <w:sz w:val="20"/>
              </w:rPr>
              <w:t>Actions from the Montreal meeting of SWG June 2017 (SWG4):</w:t>
            </w:r>
          </w:p>
          <w:p w:rsidR="00442CB3" w:rsidRPr="00CF7E2D" w:rsidRDefault="00442CB3" w:rsidP="00D1096A">
            <w:pPr>
              <w:pStyle w:val="Header"/>
              <w:rPr>
                <w:sz w:val="20"/>
              </w:rPr>
            </w:pPr>
          </w:p>
        </w:tc>
      </w:tr>
      <w:tr w:rsidR="00442CB3" w:rsidRPr="00CF7E2D" w:rsidTr="00D1096A">
        <w:tc>
          <w:tcPr>
            <w:tcW w:w="1192" w:type="dxa"/>
            <w:shd w:val="clear" w:color="auto" w:fill="FFFFFF"/>
          </w:tcPr>
          <w:p w:rsidR="00442CB3" w:rsidRPr="00CF7E2D" w:rsidRDefault="00442CB3" w:rsidP="00D1096A">
            <w:pPr>
              <w:pStyle w:val="Header"/>
              <w:rPr>
                <w:sz w:val="20"/>
                <w:highlight w:val="yellow"/>
              </w:rPr>
            </w:pPr>
            <w:r w:rsidRPr="00CF7E2D">
              <w:rPr>
                <w:sz w:val="20"/>
              </w:rPr>
              <w:t>SWG04/04</w:t>
            </w:r>
          </w:p>
        </w:tc>
        <w:tc>
          <w:tcPr>
            <w:tcW w:w="4961" w:type="dxa"/>
            <w:shd w:val="clear" w:color="auto" w:fill="FFFFFF"/>
          </w:tcPr>
          <w:p w:rsidR="00442CB3" w:rsidRPr="00CF7E2D" w:rsidRDefault="00442CB3" w:rsidP="00D1096A">
            <w:pPr>
              <w:pStyle w:val="Header"/>
              <w:rPr>
                <w:sz w:val="20"/>
                <w:highlight w:val="yellow"/>
              </w:rPr>
            </w:pPr>
            <w:r w:rsidRPr="00CF7E2D">
              <w:rPr>
                <w:sz w:val="20"/>
              </w:rPr>
              <w:t>To contribute to the development of a compilation of DME compatibility criteria to be applied for sharing studies between DME and new aviation systems as well as non-aviation systems in frequency band.</w:t>
            </w:r>
          </w:p>
        </w:tc>
        <w:tc>
          <w:tcPr>
            <w:tcW w:w="1237" w:type="dxa"/>
            <w:shd w:val="clear" w:color="auto" w:fill="FFFFFF"/>
          </w:tcPr>
          <w:p w:rsidR="00442CB3" w:rsidRPr="00CF7E2D" w:rsidRDefault="00442CB3" w:rsidP="00D1096A">
            <w:pPr>
              <w:pStyle w:val="Header"/>
              <w:rPr>
                <w:sz w:val="20"/>
                <w:highlight w:val="yellow"/>
              </w:rPr>
            </w:pPr>
            <w:r w:rsidRPr="00CF7E2D">
              <w:rPr>
                <w:sz w:val="20"/>
              </w:rPr>
              <w:t>SWG members</w:t>
            </w:r>
          </w:p>
        </w:tc>
        <w:tc>
          <w:tcPr>
            <w:tcW w:w="1790" w:type="dxa"/>
            <w:shd w:val="clear" w:color="auto" w:fill="FFFFFF"/>
          </w:tcPr>
          <w:p w:rsidR="00442CB3" w:rsidRPr="00CF7E2D" w:rsidRDefault="00442CB3" w:rsidP="00D1096A">
            <w:pPr>
              <w:pStyle w:val="Header"/>
              <w:rPr>
                <w:sz w:val="20"/>
                <w:highlight w:val="yellow"/>
              </w:rPr>
            </w:pPr>
            <w:r w:rsidRPr="00CF7E2D">
              <w:rPr>
                <w:sz w:val="20"/>
              </w:rPr>
              <w:t>Open</w:t>
            </w:r>
          </w:p>
        </w:tc>
      </w:tr>
      <w:tr w:rsidR="00442CB3" w:rsidRPr="00CF7E2D" w:rsidTr="00D1096A">
        <w:tc>
          <w:tcPr>
            <w:tcW w:w="1192" w:type="dxa"/>
            <w:shd w:val="clear" w:color="auto" w:fill="FFFFFF"/>
          </w:tcPr>
          <w:p w:rsidR="00442CB3" w:rsidRPr="00CF7E2D" w:rsidRDefault="00442CB3" w:rsidP="00D1096A">
            <w:pPr>
              <w:pStyle w:val="Header"/>
              <w:rPr>
                <w:sz w:val="20"/>
                <w:highlight w:val="yellow"/>
              </w:rPr>
            </w:pPr>
            <w:r w:rsidRPr="00CF7E2D">
              <w:rPr>
                <w:sz w:val="20"/>
              </w:rPr>
              <w:t>SWG04/05</w:t>
            </w:r>
          </w:p>
        </w:tc>
        <w:tc>
          <w:tcPr>
            <w:tcW w:w="4961" w:type="dxa"/>
            <w:shd w:val="clear" w:color="auto" w:fill="FFFFFF"/>
          </w:tcPr>
          <w:p w:rsidR="00442CB3" w:rsidRPr="00CF7E2D" w:rsidRDefault="00442CB3" w:rsidP="00D1096A">
            <w:pPr>
              <w:pStyle w:val="Header"/>
              <w:rPr>
                <w:sz w:val="20"/>
              </w:rPr>
            </w:pPr>
            <w:r w:rsidRPr="00CF7E2D">
              <w:rPr>
                <w:sz w:val="20"/>
              </w:rPr>
              <w:t>To contribute to the development spectrum efficiency metrics for navigation systems.</w:t>
            </w:r>
          </w:p>
        </w:tc>
        <w:tc>
          <w:tcPr>
            <w:tcW w:w="1237" w:type="dxa"/>
            <w:shd w:val="clear" w:color="auto" w:fill="FFFFFF"/>
          </w:tcPr>
          <w:p w:rsidR="00442CB3" w:rsidRPr="00CF7E2D" w:rsidRDefault="00442CB3" w:rsidP="00D1096A">
            <w:pPr>
              <w:pStyle w:val="Header"/>
              <w:rPr>
                <w:sz w:val="20"/>
                <w:highlight w:val="yellow"/>
              </w:rPr>
            </w:pPr>
            <w:r>
              <w:rPr>
                <w:sz w:val="20"/>
              </w:rPr>
              <w:t>G. Berz</w:t>
            </w:r>
          </w:p>
        </w:tc>
        <w:tc>
          <w:tcPr>
            <w:tcW w:w="1790" w:type="dxa"/>
            <w:shd w:val="clear" w:color="auto" w:fill="FFFFFF"/>
          </w:tcPr>
          <w:p w:rsidR="00442CB3" w:rsidRPr="00CF7E2D" w:rsidRDefault="00442CB3" w:rsidP="00D1096A">
            <w:pPr>
              <w:pStyle w:val="Header"/>
              <w:rPr>
                <w:sz w:val="20"/>
                <w:highlight w:val="yellow"/>
              </w:rPr>
            </w:pPr>
            <w:r w:rsidRPr="00CF7E2D">
              <w:rPr>
                <w:sz w:val="20"/>
              </w:rPr>
              <w:t>Open</w:t>
            </w:r>
          </w:p>
        </w:tc>
      </w:tr>
      <w:tr w:rsidR="00442CB3" w:rsidRPr="00CF7E2D" w:rsidTr="00D1096A">
        <w:tc>
          <w:tcPr>
            <w:tcW w:w="1192" w:type="dxa"/>
            <w:shd w:val="clear" w:color="auto" w:fill="FFFFFF"/>
          </w:tcPr>
          <w:p w:rsidR="00442CB3" w:rsidRPr="00CF7E2D" w:rsidRDefault="00442CB3" w:rsidP="00D1096A">
            <w:pPr>
              <w:pStyle w:val="Header"/>
              <w:rPr>
                <w:sz w:val="20"/>
                <w:highlight w:val="yellow"/>
              </w:rPr>
            </w:pPr>
            <w:r w:rsidRPr="00CF7E2D">
              <w:rPr>
                <w:sz w:val="20"/>
              </w:rPr>
              <w:t>SWG04/06</w:t>
            </w:r>
          </w:p>
        </w:tc>
        <w:tc>
          <w:tcPr>
            <w:tcW w:w="4961" w:type="dxa"/>
            <w:shd w:val="clear" w:color="auto" w:fill="FFFFFF"/>
          </w:tcPr>
          <w:p w:rsidR="00442CB3" w:rsidRPr="00CF7E2D" w:rsidRDefault="00442CB3" w:rsidP="00D1096A">
            <w:pPr>
              <w:pStyle w:val="Header"/>
              <w:rPr>
                <w:sz w:val="20"/>
              </w:rPr>
            </w:pPr>
            <w:r w:rsidRPr="00CF7E2D">
              <w:rPr>
                <w:sz w:val="20"/>
              </w:rPr>
              <w:t xml:space="preserve">To present a paper on DME compatibility and evolution to </w:t>
            </w:r>
            <w:r w:rsidRPr="00CF7E2D">
              <w:rPr>
                <w:sz w:val="20"/>
              </w:rPr>
              <w:lastRenderedPageBreak/>
              <w:t>ICAO FSMP.</w:t>
            </w:r>
          </w:p>
        </w:tc>
        <w:tc>
          <w:tcPr>
            <w:tcW w:w="1237" w:type="dxa"/>
            <w:shd w:val="clear" w:color="auto" w:fill="FFFFFF"/>
          </w:tcPr>
          <w:p w:rsidR="00442CB3" w:rsidRPr="00CF7E2D" w:rsidRDefault="00442CB3" w:rsidP="00D1096A">
            <w:pPr>
              <w:pStyle w:val="Header"/>
              <w:rPr>
                <w:sz w:val="20"/>
                <w:highlight w:val="yellow"/>
              </w:rPr>
            </w:pPr>
            <w:r w:rsidRPr="00CF7E2D">
              <w:rPr>
                <w:sz w:val="20"/>
              </w:rPr>
              <w:lastRenderedPageBreak/>
              <w:t>G. Berz</w:t>
            </w:r>
          </w:p>
        </w:tc>
        <w:tc>
          <w:tcPr>
            <w:tcW w:w="1790" w:type="dxa"/>
            <w:shd w:val="clear" w:color="auto" w:fill="FFFFFF"/>
          </w:tcPr>
          <w:p w:rsidR="00442CB3" w:rsidRPr="00CF7E2D" w:rsidRDefault="00442CB3" w:rsidP="00D1096A">
            <w:pPr>
              <w:pStyle w:val="Header"/>
              <w:rPr>
                <w:sz w:val="20"/>
                <w:highlight w:val="yellow"/>
              </w:rPr>
            </w:pPr>
            <w:r w:rsidRPr="00CF7E2D">
              <w:rPr>
                <w:sz w:val="20"/>
              </w:rPr>
              <w:t>Open</w:t>
            </w:r>
          </w:p>
        </w:tc>
      </w:tr>
      <w:tr w:rsidR="00442CB3" w:rsidRPr="00CF7E2D" w:rsidTr="00D1096A">
        <w:tc>
          <w:tcPr>
            <w:tcW w:w="1192" w:type="dxa"/>
            <w:shd w:val="clear" w:color="auto" w:fill="FFFFFF"/>
          </w:tcPr>
          <w:p w:rsidR="00442CB3" w:rsidRPr="00CF7E2D" w:rsidRDefault="00442CB3" w:rsidP="00D1096A">
            <w:pPr>
              <w:pStyle w:val="Header"/>
              <w:rPr>
                <w:sz w:val="20"/>
                <w:highlight w:val="yellow"/>
              </w:rPr>
            </w:pPr>
            <w:r w:rsidRPr="00CF7E2D">
              <w:rPr>
                <w:sz w:val="20"/>
              </w:rPr>
              <w:lastRenderedPageBreak/>
              <w:t>SWG04/10</w:t>
            </w:r>
          </w:p>
        </w:tc>
        <w:tc>
          <w:tcPr>
            <w:tcW w:w="4961" w:type="dxa"/>
            <w:shd w:val="clear" w:color="auto" w:fill="FFFFFF"/>
          </w:tcPr>
          <w:p w:rsidR="00442CB3" w:rsidRPr="00CF7E2D" w:rsidRDefault="00442CB3" w:rsidP="00D1096A">
            <w:pPr>
              <w:pStyle w:val="Header"/>
              <w:rPr>
                <w:sz w:val="20"/>
              </w:rPr>
            </w:pPr>
            <w:r w:rsidRPr="00CF7E2D">
              <w:rPr>
                <w:sz w:val="20"/>
              </w:rPr>
              <w:t>To establish a contact to CEPT FM22 to discuss GNSS RFI investigation for aviation purposes with European radio agencies.</w:t>
            </w:r>
          </w:p>
        </w:tc>
        <w:tc>
          <w:tcPr>
            <w:tcW w:w="1237" w:type="dxa"/>
            <w:shd w:val="clear" w:color="auto" w:fill="FFFFFF"/>
          </w:tcPr>
          <w:p w:rsidR="00442CB3" w:rsidRPr="00CF7E2D" w:rsidRDefault="00442CB3" w:rsidP="00D1096A">
            <w:pPr>
              <w:pStyle w:val="Header"/>
              <w:rPr>
                <w:sz w:val="20"/>
                <w:highlight w:val="yellow"/>
              </w:rPr>
            </w:pPr>
            <w:r w:rsidRPr="00CF7E2D">
              <w:rPr>
                <w:sz w:val="20"/>
              </w:rPr>
              <w:t>G. Berz</w:t>
            </w:r>
          </w:p>
        </w:tc>
        <w:tc>
          <w:tcPr>
            <w:tcW w:w="1790" w:type="dxa"/>
            <w:shd w:val="clear" w:color="auto" w:fill="FFFFFF"/>
          </w:tcPr>
          <w:p w:rsidR="00442CB3" w:rsidRPr="00CF7E2D" w:rsidRDefault="00442CB3" w:rsidP="00D1096A">
            <w:pPr>
              <w:pStyle w:val="Header"/>
              <w:rPr>
                <w:sz w:val="20"/>
                <w:highlight w:val="yellow"/>
              </w:rPr>
            </w:pPr>
            <w:r w:rsidRPr="00CF7E2D">
              <w:rPr>
                <w:sz w:val="20"/>
              </w:rPr>
              <w:t>Open</w:t>
            </w:r>
          </w:p>
        </w:tc>
      </w:tr>
      <w:tr w:rsidR="00442CB3" w:rsidRPr="00CF7E2D" w:rsidTr="00D1096A">
        <w:tc>
          <w:tcPr>
            <w:tcW w:w="9180" w:type="dxa"/>
            <w:gridSpan w:val="4"/>
            <w:shd w:val="clear" w:color="auto" w:fill="FFFFFF"/>
          </w:tcPr>
          <w:p w:rsidR="00442CB3" w:rsidRDefault="00442CB3" w:rsidP="00D1096A">
            <w:pPr>
              <w:rPr>
                <w:b/>
                <w:bCs/>
                <w:sz w:val="20"/>
              </w:rPr>
            </w:pPr>
          </w:p>
          <w:p w:rsidR="00442CB3" w:rsidRDefault="00442CB3" w:rsidP="00D1096A">
            <w:pPr>
              <w:rPr>
                <w:b/>
                <w:bCs/>
                <w:sz w:val="20"/>
              </w:rPr>
            </w:pPr>
          </w:p>
          <w:p w:rsidR="00442CB3" w:rsidRDefault="00442CB3" w:rsidP="00D1096A">
            <w:pPr>
              <w:rPr>
                <w:b/>
                <w:bCs/>
                <w:sz w:val="20"/>
              </w:rPr>
            </w:pPr>
          </w:p>
          <w:p w:rsidR="00442CB3" w:rsidRPr="00CF7E2D" w:rsidRDefault="00442CB3" w:rsidP="00D1096A">
            <w:pPr>
              <w:rPr>
                <w:b/>
                <w:bCs/>
                <w:sz w:val="20"/>
              </w:rPr>
            </w:pPr>
            <w:r w:rsidRPr="00CF7E2D">
              <w:rPr>
                <w:b/>
                <w:bCs/>
                <w:sz w:val="20"/>
              </w:rPr>
              <w:t>Actions from the Montreal meeting of SWG October 2017 (SWG5):</w:t>
            </w:r>
          </w:p>
          <w:p w:rsidR="00442CB3" w:rsidRPr="00CF7E2D" w:rsidRDefault="00442CB3" w:rsidP="00D1096A">
            <w:pPr>
              <w:pStyle w:val="Header"/>
              <w:rPr>
                <w:sz w:val="20"/>
              </w:rPr>
            </w:pP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GWG Action216</w:t>
            </w:r>
          </w:p>
        </w:tc>
        <w:tc>
          <w:tcPr>
            <w:tcW w:w="4961" w:type="dxa"/>
            <w:shd w:val="clear" w:color="auto" w:fill="FFFFFF"/>
          </w:tcPr>
          <w:p w:rsidR="00442CB3" w:rsidRPr="00CF7E2D" w:rsidRDefault="00442CB3" w:rsidP="00D1096A">
            <w:pPr>
              <w:pStyle w:val="Header"/>
              <w:rPr>
                <w:sz w:val="20"/>
              </w:rPr>
            </w:pPr>
            <w:r w:rsidRPr="00CF7E2D">
              <w:rPr>
                <w:sz w:val="20"/>
              </w:rPr>
              <w:t>To contribute to the development of a specification to be included into ICAO Doc 8071, Vol. II, how to evaluate fieldstrength measurement results.</w:t>
            </w:r>
          </w:p>
        </w:tc>
        <w:tc>
          <w:tcPr>
            <w:tcW w:w="1237" w:type="dxa"/>
            <w:shd w:val="clear" w:color="auto" w:fill="FFFFFF"/>
          </w:tcPr>
          <w:p w:rsidR="00442CB3" w:rsidRPr="00CF7E2D" w:rsidRDefault="00442CB3" w:rsidP="00D1096A">
            <w:pPr>
              <w:pStyle w:val="Header"/>
              <w:rPr>
                <w:sz w:val="20"/>
              </w:rPr>
            </w:pPr>
            <w:r w:rsidRPr="00CF7E2D">
              <w:rPr>
                <w:sz w:val="20"/>
              </w:rPr>
              <w:t>GWG members</w:t>
            </w:r>
          </w:p>
        </w:tc>
        <w:tc>
          <w:tcPr>
            <w:tcW w:w="1790" w:type="dxa"/>
            <w:shd w:val="clear" w:color="auto" w:fill="FFFFFF"/>
          </w:tcPr>
          <w:p w:rsidR="00442CB3" w:rsidRPr="00CF7E2D" w:rsidRDefault="00442CB3" w:rsidP="00D1096A">
            <w:pPr>
              <w:pStyle w:val="Header"/>
              <w:rPr>
                <w:sz w:val="20"/>
              </w:rPr>
            </w:pPr>
            <w:r>
              <w:rPr>
                <w:sz w:val="20"/>
              </w:rPr>
              <w:t>See GWG meeting report!</w:t>
            </w: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GWG Action217</w:t>
            </w:r>
          </w:p>
        </w:tc>
        <w:tc>
          <w:tcPr>
            <w:tcW w:w="4961" w:type="dxa"/>
            <w:shd w:val="clear" w:color="auto" w:fill="FFFFFF"/>
          </w:tcPr>
          <w:p w:rsidR="00442CB3" w:rsidRPr="00CF7E2D" w:rsidRDefault="00442CB3" w:rsidP="00D1096A">
            <w:pPr>
              <w:pStyle w:val="Header"/>
              <w:rPr>
                <w:sz w:val="20"/>
              </w:rPr>
            </w:pPr>
            <w:r w:rsidRPr="00CF7E2D">
              <w:rPr>
                <w:sz w:val="20"/>
              </w:rPr>
              <w:t>To provide a derivation of the impact of VDB fieldstrength fluctuations on the Message Failure Rate in the context of GWG developing a specification to be included into ICAO Doc 8071, Vol. II , how to evaluate fieldstrength measurement results.</w:t>
            </w:r>
          </w:p>
        </w:tc>
        <w:tc>
          <w:tcPr>
            <w:tcW w:w="1237" w:type="dxa"/>
            <w:shd w:val="clear" w:color="auto" w:fill="FFFFFF"/>
          </w:tcPr>
          <w:p w:rsidR="00442CB3" w:rsidRPr="00CF7E2D" w:rsidRDefault="00442CB3" w:rsidP="00D1096A">
            <w:pPr>
              <w:pStyle w:val="Header"/>
              <w:rPr>
                <w:sz w:val="20"/>
              </w:rPr>
            </w:pPr>
            <w:r w:rsidRPr="00CF7E2D">
              <w:rPr>
                <w:sz w:val="20"/>
              </w:rPr>
              <w:t>Matt Harris</w:t>
            </w:r>
          </w:p>
        </w:tc>
        <w:tc>
          <w:tcPr>
            <w:tcW w:w="1790" w:type="dxa"/>
            <w:shd w:val="clear" w:color="auto" w:fill="FFFFFF"/>
          </w:tcPr>
          <w:p w:rsidR="00442CB3" w:rsidRPr="00CF7E2D" w:rsidRDefault="00442CB3" w:rsidP="00D1096A">
            <w:pPr>
              <w:pStyle w:val="Header"/>
              <w:rPr>
                <w:sz w:val="20"/>
              </w:rPr>
            </w:pPr>
            <w:r>
              <w:rPr>
                <w:sz w:val="20"/>
              </w:rPr>
              <w:t>See GWG meeting report!</w:t>
            </w: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SWG05/01</w:t>
            </w:r>
          </w:p>
        </w:tc>
        <w:tc>
          <w:tcPr>
            <w:tcW w:w="4961" w:type="dxa"/>
            <w:shd w:val="clear" w:color="auto" w:fill="FFFFFF"/>
          </w:tcPr>
          <w:p w:rsidR="00442CB3" w:rsidRPr="00CF7E2D" w:rsidRDefault="00442CB3" w:rsidP="00D1096A">
            <w:pPr>
              <w:pStyle w:val="Header"/>
              <w:rPr>
                <w:sz w:val="20"/>
              </w:rPr>
            </w:pPr>
            <w:r w:rsidRPr="00CF7E2D">
              <w:rPr>
                <w:sz w:val="20"/>
              </w:rPr>
              <w:t>To perform a VDB frequency planning exercise for Europe based on</w:t>
            </w:r>
            <w:r>
              <w:rPr>
                <w:sz w:val="20"/>
              </w:rPr>
              <w:t xml:space="preserve"> </w:t>
            </w:r>
            <w:r w:rsidRPr="00CF7E2D">
              <w:rPr>
                <w:sz w:val="20"/>
              </w:rPr>
              <w:t xml:space="preserve">GBAS </w:t>
            </w:r>
            <w:r>
              <w:rPr>
                <w:sz w:val="20"/>
              </w:rPr>
              <w:t>SIS-</w:t>
            </w:r>
            <w:r w:rsidRPr="00CF7E2D">
              <w:rPr>
                <w:sz w:val="20"/>
              </w:rPr>
              <w:t>D/U criteria</w:t>
            </w:r>
            <w:r>
              <w:rPr>
                <w:sz w:val="20"/>
              </w:rPr>
              <w:t xml:space="preserve"> as provided by NSP-5 flimsy 7 </w:t>
            </w:r>
            <w:r w:rsidRPr="00CF7E2D">
              <w:rPr>
                <w:sz w:val="20"/>
              </w:rPr>
              <w:t>b</w:t>
            </w:r>
          </w:p>
        </w:tc>
        <w:tc>
          <w:tcPr>
            <w:tcW w:w="1237" w:type="dxa"/>
            <w:shd w:val="clear" w:color="auto" w:fill="FFFFFF"/>
          </w:tcPr>
          <w:p w:rsidR="00442CB3" w:rsidRPr="00CF7E2D" w:rsidRDefault="00442CB3" w:rsidP="00D1096A">
            <w:pPr>
              <w:pStyle w:val="Header"/>
              <w:rPr>
                <w:sz w:val="20"/>
              </w:rPr>
            </w:pPr>
            <w:r w:rsidRPr="00CF7E2D">
              <w:rPr>
                <w:sz w:val="20"/>
              </w:rPr>
              <w:t>Pierre Ladoux</w:t>
            </w:r>
          </w:p>
        </w:tc>
        <w:tc>
          <w:tcPr>
            <w:tcW w:w="1790" w:type="dxa"/>
            <w:shd w:val="clear" w:color="auto" w:fill="FFFFFF"/>
          </w:tcPr>
          <w:p w:rsidR="00442CB3" w:rsidRPr="00CF7E2D" w:rsidRDefault="00442CB3" w:rsidP="00D1096A">
            <w:pPr>
              <w:pStyle w:val="Header"/>
              <w:rPr>
                <w:sz w:val="20"/>
              </w:rPr>
            </w:pPr>
            <w:r>
              <w:rPr>
                <w:sz w:val="20"/>
              </w:rPr>
              <w:t>Closed by JWGs4, WP37</w:t>
            </w: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SWG05/03</w:t>
            </w:r>
          </w:p>
        </w:tc>
        <w:tc>
          <w:tcPr>
            <w:tcW w:w="4961" w:type="dxa"/>
            <w:shd w:val="clear" w:color="auto" w:fill="FFFFFF"/>
          </w:tcPr>
          <w:p w:rsidR="00442CB3" w:rsidRPr="00CF7E2D" w:rsidRDefault="00442CB3" w:rsidP="00D1096A">
            <w:pPr>
              <w:pStyle w:val="Header"/>
              <w:rPr>
                <w:sz w:val="20"/>
              </w:rPr>
            </w:pPr>
            <w:r w:rsidRPr="00CF7E2D">
              <w:rPr>
                <w:sz w:val="20"/>
              </w:rPr>
              <w:t>To provide to ICAO NSP SWG results of the frequency planning exercise for LDACS based on ICAO frequency list of European Aeronautical Radionavigation systems in the band 960 to 1215 MHz</w:t>
            </w:r>
            <w:r>
              <w:rPr>
                <w:sz w:val="20"/>
              </w:rPr>
              <w:t>.</w:t>
            </w:r>
            <w:r w:rsidRPr="00CF7E2D">
              <w:rPr>
                <w:sz w:val="20"/>
              </w:rPr>
              <w:t xml:space="preserve"> </w:t>
            </w:r>
          </w:p>
        </w:tc>
        <w:tc>
          <w:tcPr>
            <w:tcW w:w="1237" w:type="dxa"/>
            <w:shd w:val="clear" w:color="auto" w:fill="FFFFFF"/>
          </w:tcPr>
          <w:p w:rsidR="00442CB3" w:rsidRPr="00CF7E2D" w:rsidRDefault="00442CB3" w:rsidP="00D1096A">
            <w:pPr>
              <w:pStyle w:val="Header"/>
              <w:rPr>
                <w:sz w:val="20"/>
              </w:rPr>
            </w:pPr>
            <w:r w:rsidRPr="00CF7E2D">
              <w:rPr>
                <w:sz w:val="20"/>
              </w:rPr>
              <w:t>Michael Schnell</w:t>
            </w:r>
          </w:p>
        </w:tc>
        <w:tc>
          <w:tcPr>
            <w:tcW w:w="1790" w:type="dxa"/>
            <w:shd w:val="clear" w:color="auto" w:fill="FFFFFF"/>
          </w:tcPr>
          <w:p w:rsidR="00442CB3" w:rsidRPr="00CF7E2D" w:rsidRDefault="00442CB3" w:rsidP="00D1096A">
            <w:pPr>
              <w:pStyle w:val="Header"/>
              <w:rPr>
                <w:sz w:val="20"/>
              </w:rPr>
            </w:pPr>
            <w:r w:rsidRPr="00CF7E2D">
              <w:rPr>
                <w:sz w:val="20"/>
              </w:rPr>
              <w:t>Open</w:t>
            </w:r>
          </w:p>
        </w:tc>
      </w:tr>
      <w:tr w:rsidR="00442CB3" w:rsidRPr="00CF7E2D" w:rsidTr="00D1096A">
        <w:tc>
          <w:tcPr>
            <w:tcW w:w="1192" w:type="dxa"/>
            <w:shd w:val="clear" w:color="auto" w:fill="FFFFFF"/>
          </w:tcPr>
          <w:p w:rsidR="00442CB3" w:rsidRPr="00CF7E2D" w:rsidRDefault="00442CB3" w:rsidP="00D1096A">
            <w:pPr>
              <w:pStyle w:val="Header"/>
              <w:rPr>
                <w:sz w:val="20"/>
              </w:rPr>
            </w:pPr>
            <w:r w:rsidRPr="00CF7E2D">
              <w:rPr>
                <w:sz w:val="20"/>
              </w:rPr>
              <w:t>SWG05/06</w:t>
            </w:r>
          </w:p>
        </w:tc>
        <w:tc>
          <w:tcPr>
            <w:tcW w:w="4961" w:type="dxa"/>
            <w:shd w:val="clear" w:color="auto" w:fill="FFFFFF"/>
          </w:tcPr>
          <w:p w:rsidR="00442CB3" w:rsidRPr="00CF7E2D" w:rsidRDefault="00442CB3" w:rsidP="00D1096A">
            <w:pPr>
              <w:pStyle w:val="Header"/>
              <w:rPr>
                <w:sz w:val="20"/>
              </w:rPr>
            </w:pPr>
            <w:r w:rsidRPr="00CF7E2D">
              <w:rPr>
                <w:sz w:val="20"/>
              </w:rPr>
              <w:t>To provide to ICAO NSP “IATA Technical Information Briefings on Harmful Interference to Global Navigation Satellite System (GNSS)” regularly</w:t>
            </w:r>
          </w:p>
        </w:tc>
        <w:tc>
          <w:tcPr>
            <w:tcW w:w="1237" w:type="dxa"/>
            <w:shd w:val="clear" w:color="auto" w:fill="FFFFFF"/>
          </w:tcPr>
          <w:p w:rsidR="00442CB3" w:rsidRPr="00CF7E2D" w:rsidRDefault="00442CB3" w:rsidP="00D1096A">
            <w:pPr>
              <w:pStyle w:val="Header"/>
              <w:rPr>
                <w:sz w:val="20"/>
              </w:rPr>
            </w:pPr>
            <w:r w:rsidRPr="00CF7E2D">
              <w:rPr>
                <w:sz w:val="20"/>
              </w:rPr>
              <w:t>Noppadol Pringvanich</w:t>
            </w:r>
          </w:p>
        </w:tc>
        <w:tc>
          <w:tcPr>
            <w:tcW w:w="1790" w:type="dxa"/>
            <w:shd w:val="clear" w:color="auto" w:fill="FFFFFF"/>
          </w:tcPr>
          <w:p w:rsidR="00442CB3" w:rsidRPr="00CF7E2D" w:rsidRDefault="00442CB3" w:rsidP="00D1096A">
            <w:pPr>
              <w:pStyle w:val="Header"/>
              <w:rPr>
                <w:sz w:val="20"/>
              </w:rPr>
            </w:pPr>
            <w:r w:rsidRPr="00CF7E2D">
              <w:rPr>
                <w:sz w:val="20"/>
              </w:rPr>
              <w:t>Standing action item</w:t>
            </w:r>
          </w:p>
        </w:tc>
      </w:tr>
      <w:tr w:rsidR="00442CB3" w:rsidRPr="00CF7E2D" w:rsidTr="00D1096A">
        <w:tc>
          <w:tcPr>
            <w:tcW w:w="9180" w:type="dxa"/>
            <w:gridSpan w:val="4"/>
            <w:shd w:val="clear" w:color="auto" w:fill="FFFFFF"/>
          </w:tcPr>
          <w:p w:rsidR="00442CB3" w:rsidRPr="00CF7E2D" w:rsidRDefault="00442CB3" w:rsidP="00D1096A">
            <w:pPr>
              <w:pStyle w:val="Header"/>
              <w:rPr>
                <w:sz w:val="20"/>
              </w:rPr>
            </w:pPr>
          </w:p>
        </w:tc>
      </w:tr>
      <w:tr w:rsidR="00442CB3" w:rsidRPr="00CF7E2D" w:rsidTr="00D1096A">
        <w:tc>
          <w:tcPr>
            <w:tcW w:w="9180" w:type="dxa"/>
            <w:gridSpan w:val="4"/>
            <w:shd w:val="clear" w:color="auto" w:fill="FFFFFF"/>
          </w:tcPr>
          <w:p w:rsidR="00442CB3" w:rsidRPr="00D2240F" w:rsidRDefault="00442CB3" w:rsidP="00D1096A">
            <w:pPr>
              <w:rPr>
                <w:sz w:val="20"/>
              </w:rPr>
            </w:pPr>
            <w:r w:rsidRPr="00D2240F">
              <w:rPr>
                <w:b/>
                <w:bCs/>
                <w:sz w:val="20"/>
              </w:rPr>
              <w:t>Actions from the Montreal meeting of SWG April 2018 (SWG6):</w:t>
            </w:r>
          </w:p>
        </w:tc>
      </w:tr>
      <w:tr w:rsidR="00442CB3" w:rsidRPr="00CF7E2D" w:rsidTr="00D1096A">
        <w:tc>
          <w:tcPr>
            <w:tcW w:w="1192" w:type="dxa"/>
            <w:shd w:val="clear" w:color="auto" w:fill="FFFFFF"/>
          </w:tcPr>
          <w:p w:rsidR="00442CB3" w:rsidRPr="00D2240F" w:rsidRDefault="00442CB3" w:rsidP="00D1096A">
            <w:pPr>
              <w:pStyle w:val="Header"/>
              <w:rPr>
                <w:sz w:val="20"/>
              </w:rPr>
            </w:pPr>
            <w:r w:rsidRPr="00675D5F">
              <w:rPr>
                <w:sz w:val="20"/>
              </w:rPr>
              <w:t>GWG 224</w:t>
            </w:r>
          </w:p>
        </w:tc>
        <w:tc>
          <w:tcPr>
            <w:tcW w:w="4961" w:type="dxa"/>
            <w:shd w:val="clear" w:color="auto" w:fill="FFFFFF"/>
          </w:tcPr>
          <w:p w:rsidR="00442CB3" w:rsidRPr="00D2240F" w:rsidRDefault="00442CB3" w:rsidP="00D1096A">
            <w:pPr>
              <w:pStyle w:val="Header"/>
              <w:rPr>
                <w:sz w:val="20"/>
              </w:rPr>
            </w:pPr>
            <w:r w:rsidRPr="00D2240F">
              <w:rPr>
                <w:sz w:val="20"/>
              </w:rPr>
              <w:t>To develop new guidance material on the conversion from receiver performance requirements to Signal-in-Space requirements regarding maximum undesired Power Flux Density levels for GBAS operations and desired-to-undesired (D/U) as well as the impact of spurious emissions based on JWGs/3, WP18, rev.1 and the new draft Appendix K of RTCA DO</w:t>
            </w:r>
            <w:r w:rsidRPr="00D2240F">
              <w:rPr>
                <w:sz w:val="20"/>
              </w:rPr>
              <w:noBreakHyphen/>
              <w:t>253().</w:t>
            </w:r>
          </w:p>
        </w:tc>
        <w:tc>
          <w:tcPr>
            <w:tcW w:w="1237" w:type="dxa"/>
            <w:shd w:val="clear" w:color="auto" w:fill="FFFFFF"/>
          </w:tcPr>
          <w:p w:rsidR="00442CB3" w:rsidRPr="00D2240F" w:rsidRDefault="00442CB3" w:rsidP="00D1096A">
            <w:pPr>
              <w:pStyle w:val="Header"/>
              <w:rPr>
                <w:sz w:val="20"/>
              </w:rPr>
            </w:pPr>
            <w:r w:rsidRPr="00D2240F">
              <w:rPr>
                <w:sz w:val="20"/>
              </w:rPr>
              <w:t>ICAO NSP</w:t>
            </w:r>
          </w:p>
        </w:tc>
        <w:tc>
          <w:tcPr>
            <w:tcW w:w="1790" w:type="dxa"/>
            <w:shd w:val="clear" w:color="auto" w:fill="FFFFFF"/>
          </w:tcPr>
          <w:p w:rsidR="00442CB3" w:rsidRPr="00D2240F" w:rsidRDefault="00442CB3" w:rsidP="00D1096A">
            <w:pPr>
              <w:pStyle w:val="Header"/>
              <w:rPr>
                <w:sz w:val="20"/>
              </w:rPr>
            </w:pPr>
            <w:r>
              <w:rPr>
                <w:sz w:val="20"/>
              </w:rPr>
              <w:t xml:space="preserve"> Open. (Carried over to SWG according to GWG report from April 2019). </w:t>
            </w:r>
          </w:p>
        </w:tc>
      </w:tr>
      <w:tr w:rsidR="00442CB3" w:rsidRPr="00CF7E2D" w:rsidTr="00D1096A">
        <w:tc>
          <w:tcPr>
            <w:tcW w:w="1192" w:type="dxa"/>
            <w:shd w:val="clear" w:color="auto" w:fill="FFFFFF"/>
          </w:tcPr>
          <w:p w:rsidR="00442CB3" w:rsidRPr="00D2240F" w:rsidRDefault="00442CB3" w:rsidP="00D1096A">
            <w:pPr>
              <w:pStyle w:val="Header"/>
              <w:rPr>
                <w:sz w:val="20"/>
              </w:rPr>
            </w:pPr>
            <w:r w:rsidRPr="00675D5F">
              <w:rPr>
                <w:sz w:val="20"/>
              </w:rPr>
              <w:t>GWG 225</w:t>
            </w:r>
          </w:p>
        </w:tc>
        <w:tc>
          <w:tcPr>
            <w:tcW w:w="4961" w:type="dxa"/>
            <w:shd w:val="clear" w:color="auto" w:fill="FFFFFF"/>
          </w:tcPr>
          <w:p w:rsidR="00442CB3" w:rsidRDefault="00442CB3" w:rsidP="00D1096A">
            <w:pPr>
              <w:pStyle w:val="Header"/>
              <w:rPr>
                <w:sz w:val="20"/>
              </w:rPr>
            </w:pPr>
            <w:r>
              <w:rPr>
                <w:sz w:val="20"/>
              </w:rPr>
              <w:t>T</w:t>
            </w:r>
            <w:r w:rsidRPr="00675D5F">
              <w:rPr>
                <w:sz w:val="20"/>
              </w:rPr>
              <w:t xml:space="preserve">o check whether </w:t>
            </w:r>
            <w:r>
              <w:rPr>
                <w:sz w:val="20"/>
              </w:rPr>
              <w:t xml:space="preserve">there are </w:t>
            </w:r>
            <w:r w:rsidRPr="00675D5F">
              <w:rPr>
                <w:sz w:val="20"/>
              </w:rPr>
              <w:t xml:space="preserve">avionics backward-compatibility issues or GBAS ground station deployment issues with the proposed new GBAS adjacent channel </w:t>
            </w:r>
            <w:r>
              <w:rPr>
                <w:sz w:val="20"/>
              </w:rPr>
              <w:t xml:space="preserve">rejection </w:t>
            </w:r>
            <w:r w:rsidRPr="00675D5F">
              <w:rPr>
                <w:sz w:val="20"/>
              </w:rPr>
              <w:t>requirements.</w:t>
            </w:r>
          </w:p>
          <w:p w:rsidR="00442CB3" w:rsidRPr="00D2240F" w:rsidRDefault="00442CB3" w:rsidP="00D1096A">
            <w:pPr>
              <w:pStyle w:val="Header"/>
              <w:rPr>
                <w:sz w:val="20"/>
              </w:rPr>
            </w:pPr>
          </w:p>
        </w:tc>
        <w:tc>
          <w:tcPr>
            <w:tcW w:w="1237" w:type="dxa"/>
            <w:shd w:val="clear" w:color="auto" w:fill="FFFFFF"/>
          </w:tcPr>
          <w:p w:rsidR="00442CB3" w:rsidRPr="00D2240F" w:rsidRDefault="00442CB3" w:rsidP="00D1096A">
            <w:pPr>
              <w:pStyle w:val="Header"/>
              <w:rPr>
                <w:sz w:val="20"/>
              </w:rPr>
            </w:pPr>
            <w:r w:rsidRPr="00675D5F">
              <w:rPr>
                <w:sz w:val="20"/>
              </w:rPr>
              <w:t>Members of NSP</w:t>
            </w:r>
          </w:p>
        </w:tc>
        <w:tc>
          <w:tcPr>
            <w:tcW w:w="1790" w:type="dxa"/>
            <w:shd w:val="clear" w:color="auto" w:fill="FFFFFF"/>
          </w:tcPr>
          <w:p w:rsidR="00442CB3" w:rsidRPr="00D2240F" w:rsidRDefault="00442CB3" w:rsidP="00D1096A">
            <w:pPr>
              <w:pStyle w:val="Header"/>
              <w:rPr>
                <w:sz w:val="20"/>
              </w:rPr>
            </w:pPr>
            <w:r w:rsidRPr="00D61640">
              <w:rPr>
                <w:sz w:val="20"/>
              </w:rPr>
              <w:t>See GWG meeting report</w:t>
            </w:r>
            <w:r>
              <w:rPr>
                <w:sz w:val="20"/>
              </w:rPr>
              <w:t xml:space="preserve"> =&gt; </w:t>
            </w:r>
            <w:r w:rsidRPr="00971111">
              <w:rPr>
                <w:sz w:val="20"/>
              </w:rPr>
              <w:t>Closed NSP5 WP 4 and WP 15</w:t>
            </w:r>
          </w:p>
        </w:tc>
      </w:tr>
      <w:tr w:rsidR="00442CB3" w:rsidRPr="00CF7E2D" w:rsidTr="00D1096A">
        <w:tc>
          <w:tcPr>
            <w:tcW w:w="1192" w:type="dxa"/>
            <w:shd w:val="clear" w:color="auto" w:fill="FFFFFF"/>
          </w:tcPr>
          <w:p w:rsidR="00442CB3" w:rsidRPr="00675D5F" w:rsidRDefault="00442CB3" w:rsidP="00D1096A">
            <w:pPr>
              <w:pStyle w:val="Header"/>
              <w:rPr>
                <w:sz w:val="20"/>
              </w:rPr>
            </w:pPr>
            <w:r w:rsidRPr="00675D5F">
              <w:rPr>
                <w:sz w:val="20"/>
              </w:rPr>
              <w:t>GWG 227</w:t>
            </w:r>
          </w:p>
        </w:tc>
        <w:tc>
          <w:tcPr>
            <w:tcW w:w="4961" w:type="dxa"/>
            <w:shd w:val="clear" w:color="auto" w:fill="FFFFFF"/>
          </w:tcPr>
          <w:p w:rsidR="00442CB3" w:rsidRPr="00675D5F" w:rsidRDefault="00442CB3" w:rsidP="00D1096A">
            <w:pPr>
              <w:pStyle w:val="Header"/>
              <w:rPr>
                <w:sz w:val="20"/>
              </w:rPr>
            </w:pPr>
            <w:r>
              <w:rPr>
                <w:sz w:val="20"/>
              </w:rPr>
              <w:t>T</w:t>
            </w:r>
            <w:r w:rsidRPr="00675D5F">
              <w:rPr>
                <w:sz w:val="20"/>
              </w:rPr>
              <w:t>o analyse the impact on the VDB Message Failure Rate of “sub-second” exceedances of the power limit by the undesired signal and to explore the possibility to introduce a sliding-average mechanism for GBAS VDB flight-inspection results, based on this analysis.</w:t>
            </w:r>
          </w:p>
        </w:tc>
        <w:tc>
          <w:tcPr>
            <w:tcW w:w="1237" w:type="dxa"/>
            <w:shd w:val="clear" w:color="auto" w:fill="FFFFFF"/>
          </w:tcPr>
          <w:p w:rsidR="00442CB3" w:rsidRPr="00D2240F" w:rsidRDefault="00442CB3" w:rsidP="00D1096A">
            <w:pPr>
              <w:pStyle w:val="Header"/>
              <w:rPr>
                <w:sz w:val="20"/>
              </w:rPr>
            </w:pPr>
            <w:r w:rsidRPr="00D2240F">
              <w:rPr>
                <w:sz w:val="20"/>
              </w:rPr>
              <w:t>VDB ad-hoc group</w:t>
            </w:r>
          </w:p>
        </w:tc>
        <w:tc>
          <w:tcPr>
            <w:tcW w:w="1790" w:type="dxa"/>
            <w:shd w:val="clear" w:color="auto" w:fill="FFFFFF"/>
          </w:tcPr>
          <w:p w:rsidR="00442CB3" w:rsidRPr="00D2240F" w:rsidRDefault="00442CB3" w:rsidP="00D1096A">
            <w:pPr>
              <w:pStyle w:val="Header"/>
              <w:rPr>
                <w:sz w:val="20"/>
              </w:rPr>
            </w:pPr>
            <w:r w:rsidRPr="00971111">
              <w:rPr>
                <w:sz w:val="20"/>
              </w:rPr>
              <w:t xml:space="preserve">Closed </w:t>
            </w:r>
            <w:r>
              <w:rPr>
                <w:sz w:val="20"/>
              </w:rPr>
              <w:t xml:space="preserve">by </w:t>
            </w:r>
            <w:r w:rsidRPr="00971111">
              <w:rPr>
                <w:sz w:val="20"/>
              </w:rPr>
              <w:t>NSP 5 WP 17</w:t>
            </w:r>
            <w:r>
              <w:rPr>
                <w:sz w:val="20"/>
              </w:rPr>
              <w:t xml:space="preserve"> </w:t>
            </w:r>
            <w:r w:rsidRPr="00B25A70">
              <w:rPr>
                <w:sz w:val="20"/>
              </w:rPr>
              <w:t>according to GWG report from April 2019)</w:t>
            </w:r>
          </w:p>
        </w:tc>
      </w:tr>
      <w:tr w:rsidR="00442CB3" w:rsidRPr="00CF7E2D" w:rsidTr="00D1096A">
        <w:tc>
          <w:tcPr>
            <w:tcW w:w="1192" w:type="dxa"/>
            <w:shd w:val="clear" w:color="auto" w:fill="FFFFFF"/>
          </w:tcPr>
          <w:p w:rsidR="00442CB3" w:rsidRPr="00D2240F" w:rsidRDefault="00442CB3" w:rsidP="00D1096A">
            <w:pPr>
              <w:pStyle w:val="Header"/>
              <w:rPr>
                <w:sz w:val="20"/>
              </w:rPr>
            </w:pPr>
            <w:r w:rsidRPr="00D2240F">
              <w:rPr>
                <w:sz w:val="20"/>
              </w:rPr>
              <w:t>SWG6/04</w:t>
            </w:r>
          </w:p>
        </w:tc>
        <w:tc>
          <w:tcPr>
            <w:tcW w:w="4961" w:type="dxa"/>
            <w:shd w:val="clear" w:color="auto" w:fill="FFFFFF"/>
          </w:tcPr>
          <w:p w:rsidR="00442CB3" w:rsidRPr="00D2240F" w:rsidRDefault="00442CB3" w:rsidP="00D1096A">
            <w:pPr>
              <w:pStyle w:val="Header"/>
              <w:rPr>
                <w:sz w:val="20"/>
              </w:rPr>
            </w:pPr>
            <w:r>
              <w:rPr>
                <w:sz w:val="20"/>
              </w:rPr>
              <w:t>T</w:t>
            </w:r>
            <w:r w:rsidRPr="00D2240F">
              <w:rPr>
                <w:sz w:val="20"/>
              </w:rPr>
              <w:t>o analyse the meaning and the need for the co-location case” in ICAO Annex 10, Vol. I, Att. C, section 3.4.</w:t>
            </w:r>
          </w:p>
        </w:tc>
        <w:tc>
          <w:tcPr>
            <w:tcW w:w="1237" w:type="dxa"/>
            <w:shd w:val="clear" w:color="auto" w:fill="FFFFFF"/>
          </w:tcPr>
          <w:p w:rsidR="00442CB3" w:rsidRPr="00D2240F" w:rsidRDefault="00442CB3" w:rsidP="00D1096A">
            <w:pPr>
              <w:pStyle w:val="Header"/>
              <w:rPr>
                <w:sz w:val="20"/>
              </w:rPr>
            </w:pPr>
            <w:r w:rsidRPr="00D2240F">
              <w:rPr>
                <w:sz w:val="20"/>
              </w:rPr>
              <w:t>Robert Witzen</w:t>
            </w:r>
          </w:p>
        </w:tc>
        <w:tc>
          <w:tcPr>
            <w:tcW w:w="1790" w:type="dxa"/>
            <w:shd w:val="clear" w:color="auto" w:fill="FFFFFF"/>
          </w:tcPr>
          <w:p w:rsidR="00442CB3" w:rsidRDefault="00442CB3" w:rsidP="00D1096A">
            <w:pPr>
              <w:pStyle w:val="Header"/>
              <w:rPr>
                <w:sz w:val="20"/>
              </w:rPr>
            </w:pPr>
            <w:r>
              <w:rPr>
                <w:sz w:val="20"/>
              </w:rPr>
              <w:t>Closed</w:t>
            </w:r>
          </w:p>
        </w:tc>
      </w:tr>
      <w:tr w:rsidR="00442CB3" w:rsidRPr="00CF7E2D" w:rsidTr="00D1096A">
        <w:tc>
          <w:tcPr>
            <w:tcW w:w="1192" w:type="dxa"/>
            <w:shd w:val="clear" w:color="auto" w:fill="FFFFFF"/>
          </w:tcPr>
          <w:p w:rsidR="00442CB3" w:rsidRPr="00D2240F" w:rsidRDefault="00442CB3" w:rsidP="00D1096A">
            <w:pPr>
              <w:pStyle w:val="Header"/>
              <w:rPr>
                <w:sz w:val="20"/>
              </w:rPr>
            </w:pPr>
            <w:r w:rsidRPr="00D2240F">
              <w:rPr>
                <w:sz w:val="20"/>
              </w:rPr>
              <w:t>SWG6/10</w:t>
            </w:r>
          </w:p>
        </w:tc>
        <w:tc>
          <w:tcPr>
            <w:tcW w:w="4961" w:type="dxa"/>
            <w:shd w:val="clear" w:color="auto" w:fill="FFFFFF"/>
          </w:tcPr>
          <w:p w:rsidR="00442CB3" w:rsidRPr="00D2240F" w:rsidRDefault="00442CB3" w:rsidP="00D1096A">
            <w:pPr>
              <w:pStyle w:val="Header"/>
              <w:rPr>
                <w:sz w:val="20"/>
              </w:rPr>
            </w:pPr>
            <w:r>
              <w:rPr>
                <w:sz w:val="20"/>
              </w:rPr>
              <w:t>T</w:t>
            </w:r>
            <w:r w:rsidRPr="00D3725A">
              <w:rPr>
                <w:sz w:val="20"/>
              </w:rPr>
              <w:t>o analyse the expected range of potential interference by LED lighting devices to aeronautical radio navigation systems based on the applicable radiated emission limits for LED lighting devices based on JWGs/3-IP24</w:t>
            </w:r>
            <w:r>
              <w:rPr>
                <w:sz w:val="20"/>
              </w:rPr>
              <w:t>.</w:t>
            </w:r>
          </w:p>
        </w:tc>
        <w:tc>
          <w:tcPr>
            <w:tcW w:w="1237" w:type="dxa"/>
            <w:shd w:val="clear" w:color="auto" w:fill="FFFFFF"/>
          </w:tcPr>
          <w:p w:rsidR="00442CB3" w:rsidRPr="00D2240F" w:rsidRDefault="00442CB3" w:rsidP="00D1096A">
            <w:pPr>
              <w:pStyle w:val="Header"/>
              <w:rPr>
                <w:sz w:val="20"/>
              </w:rPr>
            </w:pPr>
            <w:r w:rsidRPr="00D3725A">
              <w:rPr>
                <w:sz w:val="20"/>
              </w:rPr>
              <w:t>SWG members</w:t>
            </w:r>
          </w:p>
        </w:tc>
        <w:tc>
          <w:tcPr>
            <w:tcW w:w="1790" w:type="dxa"/>
            <w:shd w:val="clear" w:color="auto" w:fill="FFFFFF"/>
          </w:tcPr>
          <w:p w:rsidR="00442CB3" w:rsidRDefault="00442CB3" w:rsidP="00D1096A">
            <w:pPr>
              <w:pStyle w:val="Header"/>
              <w:rPr>
                <w:sz w:val="20"/>
              </w:rPr>
            </w:pPr>
            <w:r>
              <w:rPr>
                <w:sz w:val="20"/>
              </w:rPr>
              <w:t>Open</w:t>
            </w:r>
          </w:p>
        </w:tc>
      </w:tr>
      <w:tr w:rsidR="00442CB3" w:rsidRPr="00CF7E2D" w:rsidTr="00D1096A">
        <w:tc>
          <w:tcPr>
            <w:tcW w:w="9180" w:type="dxa"/>
            <w:gridSpan w:val="4"/>
            <w:shd w:val="clear" w:color="auto" w:fill="FFFFFF"/>
          </w:tcPr>
          <w:p w:rsidR="00442CB3" w:rsidRDefault="00442CB3" w:rsidP="00D1096A">
            <w:pPr>
              <w:pStyle w:val="Header"/>
              <w:rPr>
                <w:sz w:val="20"/>
              </w:rPr>
            </w:pPr>
          </w:p>
        </w:tc>
      </w:tr>
      <w:tr w:rsidR="00442CB3" w:rsidRPr="00CF7E2D" w:rsidTr="00D1096A">
        <w:tc>
          <w:tcPr>
            <w:tcW w:w="9180" w:type="dxa"/>
            <w:gridSpan w:val="4"/>
            <w:shd w:val="clear" w:color="auto" w:fill="FFFFFF"/>
          </w:tcPr>
          <w:p w:rsidR="00442CB3" w:rsidRPr="001A4884" w:rsidRDefault="00442CB3" w:rsidP="00D1096A">
            <w:pPr>
              <w:rPr>
                <w:b/>
                <w:bCs/>
                <w:sz w:val="20"/>
              </w:rPr>
            </w:pPr>
            <w:r w:rsidRPr="001A4884">
              <w:rPr>
                <w:b/>
                <w:bCs/>
                <w:sz w:val="20"/>
              </w:rPr>
              <w:lastRenderedPageBreak/>
              <w:t>Actions from the Montreal meeting of SWG November 2018 (SWG7):</w:t>
            </w:r>
          </w:p>
          <w:p w:rsidR="00442CB3" w:rsidRDefault="00442CB3" w:rsidP="00D1096A">
            <w:pPr>
              <w:pStyle w:val="Header"/>
              <w:rPr>
                <w:sz w:val="20"/>
              </w:rPr>
            </w:pPr>
          </w:p>
        </w:tc>
      </w:tr>
      <w:tr w:rsidR="00442CB3" w:rsidRPr="00CF7E2D" w:rsidTr="00D1096A">
        <w:tc>
          <w:tcPr>
            <w:tcW w:w="1192" w:type="dxa"/>
            <w:shd w:val="clear" w:color="auto" w:fill="FFFFFF"/>
          </w:tcPr>
          <w:p w:rsidR="00442CB3" w:rsidRDefault="00442CB3" w:rsidP="00D1096A">
            <w:pPr>
              <w:ind w:left="426" w:hanging="426"/>
              <w:rPr>
                <w:sz w:val="20"/>
              </w:rPr>
            </w:pPr>
            <w:r w:rsidRPr="00C06DCD">
              <w:rPr>
                <w:sz w:val="20"/>
              </w:rPr>
              <w:t>GWG</w:t>
            </w:r>
            <w:r>
              <w:rPr>
                <w:sz w:val="20"/>
              </w:rPr>
              <w:t>-</w:t>
            </w:r>
          </w:p>
          <w:p w:rsidR="00442CB3" w:rsidRPr="00C06DCD" w:rsidRDefault="00442CB3" w:rsidP="00D1096A">
            <w:pPr>
              <w:ind w:left="426" w:hanging="426"/>
              <w:rPr>
                <w:sz w:val="20"/>
              </w:rPr>
            </w:pPr>
            <w:r w:rsidRPr="00C06DCD">
              <w:rPr>
                <w:sz w:val="20"/>
              </w:rPr>
              <w:t>action 231</w:t>
            </w:r>
          </w:p>
        </w:tc>
        <w:tc>
          <w:tcPr>
            <w:tcW w:w="4961" w:type="dxa"/>
            <w:shd w:val="clear" w:color="auto" w:fill="FFFFFF"/>
          </w:tcPr>
          <w:p w:rsidR="00442CB3" w:rsidRPr="00C06DCD" w:rsidRDefault="00442CB3" w:rsidP="00D1096A">
            <w:pPr>
              <w:pStyle w:val="Header"/>
              <w:rPr>
                <w:sz w:val="20"/>
              </w:rPr>
            </w:pPr>
            <w:r>
              <w:rPr>
                <w:sz w:val="20"/>
              </w:rPr>
              <w:t>To d</w:t>
            </w:r>
            <w:r w:rsidRPr="00C06DCD">
              <w:rPr>
                <w:sz w:val="20"/>
              </w:rPr>
              <w:t>evelop guidance material on GBAS/VDB siting and same-airport compatibility with other VHF-navigation aids for inclusion into ICAO Annex 10, Vol. I, Attachment D, taking into account WPNSP/5-WP14 and NSP/5-Flimsy</w:t>
            </w:r>
            <w:r>
              <w:rPr>
                <w:sz w:val="20"/>
              </w:rPr>
              <w:t> </w:t>
            </w:r>
            <w:r w:rsidRPr="00C06DCD">
              <w:rPr>
                <w:sz w:val="20"/>
              </w:rPr>
              <w:t>07</w:t>
            </w:r>
            <w:r>
              <w:rPr>
                <w:sz w:val="20"/>
              </w:rPr>
              <w:t>.</w:t>
            </w:r>
          </w:p>
        </w:tc>
        <w:tc>
          <w:tcPr>
            <w:tcW w:w="1237" w:type="dxa"/>
            <w:shd w:val="clear" w:color="auto" w:fill="FFFFFF"/>
          </w:tcPr>
          <w:p w:rsidR="00442CB3" w:rsidRPr="00C06DCD" w:rsidRDefault="00442CB3" w:rsidP="00D1096A">
            <w:pPr>
              <w:pStyle w:val="Header"/>
              <w:rPr>
                <w:sz w:val="20"/>
              </w:rPr>
            </w:pPr>
            <w:r w:rsidRPr="00C06DCD">
              <w:rPr>
                <w:sz w:val="20"/>
              </w:rPr>
              <w:t>GWG and SWG</w:t>
            </w:r>
          </w:p>
        </w:tc>
        <w:tc>
          <w:tcPr>
            <w:tcW w:w="1790" w:type="dxa"/>
            <w:shd w:val="clear" w:color="auto" w:fill="FFFFFF"/>
          </w:tcPr>
          <w:p w:rsidR="00442CB3" w:rsidRDefault="00442CB3" w:rsidP="00D1096A">
            <w:pPr>
              <w:pStyle w:val="Header"/>
              <w:rPr>
                <w:sz w:val="20"/>
              </w:rPr>
            </w:pPr>
            <w:r w:rsidRPr="00971111">
              <w:rPr>
                <w:sz w:val="20"/>
              </w:rPr>
              <w:t>See GWG meeting report</w:t>
            </w:r>
            <w:r>
              <w:rPr>
                <w:sz w:val="20"/>
              </w:rPr>
              <w:t xml:space="preserve"> =&gt;</w:t>
            </w:r>
            <w:r w:rsidRPr="00971111">
              <w:rPr>
                <w:sz w:val="20"/>
              </w:rPr>
              <w:t xml:space="preserve"> </w:t>
            </w:r>
            <w:r w:rsidRPr="00C06DCD">
              <w:rPr>
                <w:sz w:val="20"/>
              </w:rPr>
              <w:t>Open</w:t>
            </w:r>
          </w:p>
          <w:p w:rsidR="00442CB3" w:rsidRPr="00C06DCD" w:rsidRDefault="00442CB3" w:rsidP="00D1096A">
            <w:pPr>
              <w:pStyle w:val="Header"/>
              <w:rPr>
                <w:sz w:val="20"/>
              </w:rPr>
            </w:pPr>
            <w:r>
              <w:rPr>
                <w:sz w:val="20"/>
              </w:rPr>
              <w:t xml:space="preserve">Partly fulfilled by </w:t>
            </w:r>
            <w:r w:rsidRPr="00C337D8">
              <w:rPr>
                <w:sz w:val="20"/>
              </w:rPr>
              <w:t>JWGs/4-WP/25</w:t>
            </w:r>
            <w:r>
              <w:rPr>
                <w:sz w:val="20"/>
              </w:rPr>
              <w:t xml:space="preserve"> </w:t>
            </w:r>
          </w:p>
        </w:tc>
      </w:tr>
      <w:tr w:rsidR="00442CB3" w:rsidRPr="00CF7E2D" w:rsidTr="00D1096A">
        <w:tc>
          <w:tcPr>
            <w:tcW w:w="1192" w:type="dxa"/>
            <w:shd w:val="clear" w:color="auto" w:fill="FFFFFF"/>
          </w:tcPr>
          <w:p w:rsidR="00442CB3" w:rsidRPr="001A4884" w:rsidRDefault="00442CB3" w:rsidP="00D1096A">
            <w:pPr>
              <w:ind w:left="426" w:hanging="426"/>
              <w:rPr>
                <w:sz w:val="20"/>
              </w:rPr>
            </w:pPr>
            <w:r w:rsidRPr="001A4884">
              <w:rPr>
                <w:sz w:val="20"/>
              </w:rPr>
              <w:t>SWG7/01</w:t>
            </w:r>
          </w:p>
        </w:tc>
        <w:tc>
          <w:tcPr>
            <w:tcW w:w="4961" w:type="dxa"/>
            <w:shd w:val="clear" w:color="auto" w:fill="FFFFFF"/>
          </w:tcPr>
          <w:p w:rsidR="00442CB3" w:rsidRPr="001A4884" w:rsidRDefault="00442CB3" w:rsidP="00D1096A">
            <w:pPr>
              <w:pStyle w:val="Header"/>
              <w:rPr>
                <w:sz w:val="20"/>
              </w:rPr>
            </w:pPr>
            <w:r>
              <w:rPr>
                <w:sz w:val="20"/>
              </w:rPr>
              <w:t>To</w:t>
            </w:r>
            <w:r w:rsidRPr="001A4884">
              <w:rPr>
                <w:sz w:val="20"/>
              </w:rPr>
              <w:t xml:space="preserve"> analyse the revision of ITU-R recommendation P.528 on the proposed new propagation model for GBAS/VDB contained in NSP/5-WP35.</w:t>
            </w:r>
          </w:p>
        </w:tc>
        <w:tc>
          <w:tcPr>
            <w:tcW w:w="1237" w:type="dxa"/>
            <w:shd w:val="clear" w:color="auto" w:fill="FFFFFF"/>
          </w:tcPr>
          <w:p w:rsidR="00442CB3" w:rsidRPr="001A4884" w:rsidRDefault="00442CB3" w:rsidP="00D1096A">
            <w:pPr>
              <w:pStyle w:val="Header"/>
              <w:rPr>
                <w:sz w:val="20"/>
              </w:rPr>
            </w:pPr>
            <w:r w:rsidRPr="001A4884">
              <w:rPr>
                <w:sz w:val="20"/>
              </w:rPr>
              <w:t>Robert</w:t>
            </w:r>
            <w:r>
              <w:rPr>
                <w:sz w:val="20"/>
              </w:rPr>
              <w:t xml:space="preserve"> </w:t>
            </w:r>
            <w:r w:rsidRPr="001A4884">
              <w:rPr>
                <w:sz w:val="20"/>
              </w:rPr>
              <w:t>Witze</w:t>
            </w:r>
            <w:r>
              <w:rPr>
                <w:sz w:val="20"/>
              </w:rPr>
              <w:t>n</w:t>
            </w:r>
          </w:p>
        </w:tc>
        <w:tc>
          <w:tcPr>
            <w:tcW w:w="1790" w:type="dxa"/>
            <w:shd w:val="clear" w:color="auto" w:fill="FFFFFF"/>
          </w:tcPr>
          <w:p w:rsidR="00442CB3" w:rsidRPr="001A4884" w:rsidRDefault="00442CB3" w:rsidP="00D1096A">
            <w:pPr>
              <w:pStyle w:val="Header"/>
              <w:rPr>
                <w:sz w:val="20"/>
              </w:rPr>
            </w:pPr>
            <w:r>
              <w:rPr>
                <w:sz w:val="20"/>
              </w:rPr>
              <w:t>Closed. Overtaken by events. See JWGs WP2.</w:t>
            </w:r>
          </w:p>
        </w:tc>
      </w:tr>
      <w:tr w:rsidR="00442CB3" w:rsidRPr="00CF7E2D" w:rsidTr="00D1096A">
        <w:tc>
          <w:tcPr>
            <w:tcW w:w="1192" w:type="dxa"/>
            <w:shd w:val="clear" w:color="auto" w:fill="FFFFFF"/>
          </w:tcPr>
          <w:p w:rsidR="00442CB3" w:rsidRPr="001A4884" w:rsidRDefault="00442CB3" w:rsidP="00D1096A">
            <w:pPr>
              <w:ind w:left="426" w:hanging="426"/>
              <w:rPr>
                <w:sz w:val="20"/>
              </w:rPr>
            </w:pPr>
            <w:r>
              <w:rPr>
                <w:sz w:val="20"/>
              </w:rPr>
              <w:t>SWG7/02</w:t>
            </w:r>
          </w:p>
        </w:tc>
        <w:tc>
          <w:tcPr>
            <w:tcW w:w="4961" w:type="dxa"/>
            <w:shd w:val="clear" w:color="auto" w:fill="FFFFFF"/>
          </w:tcPr>
          <w:p w:rsidR="00442CB3" w:rsidRDefault="00442CB3" w:rsidP="00D1096A">
            <w:pPr>
              <w:pStyle w:val="Header"/>
              <w:rPr>
                <w:sz w:val="20"/>
              </w:rPr>
            </w:pPr>
            <w:r w:rsidRPr="00386C3E">
              <w:rPr>
                <w:sz w:val="20"/>
              </w:rPr>
              <w:t>WG members to provide comments on NSP5/WP31 containing draft material for Doc 8071 Vol II, Chapter 5 on RFI to Gerhard.Berz@Eurocontrol.int.</w:t>
            </w:r>
          </w:p>
        </w:tc>
        <w:tc>
          <w:tcPr>
            <w:tcW w:w="1237" w:type="dxa"/>
            <w:shd w:val="clear" w:color="auto" w:fill="FFFFFF"/>
          </w:tcPr>
          <w:p w:rsidR="00442CB3" w:rsidRPr="001A4884" w:rsidRDefault="00442CB3" w:rsidP="00D1096A">
            <w:pPr>
              <w:pStyle w:val="Header"/>
              <w:rPr>
                <w:sz w:val="20"/>
              </w:rPr>
            </w:pPr>
            <w:r>
              <w:rPr>
                <w:sz w:val="20"/>
              </w:rPr>
              <w:t>SWG-members</w:t>
            </w:r>
          </w:p>
        </w:tc>
        <w:tc>
          <w:tcPr>
            <w:tcW w:w="1790" w:type="dxa"/>
            <w:shd w:val="clear" w:color="auto" w:fill="FFFFFF"/>
          </w:tcPr>
          <w:p w:rsidR="00442CB3" w:rsidRPr="001A4884" w:rsidRDefault="00442CB3" w:rsidP="00D1096A">
            <w:pPr>
              <w:pStyle w:val="Header"/>
              <w:rPr>
                <w:sz w:val="20"/>
              </w:rPr>
            </w:pPr>
            <w:r>
              <w:rPr>
                <w:sz w:val="20"/>
              </w:rPr>
              <w:t>Closed</w:t>
            </w:r>
          </w:p>
        </w:tc>
      </w:tr>
      <w:tr w:rsidR="00442CB3" w:rsidRPr="00CF7E2D" w:rsidTr="00D1096A">
        <w:tc>
          <w:tcPr>
            <w:tcW w:w="9180" w:type="dxa"/>
            <w:gridSpan w:val="4"/>
            <w:shd w:val="clear" w:color="auto" w:fill="FFFFFF"/>
          </w:tcPr>
          <w:p w:rsidR="00442CB3" w:rsidRDefault="00442CB3" w:rsidP="00D1096A">
            <w:pPr>
              <w:pStyle w:val="Header"/>
              <w:rPr>
                <w:sz w:val="20"/>
              </w:rPr>
            </w:pPr>
          </w:p>
        </w:tc>
      </w:tr>
      <w:tr w:rsidR="00442CB3" w:rsidRPr="00CF7E2D" w:rsidTr="00D1096A">
        <w:tc>
          <w:tcPr>
            <w:tcW w:w="9180" w:type="dxa"/>
            <w:gridSpan w:val="4"/>
            <w:shd w:val="clear" w:color="auto" w:fill="FFFFFF"/>
          </w:tcPr>
          <w:p w:rsidR="00442CB3" w:rsidRPr="00B52648" w:rsidRDefault="00442CB3" w:rsidP="00D1096A">
            <w:pPr>
              <w:rPr>
                <w:b/>
                <w:bCs/>
                <w:sz w:val="20"/>
              </w:rPr>
            </w:pPr>
          </w:p>
          <w:p w:rsidR="00442CB3" w:rsidRPr="00B52648" w:rsidRDefault="00442CB3" w:rsidP="00D1096A">
            <w:pPr>
              <w:rPr>
                <w:b/>
                <w:bCs/>
                <w:sz w:val="20"/>
              </w:rPr>
            </w:pPr>
            <w:r w:rsidRPr="00B52648">
              <w:rPr>
                <w:b/>
                <w:bCs/>
                <w:sz w:val="20"/>
              </w:rPr>
              <w:t>Actions from the Montreal meeting of SWG April 2019 (SWG8):</w:t>
            </w:r>
          </w:p>
          <w:p w:rsidR="00442CB3" w:rsidRPr="00B52648" w:rsidRDefault="00442CB3" w:rsidP="00D1096A">
            <w:pPr>
              <w:pStyle w:val="Header"/>
              <w:rPr>
                <w:sz w:val="20"/>
              </w:rPr>
            </w:pP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01</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analyse the impact of the site-elevations of the desired and undesired facility on the D/U in the calculation of the minimum separation distance.</w:t>
            </w:r>
          </w:p>
        </w:tc>
        <w:tc>
          <w:tcPr>
            <w:tcW w:w="1237" w:type="dxa"/>
            <w:shd w:val="clear" w:color="auto" w:fill="FFFFFF"/>
          </w:tcPr>
          <w:p w:rsidR="00442CB3" w:rsidRPr="00B52648" w:rsidRDefault="00442CB3" w:rsidP="00D1096A">
            <w:pPr>
              <w:pStyle w:val="Header"/>
              <w:rPr>
                <w:sz w:val="20"/>
              </w:rPr>
            </w:pPr>
            <w:r w:rsidRPr="00B52648">
              <w:rPr>
                <w:sz w:val="20"/>
              </w:rPr>
              <w:t>Robert Witzen</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02</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further explore, whether an increase of the protection ratio (D/U) by 3 dB should be applied in order to take into, account that a monitor-alarm of a navigation aid would be triggered if the transmit power would drop by 3 dB.</w:t>
            </w:r>
          </w:p>
        </w:tc>
        <w:tc>
          <w:tcPr>
            <w:tcW w:w="1237" w:type="dxa"/>
            <w:shd w:val="clear" w:color="auto" w:fill="FFFFFF"/>
          </w:tcPr>
          <w:p w:rsidR="00442CB3" w:rsidRPr="00B52648" w:rsidRDefault="00442CB3" w:rsidP="00D1096A">
            <w:pPr>
              <w:pStyle w:val="Header"/>
              <w:rPr>
                <w:sz w:val="20"/>
              </w:rPr>
            </w:pPr>
            <w:r w:rsidRPr="00B52648">
              <w:rPr>
                <w:sz w:val="20"/>
              </w:rPr>
              <w:t>SWG members</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03</w:t>
            </w:r>
          </w:p>
        </w:tc>
        <w:tc>
          <w:tcPr>
            <w:tcW w:w="4961" w:type="dxa"/>
            <w:shd w:val="clear" w:color="auto" w:fill="FFFFFF"/>
          </w:tcPr>
          <w:p w:rsidR="00442CB3" w:rsidRPr="00B52648" w:rsidRDefault="00442CB3" w:rsidP="00D1096A">
            <w:pPr>
              <w:pStyle w:val="Header"/>
              <w:rPr>
                <w:sz w:val="20"/>
              </w:rPr>
            </w:pPr>
            <w:r>
              <w:rPr>
                <w:sz w:val="20"/>
              </w:rPr>
              <w:t>To</w:t>
            </w:r>
            <w:r w:rsidRPr="00B52648">
              <w:rPr>
                <w:sz w:val="20"/>
              </w:rPr>
              <w:t xml:space="preserve"> explore the possibility to apply the site elevations of the Desired and Undesired transmitters for the compatibility analysis of GBAS VDB.</w:t>
            </w:r>
          </w:p>
        </w:tc>
        <w:tc>
          <w:tcPr>
            <w:tcW w:w="1237" w:type="dxa"/>
            <w:shd w:val="clear" w:color="auto" w:fill="FFFFFF"/>
          </w:tcPr>
          <w:p w:rsidR="00442CB3" w:rsidRPr="00B52648" w:rsidRDefault="00442CB3" w:rsidP="00D1096A">
            <w:pPr>
              <w:pStyle w:val="Header"/>
              <w:rPr>
                <w:sz w:val="20"/>
              </w:rPr>
            </w:pPr>
            <w:r w:rsidRPr="00B52648">
              <w:rPr>
                <w:sz w:val="20"/>
              </w:rPr>
              <w:t>Robert Witzen</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04</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take into account a 0.9° slope representing the lower limit of the vertical coverage for the compatibility analysis of GBAS VDB</w:t>
            </w:r>
          </w:p>
        </w:tc>
        <w:tc>
          <w:tcPr>
            <w:tcW w:w="1237" w:type="dxa"/>
            <w:shd w:val="clear" w:color="auto" w:fill="FFFFFF"/>
          </w:tcPr>
          <w:p w:rsidR="00442CB3" w:rsidRPr="00B52648" w:rsidRDefault="00442CB3" w:rsidP="00D1096A">
            <w:pPr>
              <w:pStyle w:val="Header"/>
              <w:rPr>
                <w:sz w:val="20"/>
              </w:rPr>
            </w:pPr>
            <w:r w:rsidRPr="00B52648">
              <w:rPr>
                <w:sz w:val="20"/>
              </w:rPr>
              <w:t>Robert Witzen</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05</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explore the basis for applying a cross-polar isolation, when analysing the compatibility between a horizontally polarized GBAS VDB and vertically polarized undesired systems like VHF COM and VDL4</w:t>
            </w:r>
          </w:p>
        </w:tc>
        <w:tc>
          <w:tcPr>
            <w:tcW w:w="1237" w:type="dxa"/>
            <w:shd w:val="clear" w:color="auto" w:fill="FFFFFF"/>
          </w:tcPr>
          <w:p w:rsidR="00442CB3" w:rsidRPr="00B52648" w:rsidRDefault="00442CB3" w:rsidP="00D1096A">
            <w:pPr>
              <w:pStyle w:val="Header"/>
              <w:rPr>
                <w:sz w:val="20"/>
              </w:rPr>
            </w:pPr>
            <w:r w:rsidRPr="00B52648">
              <w:rPr>
                <w:sz w:val="20"/>
              </w:rPr>
              <w:t>SWG members</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06</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lead the team developing ‘same-airport compatibility guidance’ and ‘siting guidance’ for GBAS VDB.</w:t>
            </w:r>
          </w:p>
        </w:tc>
        <w:tc>
          <w:tcPr>
            <w:tcW w:w="1237" w:type="dxa"/>
            <w:shd w:val="clear" w:color="auto" w:fill="FFFFFF"/>
          </w:tcPr>
          <w:p w:rsidR="00442CB3" w:rsidRPr="00B52648" w:rsidRDefault="00442CB3" w:rsidP="00D1096A">
            <w:pPr>
              <w:pStyle w:val="Header"/>
              <w:rPr>
                <w:sz w:val="20"/>
              </w:rPr>
            </w:pPr>
            <w:r w:rsidRPr="00B52648">
              <w:rPr>
                <w:sz w:val="20"/>
              </w:rPr>
              <w:t xml:space="preserve">Felix Butsch </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07</w:t>
            </w:r>
          </w:p>
        </w:tc>
        <w:tc>
          <w:tcPr>
            <w:tcW w:w="4961" w:type="dxa"/>
            <w:shd w:val="clear" w:color="auto" w:fill="FFFFFF"/>
          </w:tcPr>
          <w:p w:rsidR="00442CB3" w:rsidRPr="00B52648" w:rsidRDefault="00442CB3" w:rsidP="00D1096A">
            <w:pPr>
              <w:pStyle w:val="Header"/>
              <w:rPr>
                <w:sz w:val="20"/>
              </w:rPr>
            </w:pPr>
            <w:r w:rsidRPr="00B52648">
              <w:rPr>
                <w:sz w:val="20"/>
              </w:rPr>
              <w:t>To develop frequency assignment planning criteria for VDB versus ILS Localizer signals</w:t>
            </w:r>
          </w:p>
        </w:tc>
        <w:tc>
          <w:tcPr>
            <w:tcW w:w="1237" w:type="dxa"/>
            <w:shd w:val="clear" w:color="auto" w:fill="FFFFFF"/>
          </w:tcPr>
          <w:p w:rsidR="00442CB3" w:rsidRPr="00B52648" w:rsidRDefault="00442CB3" w:rsidP="00D1096A">
            <w:pPr>
              <w:pStyle w:val="Header"/>
              <w:rPr>
                <w:sz w:val="20"/>
              </w:rPr>
            </w:pPr>
            <w:r w:rsidRPr="00B52648">
              <w:rPr>
                <w:sz w:val="20"/>
              </w:rPr>
              <w:t>Robert Witzen</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08</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develop frequency assignment planning criteria for VDB versus VDL Mode 4 signals</w:t>
            </w:r>
          </w:p>
        </w:tc>
        <w:tc>
          <w:tcPr>
            <w:tcW w:w="1237" w:type="dxa"/>
            <w:shd w:val="clear" w:color="auto" w:fill="FFFFFF"/>
          </w:tcPr>
          <w:p w:rsidR="00442CB3" w:rsidRPr="00B52648" w:rsidRDefault="00442CB3" w:rsidP="00D1096A">
            <w:pPr>
              <w:pStyle w:val="Header"/>
              <w:rPr>
                <w:sz w:val="20"/>
              </w:rPr>
            </w:pPr>
            <w:r w:rsidRPr="00B52648">
              <w:rPr>
                <w:sz w:val="20"/>
              </w:rPr>
              <w:t>Robert Witzen</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09</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develop frequency assignment planning criteria for VDB versus VHF COM signals with support of VDB ad-hoc group.</w:t>
            </w:r>
          </w:p>
        </w:tc>
        <w:tc>
          <w:tcPr>
            <w:tcW w:w="1237" w:type="dxa"/>
            <w:shd w:val="clear" w:color="auto" w:fill="FFFFFF"/>
          </w:tcPr>
          <w:p w:rsidR="00442CB3" w:rsidRPr="00B52648" w:rsidRDefault="00442CB3" w:rsidP="00D1096A">
            <w:pPr>
              <w:pStyle w:val="Header"/>
              <w:rPr>
                <w:sz w:val="20"/>
              </w:rPr>
            </w:pPr>
            <w:r w:rsidRPr="00B52648">
              <w:rPr>
                <w:sz w:val="20"/>
              </w:rPr>
              <w:t>Robert Witzen</w:t>
            </w:r>
            <w:r>
              <w:rPr>
                <w:sz w:val="20"/>
              </w:rPr>
              <w:t xml:space="preserve"> </w:t>
            </w:r>
            <w:r w:rsidRPr="00B52648">
              <w:rPr>
                <w:sz w:val="20"/>
              </w:rPr>
              <w:t>and Felix Butsch</w:t>
            </w:r>
          </w:p>
        </w:tc>
        <w:tc>
          <w:tcPr>
            <w:tcW w:w="1790" w:type="dxa"/>
            <w:shd w:val="clear" w:color="auto" w:fill="FFFFFF"/>
          </w:tcPr>
          <w:p w:rsidR="00442CB3" w:rsidRPr="00B52648" w:rsidRDefault="00442CB3" w:rsidP="00D1096A">
            <w:pPr>
              <w:pStyle w:val="Header"/>
              <w:rPr>
                <w:sz w:val="20"/>
              </w:rPr>
            </w:pPr>
            <w:r w:rsidRPr="00C06DCD">
              <w:rPr>
                <w:sz w:val="20"/>
              </w:rPr>
              <w:t>Open</w:t>
            </w:r>
          </w:p>
        </w:tc>
      </w:tr>
      <w:tr w:rsidR="00442CB3" w:rsidRPr="00CF7E2D" w:rsidTr="00D1096A">
        <w:tc>
          <w:tcPr>
            <w:tcW w:w="1192" w:type="dxa"/>
            <w:shd w:val="clear" w:color="auto" w:fill="FFFFFF"/>
          </w:tcPr>
          <w:p w:rsidR="00442CB3" w:rsidRPr="00B52648" w:rsidRDefault="00442CB3" w:rsidP="00D1096A">
            <w:pPr>
              <w:pStyle w:val="Header"/>
              <w:rPr>
                <w:sz w:val="20"/>
              </w:rPr>
            </w:pPr>
            <w:r>
              <w:rPr>
                <w:sz w:val="20"/>
              </w:rPr>
              <w:t xml:space="preserve"> SWG08/</w:t>
            </w:r>
            <w:r w:rsidRPr="00B52648">
              <w:rPr>
                <w:sz w:val="20"/>
              </w:rPr>
              <w:t>10</w:t>
            </w:r>
          </w:p>
        </w:tc>
        <w:tc>
          <w:tcPr>
            <w:tcW w:w="4961" w:type="dxa"/>
            <w:shd w:val="clear" w:color="auto" w:fill="FFFFFF"/>
          </w:tcPr>
          <w:p w:rsidR="00442CB3" w:rsidRPr="00B52648" w:rsidRDefault="00442CB3" w:rsidP="00D1096A">
            <w:pPr>
              <w:pStyle w:val="Header"/>
              <w:rPr>
                <w:sz w:val="20"/>
              </w:rPr>
            </w:pPr>
            <w:r>
              <w:rPr>
                <w:sz w:val="20"/>
              </w:rPr>
              <w:t>T</w:t>
            </w:r>
            <w:r w:rsidRPr="00B52648">
              <w:rPr>
                <w:sz w:val="20"/>
              </w:rPr>
              <w:t>o contribute to the interpretation of the meaning of D/U values for DME contained in Table C-6 of ICAO Annex 10, Vol. I, Att. C, section 7.1.8.</w:t>
            </w:r>
          </w:p>
        </w:tc>
        <w:tc>
          <w:tcPr>
            <w:tcW w:w="1237" w:type="dxa"/>
            <w:shd w:val="clear" w:color="auto" w:fill="FFFFFF"/>
          </w:tcPr>
          <w:p w:rsidR="00442CB3" w:rsidRPr="00B52648" w:rsidRDefault="00442CB3" w:rsidP="00D1096A">
            <w:pPr>
              <w:pStyle w:val="Header"/>
              <w:rPr>
                <w:sz w:val="20"/>
              </w:rPr>
            </w:pPr>
            <w:r w:rsidRPr="00B52648">
              <w:rPr>
                <w:sz w:val="20"/>
              </w:rPr>
              <w:t>SWG members</w:t>
            </w:r>
          </w:p>
        </w:tc>
        <w:tc>
          <w:tcPr>
            <w:tcW w:w="1790" w:type="dxa"/>
            <w:shd w:val="clear" w:color="auto" w:fill="FFFFFF"/>
          </w:tcPr>
          <w:p w:rsidR="00442CB3" w:rsidRPr="00B52648" w:rsidRDefault="00442CB3" w:rsidP="00D1096A">
            <w:pPr>
              <w:pStyle w:val="Header"/>
              <w:rPr>
                <w:sz w:val="20"/>
              </w:rPr>
            </w:pPr>
            <w:r w:rsidRPr="00C06DCD">
              <w:rPr>
                <w:sz w:val="20"/>
              </w:rPr>
              <w:t>Open</w:t>
            </w:r>
          </w:p>
        </w:tc>
      </w:tr>
    </w:tbl>
    <w:p w:rsidR="00442CB3" w:rsidRPr="00CF7E2D" w:rsidRDefault="00442CB3" w:rsidP="00442CB3"/>
    <w:p w:rsidR="00442CB3" w:rsidRPr="00CF7E2D" w:rsidRDefault="00442CB3" w:rsidP="00442CB3"/>
    <w:p w:rsidR="00442CB3" w:rsidRPr="00CF7E2D" w:rsidRDefault="00442CB3" w:rsidP="00442CB3"/>
    <w:p w:rsidR="00442CB3" w:rsidRDefault="00442CB3" w:rsidP="00442CB3">
      <w:pPr>
        <w:rPr>
          <w:b/>
          <w:bCs/>
        </w:rPr>
      </w:pPr>
      <w:r>
        <w:rPr>
          <w:b/>
          <w:bCs/>
        </w:rPr>
        <w:br w:type="page"/>
      </w:r>
    </w:p>
    <w:p w:rsidR="00442CB3" w:rsidRPr="00CF7E2D" w:rsidRDefault="00442CB3" w:rsidP="00442CB3">
      <w:pPr>
        <w:rPr>
          <w:b/>
          <w:bCs/>
        </w:rPr>
      </w:pPr>
      <w:r w:rsidRPr="00CF7E2D">
        <w:rPr>
          <w:b/>
          <w:bCs/>
        </w:rPr>
        <w:lastRenderedPageBreak/>
        <w:t>ATTACHMENT B: LIST OF PARTICIPANTS OF THE SWG</w:t>
      </w:r>
    </w:p>
    <w:tbl>
      <w:tblPr>
        <w:tblW w:w="88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276"/>
        <w:gridCol w:w="1842"/>
        <w:gridCol w:w="3711"/>
      </w:tblGrid>
      <w:tr w:rsidR="00442CB3" w:rsidRPr="00CF7E2D" w:rsidTr="00D1096A">
        <w:trPr>
          <w:jc w:val="right"/>
        </w:trPr>
        <w:tc>
          <w:tcPr>
            <w:tcW w:w="1980" w:type="dxa"/>
            <w:vAlign w:val="center"/>
          </w:tcPr>
          <w:p w:rsidR="00442CB3" w:rsidRPr="00CF7E2D" w:rsidRDefault="00442CB3" w:rsidP="00D1096A">
            <w:pPr>
              <w:rPr>
                <w:b/>
                <w:sz w:val="20"/>
              </w:rPr>
            </w:pPr>
            <w:r w:rsidRPr="00CF7E2D">
              <w:rPr>
                <w:b/>
                <w:sz w:val="20"/>
              </w:rPr>
              <w:t>Name</w:t>
            </w:r>
          </w:p>
        </w:tc>
        <w:tc>
          <w:tcPr>
            <w:tcW w:w="1276" w:type="dxa"/>
            <w:vAlign w:val="center"/>
          </w:tcPr>
          <w:p w:rsidR="00442CB3" w:rsidRPr="00CF7E2D" w:rsidRDefault="00442CB3" w:rsidP="00D1096A">
            <w:pPr>
              <w:rPr>
                <w:b/>
                <w:sz w:val="20"/>
              </w:rPr>
            </w:pPr>
            <w:r w:rsidRPr="00CF7E2D">
              <w:rPr>
                <w:b/>
                <w:sz w:val="20"/>
              </w:rPr>
              <w:t>Atten</w:t>
            </w:r>
            <w:r w:rsidRPr="00CF7E2D">
              <w:rPr>
                <w:b/>
                <w:sz w:val="20"/>
              </w:rPr>
              <w:softHyphen/>
              <w:t>dance</w:t>
            </w:r>
          </w:p>
          <w:p w:rsidR="00442CB3" w:rsidRPr="00CF7E2D" w:rsidRDefault="00442CB3" w:rsidP="00D1096A">
            <w:pPr>
              <w:rPr>
                <w:b/>
                <w:sz w:val="20"/>
              </w:rPr>
            </w:pPr>
            <w:r w:rsidRPr="00CF7E2D">
              <w:rPr>
                <w:b/>
                <w:sz w:val="20"/>
              </w:rPr>
              <w:t>(full-time/</w:t>
            </w:r>
          </w:p>
          <w:p w:rsidR="00442CB3" w:rsidRPr="00CF7E2D" w:rsidRDefault="00442CB3" w:rsidP="00D1096A">
            <w:pPr>
              <w:rPr>
                <w:b/>
                <w:sz w:val="20"/>
              </w:rPr>
            </w:pPr>
            <w:r w:rsidRPr="00CF7E2D">
              <w:rPr>
                <w:b/>
                <w:sz w:val="20"/>
              </w:rPr>
              <w:t>part-time)</w:t>
            </w:r>
          </w:p>
        </w:tc>
        <w:tc>
          <w:tcPr>
            <w:tcW w:w="1842" w:type="dxa"/>
            <w:vAlign w:val="center"/>
          </w:tcPr>
          <w:p w:rsidR="00442CB3" w:rsidRPr="00CF7E2D" w:rsidRDefault="00442CB3" w:rsidP="00D1096A">
            <w:pPr>
              <w:rPr>
                <w:b/>
                <w:sz w:val="20"/>
              </w:rPr>
            </w:pPr>
            <w:r w:rsidRPr="00CF7E2D">
              <w:rPr>
                <w:b/>
                <w:sz w:val="20"/>
              </w:rPr>
              <w:t xml:space="preserve">Organisation </w:t>
            </w:r>
          </w:p>
        </w:tc>
        <w:tc>
          <w:tcPr>
            <w:tcW w:w="3711" w:type="dxa"/>
            <w:vAlign w:val="center"/>
          </w:tcPr>
          <w:p w:rsidR="00442CB3" w:rsidRPr="00CF7E2D" w:rsidRDefault="00442CB3" w:rsidP="00D1096A">
            <w:pPr>
              <w:rPr>
                <w:b/>
                <w:sz w:val="20"/>
              </w:rPr>
            </w:pPr>
            <w:r w:rsidRPr="00CF7E2D">
              <w:rPr>
                <w:b/>
                <w:sz w:val="20"/>
              </w:rPr>
              <w:t>Email</w:t>
            </w:r>
          </w:p>
        </w:tc>
      </w:tr>
      <w:tr w:rsidR="00442CB3" w:rsidRPr="00CF7E2D" w:rsidTr="00D1096A">
        <w:trPr>
          <w:trHeight w:val="483"/>
          <w:jc w:val="right"/>
        </w:trPr>
        <w:tc>
          <w:tcPr>
            <w:tcW w:w="1980" w:type="dxa"/>
            <w:shd w:val="clear" w:color="auto" w:fill="FFFFFF" w:themeFill="background1"/>
            <w:vAlign w:val="center"/>
          </w:tcPr>
          <w:p w:rsidR="00442CB3" w:rsidRPr="005626FD" w:rsidRDefault="00442CB3" w:rsidP="00D1096A">
            <w:pPr>
              <w:rPr>
                <w:sz w:val="20"/>
              </w:rPr>
            </w:pPr>
            <w:r w:rsidRPr="005626FD">
              <w:rPr>
                <w:sz w:val="20"/>
              </w:rPr>
              <w:t>Alessandro Capretti</w:t>
            </w:r>
          </w:p>
        </w:tc>
        <w:tc>
          <w:tcPr>
            <w:tcW w:w="1276" w:type="dxa"/>
            <w:shd w:val="clear" w:color="auto" w:fill="FFFFFF" w:themeFill="background1"/>
            <w:vAlign w:val="center"/>
          </w:tcPr>
          <w:p w:rsidR="00442CB3" w:rsidRPr="005626FD" w:rsidRDefault="00442CB3" w:rsidP="00D1096A">
            <w:pPr>
              <w:rPr>
                <w:sz w:val="20"/>
              </w:rPr>
            </w:pPr>
            <w:r w:rsidRPr="005626FD">
              <w:rPr>
                <w:sz w:val="20"/>
              </w:rPr>
              <w:t>P</w:t>
            </w:r>
          </w:p>
        </w:tc>
        <w:tc>
          <w:tcPr>
            <w:tcW w:w="1842" w:type="dxa"/>
            <w:shd w:val="clear" w:color="auto" w:fill="FFFFFF" w:themeFill="background1"/>
            <w:vAlign w:val="center"/>
          </w:tcPr>
          <w:p w:rsidR="00442CB3" w:rsidRPr="005626FD" w:rsidRDefault="00442CB3" w:rsidP="00D1096A">
            <w:pPr>
              <w:rPr>
                <w:sz w:val="20"/>
              </w:rPr>
            </w:pPr>
            <w:r w:rsidRPr="005626FD">
              <w:rPr>
                <w:sz w:val="20"/>
              </w:rPr>
              <w:t>ICAO</w:t>
            </w:r>
          </w:p>
        </w:tc>
        <w:tc>
          <w:tcPr>
            <w:tcW w:w="3711" w:type="dxa"/>
            <w:shd w:val="clear" w:color="auto" w:fill="FFFFFF" w:themeFill="background1"/>
            <w:vAlign w:val="center"/>
          </w:tcPr>
          <w:p w:rsidR="00442CB3" w:rsidRPr="005626FD" w:rsidRDefault="00442CB3" w:rsidP="00D1096A">
            <w:pPr>
              <w:rPr>
                <w:sz w:val="20"/>
              </w:rPr>
            </w:pPr>
            <w:r w:rsidRPr="005626FD">
              <w:rPr>
                <w:sz w:val="20"/>
              </w:rPr>
              <w:t>ACapretti@icao.int</w:t>
            </w:r>
          </w:p>
        </w:tc>
      </w:tr>
      <w:tr w:rsidR="00442CB3" w:rsidRPr="00CF7E2D" w:rsidTr="00D1096A">
        <w:trPr>
          <w:trHeight w:val="615"/>
          <w:jc w:val="right"/>
        </w:trPr>
        <w:tc>
          <w:tcPr>
            <w:tcW w:w="1980" w:type="dxa"/>
            <w:shd w:val="clear" w:color="auto" w:fill="FFFFFF" w:themeFill="background1"/>
            <w:vAlign w:val="center"/>
          </w:tcPr>
          <w:p w:rsidR="00442CB3" w:rsidRPr="00194509" w:rsidRDefault="00442CB3" w:rsidP="00D1096A">
            <w:pPr>
              <w:rPr>
                <w:b/>
                <w:sz w:val="20"/>
              </w:rPr>
            </w:pPr>
            <w:r w:rsidRPr="00194509">
              <w:rPr>
                <w:rStyle w:val="Strong"/>
                <w:rFonts w:eastAsiaTheme="majorEastAsia"/>
                <w:b w:val="0"/>
                <w:iCs/>
                <w:color w:val="000000"/>
                <w:sz w:val="20"/>
              </w:rPr>
              <w:t>Bhupendra Kumar Dhamu</w:t>
            </w:r>
          </w:p>
        </w:tc>
        <w:tc>
          <w:tcPr>
            <w:tcW w:w="1276" w:type="dxa"/>
            <w:shd w:val="clear" w:color="auto" w:fill="FFFFFF" w:themeFill="background1"/>
            <w:vAlign w:val="center"/>
          </w:tcPr>
          <w:p w:rsidR="00442CB3" w:rsidRPr="00194509" w:rsidRDefault="00442CB3" w:rsidP="00D1096A">
            <w:pPr>
              <w:rPr>
                <w:sz w:val="20"/>
              </w:rPr>
            </w:pPr>
            <w:r w:rsidRPr="00194509">
              <w:rPr>
                <w:sz w:val="20"/>
              </w:rPr>
              <w:t>F</w:t>
            </w:r>
          </w:p>
        </w:tc>
        <w:tc>
          <w:tcPr>
            <w:tcW w:w="1842" w:type="dxa"/>
            <w:shd w:val="clear" w:color="auto" w:fill="FFFFFF" w:themeFill="background1"/>
            <w:vAlign w:val="center"/>
          </w:tcPr>
          <w:p w:rsidR="00442CB3" w:rsidRPr="00194509" w:rsidRDefault="00442CB3" w:rsidP="00D1096A">
            <w:pPr>
              <w:rPr>
                <w:sz w:val="20"/>
              </w:rPr>
            </w:pPr>
            <w:r w:rsidRPr="00194509">
              <w:rPr>
                <w:sz w:val="20"/>
              </w:rPr>
              <w:t>AAI, India</w:t>
            </w:r>
          </w:p>
        </w:tc>
        <w:tc>
          <w:tcPr>
            <w:tcW w:w="3711" w:type="dxa"/>
            <w:shd w:val="clear" w:color="auto" w:fill="FFFFFF" w:themeFill="background1"/>
            <w:vAlign w:val="center"/>
          </w:tcPr>
          <w:p w:rsidR="00442CB3" w:rsidRPr="00194509" w:rsidRDefault="00442CB3" w:rsidP="00D1096A">
            <w:pPr>
              <w:rPr>
                <w:sz w:val="20"/>
              </w:rPr>
            </w:pPr>
            <w:r w:rsidRPr="00194509">
              <w:rPr>
                <w:sz w:val="20"/>
              </w:rPr>
              <w:t>bkdhamu@aai.aero</w:t>
            </w:r>
          </w:p>
        </w:tc>
      </w:tr>
      <w:tr w:rsidR="00442CB3" w:rsidRPr="00CF7E2D" w:rsidTr="00D1096A">
        <w:trPr>
          <w:trHeight w:val="615"/>
          <w:jc w:val="right"/>
        </w:trPr>
        <w:tc>
          <w:tcPr>
            <w:tcW w:w="1980" w:type="dxa"/>
            <w:shd w:val="clear" w:color="auto" w:fill="FFFFFF" w:themeFill="background1"/>
            <w:vAlign w:val="center"/>
          </w:tcPr>
          <w:p w:rsidR="00442CB3" w:rsidRPr="005626FD" w:rsidRDefault="00442CB3" w:rsidP="00D1096A">
            <w:pPr>
              <w:rPr>
                <w:sz w:val="20"/>
              </w:rPr>
            </w:pPr>
            <w:r w:rsidRPr="005626FD">
              <w:rPr>
                <w:sz w:val="20"/>
              </w:rPr>
              <w:t>Daniel Domey</w:t>
            </w:r>
          </w:p>
        </w:tc>
        <w:tc>
          <w:tcPr>
            <w:tcW w:w="1276" w:type="dxa"/>
            <w:shd w:val="clear" w:color="auto" w:fill="FFFFFF" w:themeFill="background1"/>
            <w:vAlign w:val="center"/>
          </w:tcPr>
          <w:p w:rsidR="00442CB3" w:rsidRPr="005626FD" w:rsidRDefault="00442CB3" w:rsidP="00D1096A">
            <w:pPr>
              <w:rPr>
                <w:sz w:val="20"/>
              </w:rPr>
            </w:pPr>
            <w:r w:rsidRPr="005626FD">
              <w:rPr>
                <w:sz w:val="20"/>
              </w:rPr>
              <w:t>P</w:t>
            </w:r>
          </w:p>
        </w:tc>
        <w:tc>
          <w:tcPr>
            <w:tcW w:w="1842" w:type="dxa"/>
            <w:shd w:val="clear" w:color="auto" w:fill="FFFFFF" w:themeFill="background1"/>
            <w:vAlign w:val="center"/>
          </w:tcPr>
          <w:p w:rsidR="00442CB3" w:rsidRPr="005626FD" w:rsidRDefault="00442CB3" w:rsidP="00D1096A">
            <w:pPr>
              <w:rPr>
                <w:sz w:val="20"/>
              </w:rPr>
            </w:pPr>
            <w:r w:rsidRPr="005626FD">
              <w:rPr>
                <w:sz w:val="20"/>
              </w:rPr>
              <w:t>CMC Electronics,</w:t>
            </w:r>
          </w:p>
          <w:p w:rsidR="00442CB3" w:rsidRPr="005626FD" w:rsidRDefault="00442CB3" w:rsidP="00D1096A">
            <w:pPr>
              <w:rPr>
                <w:sz w:val="20"/>
              </w:rPr>
            </w:pPr>
            <w:r w:rsidRPr="005626FD">
              <w:rPr>
                <w:sz w:val="20"/>
              </w:rPr>
              <w:t>ICCAIA</w:t>
            </w:r>
          </w:p>
        </w:tc>
        <w:tc>
          <w:tcPr>
            <w:tcW w:w="3711" w:type="dxa"/>
            <w:shd w:val="clear" w:color="auto" w:fill="FFFFFF" w:themeFill="background1"/>
            <w:vAlign w:val="center"/>
          </w:tcPr>
          <w:p w:rsidR="00442CB3" w:rsidRPr="005626FD" w:rsidRDefault="00442CB3" w:rsidP="00D1096A">
            <w:pPr>
              <w:rPr>
                <w:sz w:val="20"/>
              </w:rPr>
            </w:pPr>
            <w:r w:rsidRPr="005626FD">
              <w:rPr>
                <w:sz w:val="20"/>
              </w:rPr>
              <w:t>Daniel.Domey@</w:t>
            </w:r>
            <w:r>
              <w:rPr>
                <w:sz w:val="20"/>
              </w:rPr>
              <w:t>cmcelectronics.ca</w:t>
            </w:r>
          </w:p>
        </w:tc>
      </w:tr>
      <w:tr w:rsidR="00442CB3" w:rsidRPr="00CF7E2D" w:rsidTr="00D1096A">
        <w:trPr>
          <w:trHeight w:val="427"/>
          <w:jc w:val="right"/>
        </w:trPr>
        <w:tc>
          <w:tcPr>
            <w:tcW w:w="1980" w:type="dxa"/>
            <w:shd w:val="clear" w:color="auto" w:fill="FFFFFF" w:themeFill="background1"/>
            <w:vAlign w:val="center"/>
          </w:tcPr>
          <w:p w:rsidR="00442CB3" w:rsidRPr="005626FD" w:rsidRDefault="00442CB3" w:rsidP="00D1096A">
            <w:pPr>
              <w:rPr>
                <w:sz w:val="20"/>
              </w:rPr>
            </w:pPr>
            <w:r w:rsidRPr="005626FD">
              <w:rPr>
                <w:sz w:val="20"/>
              </w:rPr>
              <w:t>Felix Butsch</w:t>
            </w:r>
          </w:p>
        </w:tc>
        <w:tc>
          <w:tcPr>
            <w:tcW w:w="1276" w:type="dxa"/>
            <w:shd w:val="clear" w:color="auto" w:fill="FFFFFF" w:themeFill="background1"/>
            <w:vAlign w:val="center"/>
          </w:tcPr>
          <w:p w:rsidR="00442CB3" w:rsidRPr="005626FD" w:rsidRDefault="00442CB3" w:rsidP="00D1096A">
            <w:pPr>
              <w:rPr>
                <w:sz w:val="20"/>
              </w:rPr>
            </w:pPr>
            <w:r w:rsidRPr="005626FD">
              <w:rPr>
                <w:sz w:val="20"/>
              </w:rPr>
              <w:t>F</w:t>
            </w:r>
          </w:p>
        </w:tc>
        <w:tc>
          <w:tcPr>
            <w:tcW w:w="1842" w:type="dxa"/>
            <w:shd w:val="clear" w:color="auto" w:fill="FFFFFF" w:themeFill="background1"/>
            <w:vAlign w:val="center"/>
          </w:tcPr>
          <w:p w:rsidR="00442CB3" w:rsidRPr="005626FD" w:rsidRDefault="00442CB3" w:rsidP="00D1096A">
            <w:pPr>
              <w:rPr>
                <w:sz w:val="20"/>
              </w:rPr>
            </w:pPr>
            <w:r w:rsidRPr="005626FD">
              <w:rPr>
                <w:sz w:val="20"/>
              </w:rPr>
              <w:t>DFS, Germany</w:t>
            </w:r>
          </w:p>
        </w:tc>
        <w:tc>
          <w:tcPr>
            <w:tcW w:w="3711" w:type="dxa"/>
            <w:shd w:val="clear" w:color="auto" w:fill="FFFFFF" w:themeFill="background1"/>
            <w:vAlign w:val="center"/>
          </w:tcPr>
          <w:p w:rsidR="00442CB3" w:rsidRPr="005626FD" w:rsidRDefault="00BC5E5E" w:rsidP="00D1096A">
            <w:pPr>
              <w:rPr>
                <w:sz w:val="20"/>
              </w:rPr>
            </w:pPr>
            <w:hyperlink r:id="rId14" w:history="1">
              <w:r w:rsidR="00442CB3" w:rsidRPr="005626FD">
                <w:rPr>
                  <w:sz w:val="20"/>
                </w:rPr>
                <w:t>Felix.Butsch@dfs.de</w:t>
              </w:r>
            </w:hyperlink>
            <w:r w:rsidR="00442CB3" w:rsidRPr="005626FD">
              <w:rPr>
                <w:sz w:val="20"/>
              </w:rPr>
              <w:t xml:space="preserve"> </w:t>
            </w:r>
          </w:p>
        </w:tc>
      </w:tr>
      <w:tr w:rsidR="00442CB3" w:rsidRPr="00CF7E2D" w:rsidTr="00D1096A">
        <w:trPr>
          <w:trHeight w:val="502"/>
          <w:jc w:val="right"/>
        </w:trPr>
        <w:tc>
          <w:tcPr>
            <w:tcW w:w="1980" w:type="dxa"/>
            <w:shd w:val="clear" w:color="auto" w:fill="FFFFFF" w:themeFill="background1"/>
            <w:vAlign w:val="center"/>
          </w:tcPr>
          <w:p w:rsidR="00442CB3" w:rsidRPr="005626FD" w:rsidRDefault="00442CB3" w:rsidP="00D1096A">
            <w:pPr>
              <w:rPr>
                <w:sz w:val="20"/>
              </w:rPr>
            </w:pPr>
            <w:r w:rsidRPr="005626FD">
              <w:rPr>
                <w:sz w:val="20"/>
              </w:rPr>
              <w:t>Gerhard Berz</w:t>
            </w:r>
          </w:p>
        </w:tc>
        <w:tc>
          <w:tcPr>
            <w:tcW w:w="1276" w:type="dxa"/>
            <w:shd w:val="clear" w:color="auto" w:fill="FFFFFF" w:themeFill="background1"/>
            <w:vAlign w:val="center"/>
          </w:tcPr>
          <w:p w:rsidR="00442CB3" w:rsidRPr="005626FD" w:rsidRDefault="00442CB3" w:rsidP="00D1096A">
            <w:pPr>
              <w:rPr>
                <w:sz w:val="20"/>
              </w:rPr>
            </w:pPr>
            <w:r w:rsidRPr="005626FD">
              <w:rPr>
                <w:sz w:val="20"/>
              </w:rPr>
              <w:t>P</w:t>
            </w:r>
          </w:p>
        </w:tc>
        <w:tc>
          <w:tcPr>
            <w:tcW w:w="1842" w:type="dxa"/>
            <w:shd w:val="clear" w:color="auto" w:fill="FFFFFF" w:themeFill="background1"/>
            <w:vAlign w:val="center"/>
          </w:tcPr>
          <w:p w:rsidR="00442CB3" w:rsidRPr="005626FD" w:rsidRDefault="00442CB3" w:rsidP="00D1096A">
            <w:pPr>
              <w:rPr>
                <w:sz w:val="20"/>
              </w:rPr>
            </w:pPr>
            <w:r w:rsidRPr="005626FD">
              <w:rPr>
                <w:sz w:val="20"/>
              </w:rPr>
              <w:t>Eurocontrol</w:t>
            </w:r>
          </w:p>
        </w:tc>
        <w:tc>
          <w:tcPr>
            <w:tcW w:w="3711" w:type="dxa"/>
            <w:shd w:val="clear" w:color="auto" w:fill="FFFFFF" w:themeFill="background1"/>
            <w:vAlign w:val="center"/>
          </w:tcPr>
          <w:p w:rsidR="00442CB3" w:rsidRPr="005626FD" w:rsidRDefault="00442CB3" w:rsidP="00D1096A">
            <w:pPr>
              <w:rPr>
                <w:sz w:val="20"/>
              </w:rPr>
            </w:pPr>
            <w:r w:rsidRPr="005626FD">
              <w:rPr>
                <w:sz w:val="20"/>
              </w:rPr>
              <w:t>gerhard.berz@eurocontrol.int</w:t>
            </w:r>
          </w:p>
        </w:tc>
      </w:tr>
      <w:tr w:rsidR="00442CB3" w:rsidRPr="00CF7E2D" w:rsidTr="00D1096A">
        <w:trPr>
          <w:trHeight w:val="615"/>
          <w:jc w:val="right"/>
        </w:trPr>
        <w:tc>
          <w:tcPr>
            <w:tcW w:w="1980" w:type="dxa"/>
            <w:vAlign w:val="center"/>
          </w:tcPr>
          <w:p w:rsidR="00442CB3" w:rsidRPr="005626FD" w:rsidRDefault="00442CB3" w:rsidP="00D1096A">
            <w:pPr>
              <w:rPr>
                <w:sz w:val="20"/>
              </w:rPr>
            </w:pPr>
            <w:r w:rsidRPr="005626FD">
              <w:rPr>
                <w:sz w:val="20"/>
              </w:rPr>
              <w:t>Jia</w:t>
            </w:r>
            <w:r>
              <w:rPr>
                <w:sz w:val="20"/>
              </w:rPr>
              <w:t>y</w:t>
            </w:r>
            <w:r w:rsidRPr="005626FD">
              <w:rPr>
                <w:sz w:val="20"/>
              </w:rPr>
              <w:t>i Zhang</w:t>
            </w:r>
          </w:p>
        </w:tc>
        <w:tc>
          <w:tcPr>
            <w:tcW w:w="1276" w:type="dxa"/>
            <w:vAlign w:val="center"/>
          </w:tcPr>
          <w:p w:rsidR="00442CB3" w:rsidRPr="005626FD" w:rsidRDefault="00442CB3" w:rsidP="00D1096A">
            <w:pPr>
              <w:rPr>
                <w:sz w:val="20"/>
              </w:rPr>
            </w:pPr>
            <w:r w:rsidRPr="005626FD">
              <w:rPr>
                <w:sz w:val="20"/>
              </w:rPr>
              <w:t>F</w:t>
            </w:r>
          </w:p>
        </w:tc>
        <w:tc>
          <w:tcPr>
            <w:tcW w:w="1842" w:type="dxa"/>
            <w:vAlign w:val="center"/>
          </w:tcPr>
          <w:p w:rsidR="00442CB3" w:rsidRPr="005626FD" w:rsidRDefault="00442CB3" w:rsidP="00D1096A">
            <w:pPr>
              <w:rPr>
                <w:sz w:val="20"/>
              </w:rPr>
            </w:pPr>
            <w:r w:rsidRPr="005626FD">
              <w:rPr>
                <w:sz w:val="20"/>
              </w:rPr>
              <w:t>Flight Inspection Carrier of CAAC</w:t>
            </w:r>
          </w:p>
        </w:tc>
        <w:tc>
          <w:tcPr>
            <w:tcW w:w="3711" w:type="dxa"/>
            <w:vAlign w:val="center"/>
          </w:tcPr>
          <w:p w:rsidR="00442CB3" w:rsidRPr="005626FD" w:rsidRDefault="00442CB3" w:rsidP="00D1096A">
            <w:pPr>
              <w:rPr>
                <w:sz w:val="20"/>
              </w:rPr>
            </w:pPr>
            <w:r w:rsidRPr="005626FD">
              <w:rPr>
                <w:sz w:val="20"/>
              </w:rPr>
              <w:t>jiayi1983@sina.cn</w:t>
            </w:r>
          </w:p>
        </w:tc>
      </w:tr>
      <w:tr w:rsidR="00442CB3" w:rsidRPr="00CF7E2D" w:rsidTr="00D1096A">
        <w:trPr>
          <w:trHeight w:val="502"/>
          <w:jc w:val="right"/>
        </w:trPr>
        <w:tc>
          <w:tcPr>
            <w:tcW w:w="1980" w:type="dxa"/>
            <w:shd w:val="clear" w:color="auto" w:fill="FFFFFF" w:themeFill="background1"/>
            <w:vAlign w:val="center"/>
          </w:tcPr>
          <w:p w:rsidR="00442CB3" w:rsidRPr="005626FD" w:rsidRDefault="00442CB3" w:rsidP="00D1096A">
            <w:pPr>
              <w:rPr>
                <w:sz w:val="20"/>
              </w:rPr>
            </w:pPr>
            <w:r w:rsidRPr="005626FD">
              <w:rPr>
                <w:sz w:val="20"/>
              </w:rPr>
              <w:t>Jules Hermens</w:t>
            </w:r>
          </w:p>
        </w:tc>
        <w:tc>
          <w:tcPr>
            <w:tcW w:w="1276" w:type="dxa"/>
            <w:shd w:val="clear" w:color="auto" w:fill="FFFFFF" w:themeFill="background1"/>
            <w:vAlign w:val="center"/>
          </w:tcPr>
          <w:p w:rsidR="00442CB3" w:rsidRPr="005626FD" w:rsidRDefault="00442CB3" w:rsidP="00D1096A">
            <w:pPr>
              <w:rPr>
                <w:sz w:val="20"/>
              </w:rPr>
            </w:pPr>
            <w:r w:rsidRPr="005626FD">
              <w:rPr>
                <w:sz w:val="20"/>
              </w:rPr>
              <w:t>F</w:t>
            </w:r>
          </w:p>
        </w:tc>
        <w:tc>
          <w:tcPr>
            <w:tcW w:w="1842" w:type="dxa"/>
            <w:shd w:val="clear" w:color="auto" w:fill="FFFFFF" w:themeFill="background1"/>
            <w:vAlign w:val="center"/>
          </w:tcPr>
          <w:p w:rsidR="00442CB3" w:rsidRPr="005626FD" w:rsidRDefault="00442CB3" w:rsidP="00D1096A">
            <w:pPr>
              <w:rPr>
                <w:sz w:val="20"/>
              </w:rPr>
            </w:pPr>
            <w:r w:rsidRPr="005626FD">
              <w:rPr>
                <w:sz w:val="20"/>
              </w:rPr>
              <w:t>Netherlands Civil Aviation Authority</w:t>
            </w:r>
          </w:p>
        </w:tc>
        <w:tc>
          <w:tcPr>
            <w:tcW w:w="3711" w:type="dxa"/>
            <w:shd w:val="clear" w:color="auto" w:fill="FFFFFF" w:themeFill="background1"/>
            <w:vAlign w:val="center"/>
          </w:tcPr>
          <w:p w:rsidR="00442CB3" w:rsidRPr="005626FD" w:rsidRDefault="00442CB3" w:rsidP="00D1096A">
            <w:pPr>
              <w:rPr>
                <w:sz w:val="20"/>
              </w:rPr>
            </w:pPr>
            <w:r w:rsidRPr="005626FD">
              <w:rPr>
                <w:sz w:val="20"/>
              </w:rPr>
              <w:t>jules.hermens@ilent.nl</w:t>
            </w:r>
          </w:p>
          <w:p w:rsidR="00442CB3" w:rsidRPr="005626FD" w:rsidRDefault="00442CB3" w:rsidP="00D1096A">
            <w:pPr>
              <w:rPr>
                <w:sz w:val="20"/>
              </w:rPr>
            </w:pPr>
          </w:p>
        </w:tc>
      </w:tr>
      <w:tr w:rsidR="00442CB3" w:rsidRPr="00CF7E2D" w:rsidTr="00D1096A">
        <w:trPr>
          <w:trHeight w:val="502"/>
          <w:jc w:val="right"/>
        </w:trPr>
        <w:tc>
          <w:tcPr>
            <w:tcW w:w="1980" w:type="dxa"/>
            <w:shd w:val="clear" w:color="auto" w:fill="FFFFFF" w:themeFill="background1"/>
            <w:vAlign w:val="center"/>
          </w:tcPr>
          <w:p w:rsidR="00442CB3" w:rsidRPr="005626FD" w:rsidRDefault="00442CB3" w:rsidP="00D1096A">
            <w:pPr>
              <w:rPr>
                <w:sz w:val="20"/>
              </w:rPr>
            </w:pPr>
            <w:r>
              <w:rPr>
                <w:sz w:val="20"/>
              </w:rPr>
              <w:t>Ken Alexander</w:t>
            </w:r>
          </w:p>
        </w:tc>
        <w:tc>
          <w:tcPr>
            <w:tcW w:w="1276" w:type="dxa"/>
            <w:shd w:val="clear" w:color="auto" w:fill="FFFFFF" w:themeFill="background1"/>
            <w:vAlign w:val="center"/>
          </w:tcPr>
          <w:p w:rsidR="00442CB3" w:rsidRPr="005626FD" w:rsidRDefault="00442CB3" w:rsidP="00D1096A">
            <w:pPr>
              <w:rPr>
                <w:sz w:val="20"/>
              </w:rPr>
            </w:pPr>
            <w:r>
              <w:rPr>
                <w:sz w:val="20"/>
              </w:rPr>
              <w:t>P</w:t>
            </w:r>
          </w:p>
        </w:tc>
        <w:tc>
          <w:tcPr>
            <w:tcW w:w="1842" w:type="dxa"/>
            <w:shd w:val="clear" w:color="auto" w:fill="FFFFFF" w:themeFill="background1"/>
            <w:vAlign w:val="center"/>
          </w:tcPr>
          <w:p w:rsidR="00442CB3" w:rsidRPr="007F18F0" w:rsidRDefault="00442CB3" w:rsidP="00D1096A">
            <w:pPr>
              <w:rPr>
                <w:sz w:val="20"/>
                <w:highlight w:val="yellow"/>
              </w:rPr>
            </w:pPr>
            <w:r w:rsidRPr="002D0F70">
              <w:rPr>
                <w:sz w:val="20"/>
              </w:rPr>
              <w:t>US FAA</w:t>
            </w:r>
          </w:p>
        </w:tc>
        <w:tc>
          <w:tcPr>
            <w:tcW w:w="3711" w:type="dxa"/>
            <w:shd w:val="clear" w:color="auto" w:fill="FFFFFF" w:themeFill="background1"/>
            <w:vAlign w:val="center"/>
          </w:tcPr>
          <w:p w:rsidR="00442CB3" w:rsidRPr="007F18F0" w:rsidRDefault="00442CB3" w:rsidP="00D1096A">
            <w:pPr>
              <w:rPr>
                <w:sz w:val="20"/>
                <w:highlight w:val="yellow"/>
              </w:rPr>
            </w:pPr>
            <w:r w:rsidRPr="002D0F70">
              <w:rPr>
                <w:sz w:val="20"/>
              </w:rPr>
              <w:t>Ken.Alexander@faa.gov</w:t>
            </w:r>
          </w:p>
        </w:tc>
      </w:tr>
      <w:tr w:rsidR="00442CB3" w:rsidRPr="00CF7E2D" w:rsidTr="00D1096A">
        <w:trPr>
          <w:trHeight w:val="615"/>
          <w:jc w:val="right"/>
        </w:trPr>
        <w:tc>
          <w:tcPr>
            <w:tcW w:w="1980" w:type="dxa"/>
            <w:shd w:val="clear" w:color="auto" w:fill="FFFFFF" w:themeFill="background1"/>
            <w:vAlign w:val="center"/>
          </w:tcPr>
          <w:p w:rsidR="00442CB3" w:rsidRPr="009502FE" w:rsidRDefault="00442CB3" w:rsidP="00D1096A">
            <w:pPr>
              <w:rPr>
                <w:sz w:val="20"/>
              </w:rPr>
            </w:pPr>
            <w:r w:rsidRPr="009502FE">
              <w:rPr>
                <w:sz w:val="20"/>
              </w:rPr>
              <w:t>Mike Biggs</w:t>
            </w:r>
          </w:p>
        </w:tc>
        <w:tc>
          <w:tcPr>
            <w:tcW w:w="1276" w:type="dxa"/>
            <w:shd w:val="clear" w:color="auto" w:fill="FFFFFF" w:themeFill="background1"/>
            <w:vAlign w:val="center"/>
          </w:tcPr>
          <w:p w:rsidR="00442CB3" w:rsidRPr="009502FE" w:rsidRDefault="00442CB3" w:rsidP="00D1096A">
            <w:pPr>
              <w:rPr>
                <w:sz w:val="20"/>
              </w:rPr>
            </w:pPr>
            <w:r>
              <w:rPr>
                <w:sz w:val="20"/>
              </w:rPr>
              <w:t>F</w:t>
            </w:r>
          </w:p>
        </w:tc>
        <w:tc>
          <w:tcPr>
            <w:tcW w:w="1842" w:type="dxa"/>
            <w:shd w:val="clear" w:color="auto" w:fill="FFFFFF" w:themeFill="background1"/>
            <w:vAlign w:val="center"/>
          </w:tcPr>
          <w:p w:rsidR="00442CB3" w:rsidRPr="009502FE" w:rsidRDefault="00442CB3" w:rsidP="00D1096A">
            <w:pPr>
              <w:rPr>
                <w:sz w:val="20"/>
              </w:rPr>
            </w:pPr>
            <w:r>
              <w:rPr>
                <w:sz w:val="20"/>
              </w:rPr>
              <w:t>US FAA</w:t>
            </w:r>
          </w:p>
        </w:tc>
        <w:tc>
          <w:tcPr>
            <w:tcW w:w="3711" w:type="dxa"/>
            <w:shd w:val="clear" w:color="auto" w:fill="FFFFFF" w:themeFill="background1"/>
            <w:vAlign w:val="center"/>
          </w:tcPr>
          <w:p w:rsidR="00442CB3" w:rsidRPr="009502FE" w:rsidRDefault="00442CB3" w:rsidP="00D1096A">
            <w:pPr>
              <w:rPr>
                <w:sz w:val="20"/>
              </w:rPr>
            </w:pPr>
            <w:r w:rsidRPr="005626FD">
              <w:rPr>
                <w:sz w:val="20"/>
              </w:rPr>
              <w:t>michael.biggs@faa.gov</w:t>
            </w:r>
          </w:p>
        </w:tc>
      </w:tr>
      <w:tr w:rsidR="00442CB3" w:rsidRPr="00CF7E2D" w:rsidTr="00D1096A">
        <w:trPr>
          <w:trHeight w:val="615"/>
          <w:jc w:val="right"/>
        </w:trPr>
        <w:tc>
          <w:tcPr>
            <w:tcW w:w="1980" w:type="dxa"/>
            <w:shd w:val="clear" w:color="auto" w:fill="FFFFFF" w:themeFill="background1"/>
            <w:vAlign w:val="center"/>
          </w:tcPr>
          <w:p w:rsidR="00442CB3" w:rsidRPr="00C85B3E" w:rsidRDefault="00442CB3" w:rsidP="00D1096A">
            <w:pPr>
              <w:rPr>
                <w:sz w:val="20"/>
              </w:rPr>
            </w:pPr>
            <w:r w:rsidRPr="00C85B3E">
              <w:rPr>
                <w:sz w:val="20"/>
              </w:rPr>
              <w:t>Pierre Ladoux</w:t>
            </w:r>
          </w:p>
        </w:tc>
        <w:tc>
          <w:tcPr>
            <w:tcW w:w="1276" w:type="dxa"/>
            <w:shd w:val="clear" w:color="auto" w:fill="FFFFFF" w:themeFill="background1"/>
            <w:vAlign w:val="center"/>
          </w:tcPr>
          <w:p w:rsidR="00442CB3" w:rsidRPr="00C85B3E" w:rsidRDefault="00442CB3" w:rsidP="00D1096A">
            <w:pPr>
              <w:rPr>
                <w:sz w:val="20"/>
              </w:rPr>
            </w:pPr>
            <w:r w:rsidRPr="00C85B3E">
              <w:rPr>
                <w:sz w:val="20"/>
              </w:rPr>
              <w:t>F</w:t>
            </w:r>
          </w:p>
        </w:tc>
        <w:tc>
          <w:tcPr>
            <w:tcW w:w="1842" w:type="dxa"/>
            <w:shd w:val="clear" w:color="auto" w:fill="FFFFFF" w:themeFill="background1"/>
            <w:vAlign w:val="center"/>
          </w:tcPr>
          <w:p w:rsidR="00442CB3" w:rsidRPr="00C85B3E" w:rsidRDefault="00442CB3" w:rsidP="00D1096A">
            <w:pPr>
              <w:rPr>
                <w:sz w:val="20"/>
              </w:rPr>
            </w:pPr>
            <w:r w:rsidRPr="00C85B3E">
              <w:rPr>
                <w:sz w:val="20"/>
              </w:rPr>
              <w:t>DSNA-DTI, France</w:t>
            </w:r>
          </w:p>
        </w:tc>
        <w:tc>
          <w:tcPr>
            <w:tcW w:w="3711" w:type="dxa"/>
            <w:shd w:val="clear" w:color="auto" w:fill="FFFFFF" w:themeFill="background1"/>
            <w:vAlign w:val="center"/>
          </w:tcPr>
          <w:p w:rsidR="00442CB3" w:rsidRPr="00C85B3E" w:rsidRDefault="00442CB3" w:rsidP="00D1096A">
            <w:pPr>
              <w:rPr>
                <w:sz w:val="20"/>
              </w:rPr>
            </w:pPr>
            <w:r w:rsidRPr="00C85B3E">
              <w:rPr>
                <w:sz w:val="20"/>
              </w:rPr>
              <w:t>pierre.ladoux@aviation-civile.gouv.fr</w:t>
            </w:r>
          </w:p>
        </w:tc>
      </w:tr>
      <w:tr w:rsidR="00442CB3" w:rsidRPr="00CF7E2D" w:rsidTr="00D1096A">
        <w:trPr>
          <w:trHeight w:val="615"/>
          <w:jc w:val="right"/>
        </w:trPr>
        <w:tc>
          <w:tcPr>
            <w:tcW w:w="1980" w:type="dxa"/>
            <w:shd w:val="clear" w:color="auto" w:fill="FFFFFF" w:themeFill="background1"/>
            <w:vAlign w:val="center"/>
          </w:tcPr>
          <w:p w:rsidR="00442CB3" w:rsidRPr="000F5CB7" w:rsidRDefault="00442CB3" w:rsidP="00D1096A">
            <w:pPr>
              <w:rPr>
                <w:sz w:val="20"/>
              </w:rPr>
            </w:pPr>
            <w:r w:rsidRPr="000F5CB7">
              <w:rPr>
                <w:sz w:val="20"/>
              </w:rPr>
              <w:t>Robert Witzen</w:t>
            </w:r>
          </w:p>
        </w:tc>
        <w:tc>
          <w:tcPr>
            <w:tcW w:w="1276" w:type="dxa"/>
            <w:shd w:val="clear" w:color="auto" w:fill="FFFFFF" w:themeFill="background1"/>
            <w:vAlign w:val="center"/>
          </w:tcPr>
          <w:p w:rsidR="00442CB3" w:rsidRPr="000F5CB7" w:rsidRDefault="00442CB3" w:rsidP="00D1096A">
            <w:pPr>
              <w:rPr>
                <w:sz w:val="20"/>
              </w:rPr>
            </w:pPr>
            <w:r w:rsidRPr="000F5CB7">
              <w:rPr>
                <w:sz w:val="20"/>
              </w:rPr>
              <w:t>F</w:t>
            </w:r>
          </w:p>
        </w:tc>
        <w:tc>
          <w:tcPr>
            <w:tcW w:w="1842" w:type="dxa"/>
            <w:shd w:val="clear" w:color="auto" w:fill="FFFFFF" w:themeFill="background1"/>
            <w:vAlign w:val="center"/>
          </w:tcPr>
          <w:p w:rsidR="00442CB3" w:rsidRPr="000F5CB7" w:rsidRDefault="00442CB3" w:rsidP="00D1096A">
            <w:pPr>
              <w:rPr>
                <w:sz w:val="20"/>
              </w:rPr>
            </w:pPr>
            <w:r w:rsidRPr="000F5CB7">
              <w:rPr>
                <w:sz w:val="20"/>
              </w:rPr>
              <w:t>ICAO</w:t>
            </w:r>
          </w:p>
        </w:tc>
        <w:tc>
          <w:tcPr>
            <w:tcW w:w="3711" w:type="dxa"/>
            <w:shd w:val="clear" w:color="auto" w:fill="FFFFFF" w:themeFill="background1"/>
            <w:vAlign w:val="center"/>
          </w:tcPr>
          <w:p w:rsidR="00442CB3" w:rsidRPr="000F5CB7" w:rsidRDefault="00442CB3" w:rsidP="00D1096A">
            <w:pPr>
              <w:rPr>
                <w:sz w:val="20"/>
              </w:rPr>
            </w:pPr>
            <w:r w:rsidRPr="000F5CB7">
              <w:rPr>
                <w:sz w:val="20"/>
              </w:rPr>
              <w:t>r.witzen@videotron.ca</w:t>
            </w:r>
          </w:p>
        </w:tc>
      </w:tr>
      <w:tr w:rsidR="00442CB3" w:rsidRPr="00CF7E2D" w:rsidTr="00D1096A">
        <w:trPr>
          <w:trHeight w:val="615"/>
          <w:jc w:val="right"/>
        </w:trPr>
        <w:tc>
          <w:tcPr>
            <w:tcW w:w="1980" w:type="dxa"/>
            <w:vAlign w:val="center"/>
          </w:tcPr>
          <w:p w:rsidR="00442CB3" w:rsidRPr="005626FD" w:rsidRDefault="00442CB3" w:rsidP="00D1096A">
            <w:pPr>
              <w:rPr>
                <w:sz w:val="20"/>
              </w:rPr>
            </w:pPr>
            <w:r>
              <w:rPr>
                <w:sz w:val="20"/>
              </w:rPr>
              <w:t>Tim Murphy</w:t>
            </w:r>
          </w:p>
        </w:tc>
        <w:tc>
          <w:tcPr>
            <w:tcW w:w="1276" w:type="dxa"/>
            <w:vAlign w:val="center"/>
          </w:tcPr>
          <w:p w:rsidR="00442CB3" w:rsidRPr="005626FD" w:rsidRDefault="00442CB3" w:rsidP="00D1096A">
            <w:pPr>
              <w:rPr>
                <w:sz w:val="20"/>
              </w:rPr>
            </w:pPr>
            <w:r>
              <w:rPr>
                <w:sz w:val="20"/>
              </w:rPr>
              <w:t>P</w:t>
            </w:r>
          </w:p>
        </w:tc>
        <w:tc>
          <w:tcPr>
            <w:tcW w:w="1842" w:type="dxa"/>
            <w:vAlign w:val="center"/>
          </w:tcPr>
          <w:p w:rsidR="00442CB3" w:rsidRPr="005626FD" w:rsidRDefault="00442CB3" w:rsidP="00D1096A">
            <w:pPr>
              <w:rPr>
                <w:sz w:val="20"/>
              </w:rPr>
            </w:pPr>
            <w:r w:rsidRPr="00EC4473">
              <w:rPr>
                <w:sz w:val="20"/>
              </w:rPr>
              <w:t>The Boeing Company, USA</w:t>
            </w:r>
          </w:p>
        </w:tc>
        <w:tc>
          <w:tcPr>
            <w:tcW w:w="3711" w:type="dxa"/>
            <w:vAlign w:val="center"/>
          </w:tcPr>
          <w:p w:rsidR="00442CB3" w:rsidRPr="005626FD" w:rsidRDefault="00442CB3" w:rsidP="00D1096A">
            <w:pPr>
              <w:rPr>
                <w:sz w:val="20"/>
              </w:rPr>
            </w:pPr>
            <w:r w:rsidRPr="00EC192D">
              <w:rPr>
                <w:sz w:val="20"/>
              </w:rPr>
              <w:t>tim.murphy@boeing.com</w:t>
            </w:r>
          </w:p>
        </w:tc>
      </w:tr>
      <w:tr w:rsidR="00442CB3" w:rsidRPr="00CF7E2D" w:rsidTr="00D1096A">
        <w:trPr>
          <w:trHeight w:val="615"/>
          <w:jc w:val="right"/>
        </w:trPr>
        <w:tc>
          <w:tcPr>
            <w:tcW w:w="1980" w:type="dxa"/>
            <w:shd w:val="clear" w:color="auto" w:fill="FFFFFF" w:themeFill="background1"/>
            <w:vAlign w:val="center"/>
          </w:tcPr>
          <w:p w:rsidR="00442CB3" w:rsidRPr="005626FD" w:rsidRDefault="00442CB3" w:rsidP="00D1096A">
            <w:pPr>
              <w:rPr>
                <w:sz w:val="20"/>
              </w:rPr>
            </w:pPr>
            <w:r>
              <w:rPr>
                <w:sz w:val="20"/>
              </w:rPr>
              <w:t>Yuji Harada</w:t>
            </w:r>
          </w:p>
        </w:tc>
        <w:tc>
          <w:tcPr>
            <w:tcW w:w="1276" w:type="dxa"/>
            <w:shd w:val="clear" w:color="auto" w:fill="FFFFFF" w:themeFill="background1"/>
            <w:vAlign w:val="center"/>
          </w:tcPr>
          <w:p w:rsidR="00442CB3" w:rsidRPr="005626FD" w:rsidRDefault="00442CB3" w:rsidP="00D1096A">
            <w:pPr>
              <w:rPr>
                <w:sz w:val="20"/>
              </w:rPr>
            </w:pPr>
            <w:r>
              <w:rPr>
                <w:sz w:val="20"/>
              </w:rPr>
              <w:t>F</w:t>
            </w:r>
          </w:p>
        </w:tc>
        <w:tc>
          <w:tcPr>
            <w:tcW w:w="1842" w:type="dxa"/>
            <w:shd w:val="clear" w:color="auto" w:fill="FFFFFF" w:themeFill="background1"/>
            <w:vAlign w:val="center"/>
          </w:tcPr>
          <w:p w:rsidR="00442CB3" w:rsidRPr="005626FD" w:rsidRDefault="00442CB3" w:rsidP="00D1096A">
            <w:pPr>
              <w:rPr>
                <w:sz w:val="20"/>
              </w:rPr>
            </w:pPr>
            <w:r>
              <w:rPr>
                <w:sz w:val="20"/>
              </w:rPr>
              <w:t>JCAB Japan</w:t>
            </w:r>
          </w:p>
        </w:tc>
        <w:tc>
          <w:tcPr>
            <w:tcW w:w="3711" w:type="dxa"/>
            <w:shd w:val="clear" w:color="auto" w:fill="FFFFFF" w:themeFill="background1"/>
            <w:vAlign w:val="center"/>
          </w:tcPr>
          <w:p w:rsidR="00442CB3" w:rsidRPr="005626FD" w:rsidRDefault="00442CB3" w:rsidP="00D1096A">
            <w:pPr>
              <w:rPr>
                <w:sz w:val="20"/>
              </w:rPr>
            </w:pPr>
            <w:r>
              <w:rPr>
                <w:sz w:val="20"/>
              </w:rPr>
              <w:t>harada-y486w@milt.go.jp</w:t>
            </w:r>
          </w:p>
        </w:tc>
      </w:tr>
      <w:tr w:rsidR="00442CB3" w:rsidRPr="00CF7E2D" w:rsidTr="00D1096A">
        <w:trPr>
          <w:trHeight w:val="615"/>
          <w:jc w:val="right"/>
        </w:trPr>
        <w:tc>
          <w:tcPr>
            <w:tcW w:w="1980" w:type="dxa"/>
            <w:shd w:val="clear" w:color="auto" w:fill="FFFFFF" w:themeFill="background1"/>
            <w:vAlign w:val="center"/>
          </w:tcPr>
          <w:p w:rsidR="00442CB3" w:rsidRDefault="00442CB3" w:rsidP="00D1096A">
            <w:pPr>
              <w:rPr>
                <w:sz w:val="20"/>
              </w:rPr>
            </w:pPr>
            <w:r w:rsidRPr="001A7D13">
              <w:rPr>
                <w:sz w:val="20"/>
              </w:rPr>
              <w:t>Yoshihiko Matsuzawa</w:t>
            </w:r>
          </w:p>
        </w:tc>
        <w:tc>
          <w:tcPr>
            <w:tcW w:w="1276" w:type="dxa"/>
            <w:shd w:val="clear" w:color="auto" w:fill="FFFFFF" w:themeFill="background1"/>
            <w:vAlign w:val="center"/>
          </w:tcPr>
          <w:p w:rsidR="00442CB3" w:rsidDel="001A7D13" w:rsidRDefault="00442CB3" w:rsidP="00D1096A">
            <w:pPr>
              <w:rPr>
                <w:sz w:val="20"/>
              </w:rPr>
            </w:pPr>
            <w:r>
              <w:rPr>
                <w:sz w:val="20"/>
              </w:rPr>
              <w:t>F</w:t>
            </w:r>
          </w:p>
        </w:tc>
        <w:tc>
          <w:tcPr>
            <w:tcW w:w="1842" w:type="dxa"/>
            <w:shd w:val="clear" w:color="auto" w:fill="FFFFFF" w:themeFill="background1"/>
            <w:vAlign w:val="center"/>
          </w:tcPr>
          <w:p w:rsidR="00442CB3" w:rsidRDefault="00442CB3" w:rsidP="00D1096A">
            <w:pPr>
              <w:rPr>
                <w:sz w:val="20"/>
              </w:rPr>
            </w:pPr>
            <w:r>
              <w:rPr>
                <w:sz w:val="20"/>
              </w:rPr>
              <w:t>NEC, Japan</w:t>
            </w:r>
          </w:p>
        </w:tc>
        <w:tc>
          <w:tcPr>
            <w:tcW w:w="3711" w:type="dxa"/>
            <w:shd w:val="clear" w:color="auto" w:fill="FFFFFF" w:themeFill="background1"/>
            <w:vAlign w:val="center"/>
          </w:tcPr>
          <w:p w:rsidR="00442CB3" w:rsidRDefault="00BC5E5E" w:rsidP="00D1096A">
            <w:pPr>
              <w:rPr>
                <w:sz w:val="20"/>
              </w:rPr>
            </w:pPr>
            <w:hyperlink r:id="rId15" w:history="1">
              <w:r w:rsidR="00442CB3" w:rsidRPr="00FD4B53">
                <w:rPr>
                  <w:sz w:val="20"/>
                </w:rPr>
                <w:t>y-matsuzawa@cj.jp.nec.com</w:t>
              </w:r>
            </w:hyperlink>
          </w:p>
        </w:tc>
      </w:tr>
      <w:tr w:rsidR="00442CB3" w:rsidRPr="00CF7E2D" w:rsidTr="00D1096A">
        <w:trPr>
          <w:trHeight w:val="615"/>
          <w:jc w:val="right"/>
        </w:trPr>
        <w:tc>
          <w:tcPr>
            <w:tcW w:w="8809" w:type="dxa"/>
            <w:gridSpan w:val="4"/>
            <w:vAlign w:val="center"/>
          </w:tcPr>
          <w:p w:rsidR="00442CB3" w:rsidRPr="00EC4473" w:rsidRDefault="00442CB3" w:rsidP="00D1096A">
            <w:pPr>
              <w:rPr>
                <w:sz w:val="20"/>
              </w:rPr>
            </w:pPr>
            <w:r w:rsidRPr="00EC4473">
              <w:rPr>
                <w:sz w:val="20"/>
              </w:rPr>
              <w:t>The following members of the GBAS Working Group (GWG) participated to the discussion of GBAS VDB-related papers via teleconference (WebEx):</w:t>
            </w:r>
          </w:p>
        </w:tc>
      </w:tr>
      <w:tr w:rsidR="00442CB3" w:rsidRPr="00CF7E2D" w:rsidTr="00D1096A">
        <w:trPr>
          <w:trHeight w:val="615"/>
          <w:jc w:val="right"/>
        </w:trPr>
        <w:tc>
          <w:tcPr>
            <w:tcW w:w="1980" w:type="dxa"/>
            <w:vAlign w:val="center"/>
          </w:tcPr>
          <w:p w:rsidR="00442CB3" w:rsidRPr="00555343" w:rsidRDefault="00442CB3" w:rsidP="00D1096A">
            <w:pPr>
              <w:rPr>
                <w:sz w:val="20"/>
              </w:rPr>
            </w:pPr>
            <w:r w:rsidRPr="00555343">
              <w:rPr>
                <w:sz w:val="20"/>
              </w:rPr>
              <w:t>Andreas Lipp</w:t>
            </w:r>
          </w:p>
        </w:tc>
        <w:tc>
          <w:tcPr>
            <w:tcW w:w="1276" w:type="dxa"/>
            <w:vAlign w:val="center"/>
          </w:tcPr>
          <w:p w:rsidR="00442CB3" w:rsidRPr="00555343" w:rsidRDefault="00442CB3" w:rsidP="00D1096A">
            <w:pPr>
              <w:rPr>
                <w:sz w:val="20"/>
              </w:rPr>
            </w:pPr>
            <w:r w:rsidRPr="00555343">
              <w:rPr>
                <w:sz w:val="20"/>
              </w:rPr>
              <w:t>P</w:t>
            </w:r>
          </w:p>
        </w:tc>
        <w:tc>
          <w:tcPr>
            <w:tcW w:w="1842" w:type="dxa"/>
            <w:vAlign w:val="center"/>
          </w:tcPr>
          <w:p w:rsidR="00442CB3" w:rsidRPr="00555343" w:rsidRDefault="00442CB3" w:rsidP="00D1096A">
            <w:pPr>
              <w:rPr>
                <w:sz w:val="20"/>
              </w:rPr>
            </w:pPr>
            <w:r w:rsidRPr="00555343">
              <w:rPr>
                <w:sz w:val="20"/>
              </w:rPr>
              <w:t>Eurocontrol</w:t>
            </w:r>
          </w:p>
        </w:tc>
        <w:tc>
          <w:tcPr>
            <w:tcW w:w="3711" w:type="dxa"/>
            <w:vAlign w:val="center"/>
          </w:tcPr>
          <w:p w:rsidR="00442CB3" w:rsidRPr="00555343" w:rsidRDefault="00442CB3" w:rsidP="00D1096A">
            <w:pPr>
              <w:rPr>
                <w:sz w:val="20"/>
              </w:rPr>
            </w:pPr>
            <w:r w:rsidRPr="00555343">
              <w:rPr>
                <w:sz w:val="20"/>
              </w:rPr>
              <w:t>Andreas.Lipp@eurocontrol.int</w:t>
            </w:r>
          </w:p>
        </w:tc>
      </w:tr>
      <w:tr w:rsidR="00442CB3" w:rsidRPr="00CF7E2D" w:rsidTr="00D1096A">
        <w:trPr>
          <w:trHeight w:val="615"/>
          <w:jc w:val="right"/>
        </w:trPr>
        <w:tc>
          <w:tcPr>
            <w:tcW w:w="1980" w:type="dxa"/>
            <w:vAlign w:val="center"/>
          </w:tcPr>
          <w:p w:rsidR="00442CB3" w:rsidRPr="00555343" w:rsidRDefault="00442CB3" w:rsidP="00D1096A">
            <w:pPr>
              <w:rPr>
                <w:sz w:val="20"/>
              </w:rPr>
            </w:pPr>
            <w:r w:rsidRPr="00555343">
              <w:rPr>
                <w:sz w:val="20"/>
              </w:rPr>
              <w:t>Joel Wichgers</w:t>
            </w:r>
          </w:p>
          <w:p w:rsidR="00442CB3" w:rsidRPr="00555343" w:rsidRDefault="00442CB3" w:rsidP="00D1096A">
            <w:pPr>
              <w:rPr>
                <w:sz w:val="20"/>
              </w:rPr>
            </w:pPr>
          </w:p>
        </w:tc>
        <w:tc>
          <w:tcPr>
            <w:tcW w:w="1276" w:type="dxa"/>
            <w:vAlign w:val="center"/>
          </w:tcPr>
          <w:p w:rsidR="00442CB3" w:rsidRPr="00555343" w:rsidRDefault="00442CB3" w:rsidP="00D1096A">
            <w:pPr>
              <w:rPr>
                <w:sz w:val="20"/>
              </w:rPr>
            </w:pPr>
            <w:r w:rsidRPr="00555343">
              <w:rPr>
                <w:sz w:val="20"/>
              </w:rPr>
              <w:t>P</w:t>
            </w:r>
          </w:p>
        </w:tc>
        <w:tc>
          <w:tcPr>
            <w:tcW w:w="1842" w:type="dxa"/>
            <w:vAlign w:val="center"/>
          </w:tcPr>
          <w:p w:rsidR="00442CB3" w:rsidRPr="00555343" w:rsidRDefault="00442CB3" w:rsidP="00D1096A">
            <w:pPr>
              <w:rPr>
                <w:sz w:val="20"/>
              </w:rPr>
            </w:pPr>
            <w:r w:rsidRPr="00555343">
              <w:rPr>
                <w:sz w:val="20"/>
              </w:rPr>
              <w:t>Collins</w:t>
            </w:r>
            <w:r>
              <w:rPr>
                <w:sz w:val="20"/>
              </w:rPr>
              <w:t xml:space="preserve"> Aerospace</w:t>
            </w:r>
          </w:p>
        </w:tc>
        <w:tc>
          <w:tcPr>
            <w:tcW w:w="3711" w:type="dxa"/>
            <w:vAlign w:val="center"/>
          </w:tcPr>
          <w:p w:rsidR="00442CB3" w:rsidRPr="00555343" w:rsidRDefault="00BC5E5E" w:rsidP="00D1096A">
            <w:pPr>
              <w:rPr>
                <w:sz w:val="20"/>
              </w:rPr>
            </w:pPr>
            <w:hyperlink r:id="rId16" w:history="1">
              <w:r w:rsidR="00442CB3" w:rsidRPr="00FD4B53">
                <w:rPr>
                  <w:sz w:val="20"/>
                </w:rPr>
                <w:t>Joel.Wichgers@collins</w:t>
              </w:r>
            </w:hyperlink>
            <w:r w:rsidR="00442CB3" w:rsidRPr="00555343">
              <w:rPr>
                <w:sz w:val="20"/>
              </w:rPr>
              <w:t>.com</w:t>
            </w:r>
          </w:p>
        </w:tc>
      </w:tr>
      <w:tr w:rsidR="00442CB3" w:rsidRPr="00CF7E2D" w:rsidTr="00D1096A">
        <w:trPr>
          <w:trHeight w:val="615"/>
          <w:jc w:val="right"/>
        </w:trPr>
        <w:tc>
          <w:tcPr>
            <w:tcW w:w="1980" w:type="dxa"/>
            <w:vAlign w:val="center"/>
          </w:tcPr>
          <w:p w:rsidR="00442CB3" w:rsidRPr="00555343" w:rsidRDefault="00442CB3" w:rsidP="00D1096A">
            <w:pPr>
              <w:rPr>
                <w:sz w:val="20"/>
              </w:rPr>
            </w:pPr>
            <w:r w:rsidRPr="00B2029F">
              <w:rPr>
                <w:sz w:val="20"/>
              </w:rPr>
              <w:t>Mark R. Dickinson</w:t>
            </w:r>
            <w:r w:rsidRPr="00B2029F" w:rsidDel="00B2029F">
              <w:rPr>
                <w:sz w:val="20"/>
              </w:rPr>
              <w:t xml:space="preserve"> </w:t>
            </w:r>
          </w:p>
        </w:tc>
        <w:tc>
          <w:tcPr>
            <w:tcW w:w="1276" w:type="dxa"/>
            <w:vAlign w:val="center"/>
          </w:tcPr>
          <w:p w:rsidR="00442CB3" w:rsidRPr="00555343" w:rsidRDefault="00442CB3" w:rsidP="00D1096A">
            <w:pPr>
              <w:rPr>
                <w:sz w:val="20"/>
              </w:rPr>
            </w:pPr>
            <w:r w:rsidRPr="00555343">
              <w:rPr>
                <w:sz w:val="20"/>
              </w:rPr>
              <w:t>P</w:t>
            </w:r>
          </w:p>
        </w:tc>
        <w:tc>
          <w:tcPr>
            <w:tcW w:w="1842" w:type="dxa"/>
            <w:vAlign w:val="center"/>
          </w:tcPr>
          <w:p w:rsidR="00442CB3" w:rsidRPr="00555343" w:rsidRDefault="00442CB3" w:rsidP="00D1096A">
            <w:pPr>
              <w:rPr>
                <w:sz w:val="20"/>
              </w:rPr>
            </w:pPr>
            <w:r w:rsidRPr="00555343">
              <w:rPr>
                <w:sz w:val="20"/>
              </w:rPr>
              <w:t>FAA</w:t>
            </w:r>
          </w:p>
        </w:tc>
        <w:tc>
          <w:tcPr>
            <w:tcW w:w="3711" w:type="dxa"/>
            <w:vAlign w:val="center"/>
          </w:tcPr>
          <w:p w:rsidR="00442CB3" w:rsidRPr="00555343" w:rsidRDefault="00442CB3" w:rsidP="00D1096A">
            <w:pPr>
              <w:rPr>
                <w:sz w:val="20"/>
              </w:rPr>
            </w:pPr>
            <w:r w:rsidRPr="00555343">
              <w:rPr>
                <w:sz w:val="20"/>
              </w:rPr>
              <w:t>Mark.Dickinson@faa.gov</w:t>
            </w:r>
          </w:p>
        </w:tc>
      </w:tr>
      <w:tr w:rsidR="00442CB3" w:rsidRPr="00CF7E2D" w:rsidTr="00D1096A">
        <w:trPr>
          <w:trHeight w:val="615"/>
          <w:jc w:val="right"/>
        </w:trPr>
        <w:tc>
          <w:tcPr>
            <w:tcW w:w="1980" w:type="dxa"/>
            <w:vAlign w:val="center"/>
          </w:tcPr>
          <w:p w:rsidR="00442CB3" w:rsidRPr="00555343" w:rsidRDefault="00442CB3" w:rsidP="00D1096A">
            <w:pPr>
              <w:rPr>
                <w:sz w:val="20"/>
              </w:rPr>
            </w:pPr>
            <w:r w:rsidRPr="00555343">
              <w:rPr>
                <w:sz w:val="20"/>
              </w:rPr>
              <w:t>Susumu Saito</w:t>
            </w:r>
          </w:p>
        </w:tc>
        <w:tc>
          <w:tcPr>
            <w:tcW w:w="1276" w:type="dxa"/>
            <w:vAlign w:val="center"/>
          </w:tcPr>
          <w:p w:rsidR="00442CB3" w:rsidRPr="00555343" w:rsidRDefault="00442CB3" w:rsidP="00D1096A">
            <w:pPr>
              <w:rPr>
                <w:sz w:val="20"/>
              </w:rPr>
            </w:pPr>
            <w:r w:rsidRPr="00555343">
              <w:rPr>
                <w:sz w:val="20"/>
              </w:rPr>
              <w:t>P</w:t>
            </w:r>
          </w:p>
        </w:tc>
        <w:tc>
          <w:tcPr>
            <w:tcW w:w="1842" w:type="dxa"/>
            <w:vAlign w:val="center"/>
          </w:tcPr>
          <w:p w:rsidR="00442CB3" w:rsidRPr="00555343" w:rsidRDefault="00442CB3" w:rsidP="00D1096A">
            <w:pPr>
              <w:rPr>
                <w:sz w:val="20"/>
              </w:rPr>
            </w:pPr>
            <w:r w:rsidRPr="00555343">
              <w:rPr>
                <w:sz w:val="20"/>
              </w:rPr>
              <w:t>ENRI, Japan</w:t>
            </w:r>
          </w:p>
        </w:tc>
        <w:tc>
          <w:tcPr>
            <w:tcW w:w="3711" w:type="dxa"/>
            <w:vAlign w:val="center"/>
          </w:tcPr>
          <w:p w:rsidR="00442CB3" w:rsidRPr="00555343" w:rsidRDefault="00442CB3" w:rsidP="00D1096A">
            <w:pPr>
              <w:rPr>
                <w:sz w:val="20"/>
              </w:rPr>
            </w:pPr>
            <w:r w:rsidRPr="00555343">
              <w:rPr>
                <w:sz w:val="20"/>
              </w:rPr>
              <w:t>susaito@enri.go.jp</w:t>
            </w:r>
          </w:p>
        </w:tc>
      </w:tr>
    </w:tbl>
    <w:p w:rsidR="00442CB3" w:rsidRDefault="00442CB3" w:rsidP="00442CB3">
      <w:pPr>
        <w:rPr>
          <w:b/>
          <w:bCs/>
        </w:rPr>
      </w:pPr>
      <w:r w:rsidRPr="00CF7E2D">
        <w:rPr>
          <w:b/>
          <w:bCs/>
        </w:rPr>
        <w:br w:type="page"/>
      </w:r>
    </w:p>
    <w:p w:rsidR="00442CB3" w:rsidRDefault="00442CB3" w:rsidP="00442CB3">
      <w:pPr>
        <w:rPr>
          <w:b/>
          <w:bCs/>
        </w:rPr>
      </w:pPr>
      <w:r>
        <w:rPr>
          <w:b/>
          <w:bCs/>
        </w:rPr>
        <w:lastRenderedPageBreak/>
        <w:t>E-Mail List of SWG/8-participants:</w:t>
      </w:r>
    </w:p>
    <w:p w:rsidR="00442CB3" w:rsidRPr="00F80FF3" w:rsidRDefault="00BC5E5E" w:rsidP="00442CB3">
      <w:pPr>
        <w:jc w:val="left"/>
        <w:rPr>
          <w:rStyle w:val="Hyperlink"/>
          <w:sz w:val="20"/>
        </w:rPr>
      </w:pPr>
      <w:hyperlink r:id="rId17" w:history="1">
        <w:r w:rsidR="00442CB3" w:rsidRPr="000D3974">
          <w:rPr>
            <w:rStyle w:val="Hyperlink"/>
            <w:sz w:val="20"/>
          </w:rPr>
          <w:t>ACapretti@icao.int;Felix.Butsch@dfs.de;gerhard.berz@eurocontrol.int;jules.hermens@ilent.nl;bkdhamu@aai.aero;michael.biggs@faa.gov;pierre.ladoux@aviation-civile.gouv.fr;r.witzen@videotron.ca</w:t>
        </w:r>
      </w:hyperlink>
      <w:r w:rsidR="00442CB3" w:rsidRPr="00F80FF3">
        <w:rPr>
          <w:rStyle w:val="Hyperlink"/>
          <w:sz w:val="20"/>
        </w:rPr>
        <w:t>;</w:t>
      </w:r>
      <w:r w:rsidR="00442CB3">
        <w:rPr>
          <w:rStyle w:val="Hyperlink"/>
          <w:sz w:val="20"/>
        </w:rPr>
        <w:t xml:space="preserve"> </w:t>
      </w:r>
      <w:hyperlink r:id="rId18" w:history="1">
        <w:r w:rsidR="00442CB3" w:rsidRPr="004C5C8F">
          <w:rPr>
            <w:rStyle w:val="Hyperlink"/>
            <w:sz w:val="20"/>
          </w:rPr>
          <w:t xml:space="preserve"> Daniel.Domey@cmcelectronics.ca;harada-y486w@mlit.go.jp;jiayi1983@sina.cn</w:t>
        </w:r>
      </w:hyperlink>
      <w:r w:rsidR="00442CB3">
        <w:rPr>
          <w:rStyle w:val="Hyperlink"/>
          <w:sz w:val="20"/>
        </w:rPr>
        <w:t>;</w:t>
      </w:r>
      <w:r w:rsidR="00442CB3" w:rsidRPr="00FB6EB4">
        <w:rPr>
          <w:rStyle w:val="Hyperlink"/>
          <w:sz w:val="20"/>
        </w:rPr>
        <w:t xml:space="preserve"> </w:t>
      </w:r>
      <w:hyperlink r:id="rId19" w:history="1">
        <w:r w:rsidR="00442CB3" w:rsidRPr="00DB43CF">
          <w:rPr>
            <w:rStyle w:val="Hyperlink"/>
            <w:sz w:val="20"/>
          </w:rPr>
          <w:t>y-matsuzawa@cj.jp.nec.com</w:t>
        </w:r>
      </w:hyperlink>
      <w:r w:rsidR="00442CB3" w:rsidRPr="00DB43CF">
        <w:rPr>
          <w:rStyle w:val="Hyperlink"/>
          <w:sz w:val="20"/>
        </w:rPr>
        <w:t xml:space="preserve">; </w:t>
      </w:r>
      <w:hyperlink r:id="rId20" w:history="1">
        <w:r w:rsidR="00442CB3" w:rsidRPr="00FB6EB4">
          <w:rPr>
            <w:rStyle w:val="Hyperlink"/>
            <w:sz w:val="20"/>
          </w:rPr>
          <w:t>Ken.Alexander@faa.gov</w:t>
        </w:r>
      </w:hyperlink>
      <w:r w:rsidR="00442CB3" w:rsidRPr="00FB6EB4">
        <w:rPr>
          <w:rStyle w:val="Hyperlink"/>
          <w:sz w:val="20"/>
        </w:rPr>
        <w:t xml:space="preserve">; </w:t>
      </w:r>
      <w:r w:rsidR="00442CB3" w:rsidRPr="00EC192D">
        <w:rPr>
          <w:rStyle w:val="Hyperlink"/>
          <w:sz w:val="20"/>
        </w:rPr>
        <w:t>tim.murphy@boeing.com</w:t>
      </w:r>
      <w:r w:rsidR="00442CB3">
        <w:rPr>
          <w:rStyle w:val="Hyperlink"/>
          <w:sz w:val="20"/>
        </w:rPr>
        <w:t>;</w:t>
      </w:r>
      <w:hyperlink r:id="rId21" w:history="1">
        <w:r w:rsidR="00442CB3" w:rsidRPr="001225F7">
          <w:rPr>
            <w:rStyle w:val="Hyperlink"/>
            <w:sz w:val="20"/>
          </w:rPr>
          <w:t>Joel.Wichgers@collins.com</w:t>
        </w:r>
      </w:hyperlink>
      <w:r w:rsidR="00442CB3">
        <w:rPr>
          <w:rStyle w:val="Hyperlink"/>
          <w:sz w:val="20"/>
        </w:rPr>
        <w:t xml:space="preserve">; </w:t>
      </w:r>
      <w:hyperlink r:id="rId22" w:history="1">
        <w:r w:rsidR="00442CB3" w:rsidRPr="0029340B">
          <w:rPr>
            <w:rStyle w:val="Hyperlink"/>
            <w:sz w:val="20"/>
          </w:rPr>
          <w:t>Andreas.Lipp@eurocontrol.int</w:t>
        </w:r>
      </w:hyperlink>
      <w:r w:rsidR="00442CB3">
        <w:rPr>
          <w:rStyle w:val="Hyperlink"/>
          <w:sz w:val="20"/>
        </w:rPr>
        <w:t xml:space="preserve">; </w:t>
      </w:r>
      <w:r w:rsidR="00442CB3" w:rsidRPr="00EC192D">
        <w:rPr>
          <w:rStyle w:val="Hyperlink"/>
          <w:sz w:val="20"/>
        </w:rPr>
        <w:t>Mark.Dickinson@faa.gov</w:t>
      </w:r>
      <w:r w:rsidR="00442CB3">
        <w:rPr>
          <w:rStyle w:val="Hyperlink"/>
          <w:sz w:val="20"/>
        </w:rPr>
        <w:t>;</w:t>
      </w:r>
      <w:r w:rsidR="00442CB3" w:rsidRPr="00EC192D">
        <w:rPr>
          <w:rStyle w:val="Hyperlink"/>
          <w:sz w:val="20"/>
        </w:rPr>
        <w:t>susaito@enri.go.jp</w:t>
      </w:r>
    </w:p>
    <w:p w:rsidR="00442CB3" w:rsidRDefault="00442CB3" w:rsidP="00442CB3">
      <w:pPr>
        <w:rPr>
          <w:b/>
          <w:bCs/>
        </w:rPr>
      </w:pPr>
    </w:p>
    <w:p w:rsidR="00442CB3" w:rsidRDefault="00442CB3" w:rsidP="00442CB3">
      <w:pPr>
        <w:rPr>
          <w:b/>
          <w:bCs/>
        </w:rPr>
      </w:pPr>
    </w:p>
    <w:p w:rsidR="00442CB3" w:rsidRPr="00CF7E2D" w:rsidRDefault="00442CB3" w:rsidP="00442CB3">
      <w:pPr>
        <w:rPr>
          <w:b/>
          <w:bCs/>
        </w:rPr>
      </w:pPr>
      <w:r w:rsidRPr="00CF7E2D">
        <w:rPr>
          <w:b/>
          <w:bCs/>
        </w:rPr>
        <w:t>E-mail Distribution List of SWG:</w:t>
      </w:r>
    </w:p>
    <w:p w:rsidR="00442CB3" w:rsidRPr="00E9598D" w:rsidRDefault="00BC5E5E" w:rsidP="00442CB3">
      <w:pPr>
        <w:jc w:val="left"/>
        <w:rPr>
          <w:rStyle w:val="Hyperlink"/>
          <w:sz w:val="20"/>
        </w:rPr>
      </w:pPr>
      <w:hyperlink r:id="rId23" w:history="1">
        <w:r w:rsidR="00442CB3" w:rsidRPr="004C5C8F">
          <w:rPr>
            <w:rStyle w:val="Hyperlink"/>
            <w:sz w:val="20"/>
          </w:rPr>
          <w:t>Andreas.Lipp@eurocontrol.int;gerhard.berz@eurocontrol.int;barbara.clark@faa.gov; Bruce.Johnson@honeywell.com;tim.murphy@boeing.com;chegarty@mitre.org;Michael.Biggs@FAA.gov; Mark.Dickinson@FAA.gov;Joel.Wichgers@collins.com; Daniel.Domey@cmcelectronics.ca; rcassell@systems-enginuity.com;Orville.Nyhus@honeywell.com; Joel.Wichgers@collins.com; Adrian.Hiliuta@cmcelectronics.ca; Laurent.AZOULAI@airbus.com;Mike.Spanner@NATS.co.uk; John.dyson@nats.co.uk;jules.hermens@ilent.nl; Markelov@atminst.ru;aronov@geyser-telecom.ru;susaito@enri.go.jp;ono-t178@jransa.or.jp; wangzhipeng@buaa.edu.cn; wangwei_caac@sina.com; qinzhi@atmb.net.cn;xujiawei@atmb.org;shixiaofeng@buaa.edu.cn;liziji@atmb.net.cn;gao_shu@caas.gov.sg;lo_weng_kee@caas.gov.sg;simon.reynolds@airservicesaustralia.com;matthew.kelly@airservicesaustralia.com; christophe.dehaynain@aviation-civile.gouv.fr;pierre.ladoux@aviation-civile.gouv.fr</w:t>
        </w:r>
      </w:hyperlink>
      <w:r w:rsidR="00442CB3" w:rsidRPr="00E9598D">
        <w:rPr>
          <w:rStyle w:val="Hyperlink"/>
          <w:sz w:val="20"/>
        </w:rPr>
        <w:t>;</w:t>
      </w:r>
      <w:r w:rsidR="00442CB3">
        <w:rPr>
          <w:rStyle w:val="Hyperlink"/>
          <w:sz w:val="20"/>
        </w:rPr>
        <w:t xml:space="preserve"> </w:t>
      </w:r>
      <w:hyperlink r:id="rId24" w:history="1">
        <w:r w:rsidR="00442CB3" w:rsidRPr="00A74755">
          <w:rPr>
            <w:rStyle w:val="Hyperlink"/>
            <w:sz w:val="20"/>
          </w:rPr>
          <w:t>Laurent.AZOULAI@airbus.com;y-matsuzawa@cj.jp.nec.com</w:t>
        </w:r>
      </w:hyperlink>
      <w:r w:rsidR="00442CB3" w:rsidRPr="00E9598D">
        <w:rPr>
          <w:rStyle w:val="Hyperlink"/>
          <w:sz w:val="20"/>
        </w:rPr>
        <w:t>;</w:t>
      </w:r>
      <w:r w:rsidR="00442CB3">
        <w:rPr>
          <w:rStyle w:val="Hyperlink"/>
          <w:sz w:val="20"/>
        </w:rPr>
        <w:t xml:space="preserve"> </w:t>
      </w:r>
      <w:hyperlink r:id="rId25" w:history="1">
        <w:r w:rsidR="00442CB3" w:rsidRPr="000A35C3">
          <w:rPr>
            <w:rStyle w:val="Hyperlink"/>
            <w:sz w:val="20"/>
          </w:rPr>
          <w:t>pansingh@aai.aero</w:t>
        </w:r>
      </w:hyperlink>
      <w:r w:rsidR="00442CB3" w:rsidRPr="00E9598D">
        <w:rPr>
          <w:rStyle w:val="Hyperlink"/>
          <w:sz w:val="20"/>
        </w:rPr>
        <w:t>;</w:t>
      </w:r>
      <w:r w:rsidR="00442CB3">
        <w:rPr>
          <w:rStyle w:val="Hyperlink"/>
          <w:sz w:val="20"/>
        </w:rPr>
        <w:t xml:space="preserve"> </w:t>
      </w:r>
      <w:hyperlink r:id="rId26" w:history="1">
        <w:r w:rsidR="00442CB3" w:rsidRPr="00DF5DEC">
          <w:rPr>
            <w:rStyle w:val="Hyperlink"/>
            <w:sz w:val="20"/>
          </w:rPr>
          <w:t>asyadav@aai.aero; imre.banyasz@hungarocontrol.hu</w:t>
        </w:r>
      </w:hyperlink>
      <w:r w:rsidR="00442CB3" w:rsidRPr="00E9598D">
        <w:rPr>
          <w:rStyle w:val="Hyperlink"/>
          <w:sz w:val="20"/>
        </w:rPr>
        <w:t>;</w:t>
      </w:r>
      <w:r w:rsidR="00442CB3">
        <w:rPr>
          <w:rStyle w:val="Hyperlink"/>
          <w:sz w:val="20"/>
        </w:rPr>
        <w:t xml:space="preserve"> </w:t>
      </w:r>
      <w:hyperlink r:id="rId27" w:history="1">
        <w:r w:rsidR="00442CB3" w:rsidRPr="0029340B">
          <w:rPr>
            <w:rStyle w:val="Hyperlink"/>
            <w:sz w:val="20"/>
          </w:rPr>
          <w:t>PRINGVANIN@IATA.ORG; winfried.dunkel@dfs.de; stefan.naerlich@dfs.de; r.witzen@videotron.ca;john.banks@adept-atm.com; Michael.Schnell@dlr.de</w:t>
        </w:r>
      </w:hyperlink>
      <w:r w:rsidR="00442CB3" w:rsidRPr="00E9598D">
        <w:rPr>
          <w:rStyle w:val="Hyperlink"/>
          <w:sz w:val="20"/>
        </w:rPr>
        <w:t>;</w:t>
      </w:r>
      <w:r w:rsidR="00442CB3">
        <w:rPr>
          <w:rStyle w:val="Hyperlink"/>
          <w:sz w:val="20"/>
        </w:rPr>
        <w:t xml:space="preserve"> </w:t>
      </w:r>
      <w:r w:rsidR="00442CB3" w:rsidRPr="00E9598D">
        <w:rPr>
          <w:rStyle w:val="Hyperlink"/>
          <w:sz w:val="20"/>
        </w:rPr>
        <w:t xml:space="preserve">nikolaos.fistas@eurocontrol.int; raffi.khatcherian@eurocontrol.int; </w:t>
      </w:r>
      <w:r w:rsidR="00442CB3" w:rsidRPr="0083113F">
        <w:rPr>
          <w:rStyle w:val="Hyperlink"/>
          <w:sz w:val="20"/>
        </w:rPr>
        <w:t>jose.roca@eurocontrol.int</w:t>
      </w:r>
      <w:r w:rsidR="00442CB3">
        <w:rPr>
          <w:rStyle w:val="Hyperlink"/>
          <w:sz w:val="20"/>
        </w:rPr>
        <w:t>;</w:t>
      </w:r>
      <w:r w:rsidR="00442CB3" w:rsidRPr="00BE640C">
        <w:rPr>
          <w:rStyle w:val="Hyperlink"/>
          <w:sz w:val="20"/>
        </w:rPr>
        <w:t xml:space="preserve"> RajivBadoni@AAI.AERO;y-matsuzawa@cj.jp.nec.com; </w:t>
      </w:r>
      <w:hyperlink r:id="rId28" w:history="1">
        <w:r w:rsidR="00442CB3" w:rsidRPr="00650332">
          <w:rPr>
            <w:rStyle w:val="Hyperlink"/>
            <w:sz w:val="20"/>
          </w:rPr>
          <w:t>liziji@atmb.net.cn;LJonasson@icao.int; MUtsunomiya@icao.int;bart.van-den-einden@eurocontrol.int; John.dyson@nats.co.uk</w:t>
        </w:r>
      </w:hyperlink>
      <w:r w:rsidR="00442CB3" w:rsidRPr="00BE640C">
        <w:rPr>
          <w:rStyle w:val="Hyperlink"/>
          <w:sz w:val="20"/>
        </w:rPr>
        <w:t>;</w:t>
      </w:r>
      <w:r w:rsidR="00442CB3">
        <w:rPr>
          <w:rStyle w:val="Hyperlink"/>
          <w:sz w:val="20"/>
        </w:rPr>
        <w:t xml:space="preserve"> </w:t>
      </w:r>
      <w:proofErr w:type="spellStart"/>
      <w:r w:rsidR="00442CB3" w:rsidRPr="00BE640C">
        <w:rPr>
          <w:rStyle w:val="Hyperlink"/>
          <w:sz w:val="20"/>
        </w:rPr>
        <w:t>bkdhamu@aai.aero</w:t>
      </w:r>
      <w:r w:rsidR="00442CB3">
        <w:rPr>
          <w:rStyle w:val="Hyperlink"/>
          <w:sz w:val="20"/>
        </w:rPr>
        <w:t>;</w:t>
      </w:r>
      <w:hyperlink r:id="rId29" w:history="1">
        <w:r w:rsidR="00442CB3" w:rsidRPr="0029340B">
          <w:rPr>
            <w:rStyle w:val="Hyperlink"/>
            <w:sz w:val="20"/>
          </w:rPr>
          <w:t>lo_weng_kee@caas.gov.sg</w:t>
        </w:r>
        <w:proofErr w:type="spellEnd"/>
        <w:r w:rsidR="00442CB3" w:rsidRPr="0029340B">
          <w:rPr>
            <w:rStyle w:val="Hyperlink"/>
            <w:sz w:val="20"/>
          </w:rPr>
          <w:t>; mahuaw@163.com</w:t>
        </w:r>
      </w:hyperlink>
      <w:r w:rsidR="00442CB3" w:rsidRPr="00BE640C">
        <w:rPr>
          <w:rStyle w:val="Hyperlink"/>
          <w:sz w:val="20"/>
        </w:rPr>
        <w:t>;</w:t>
      </w:r>
      <w:r w:rsidR="00442CB3">
        <w:rPr>
          <w:rStyle w:val="Hyperlink"/>
          <w:sz w:val="20"/>
        </w:rPr>
        <w:t xml:space="preserve"> </w:t>
      </w:r>
      <w:hyperlink r:id="rId30" w:history="1">
        <w:r w:rsidR="00442CB3" w:rsidRPr="00650332">
          <w:rPr>
            <w:rStyle w:val="Hyperlink"/>
            <w:sz w:val="20"/>
          </w:rPr>
          <w:t>maurizio.scaramuzza@skyguide.ch</w:t>
        </w:r>
      </w:hyperlink>
      <w:r w:rsidR="00442CB3" w:rsidRPr="00BE640C">
        <w:rPr>
          <w:rStyle w:val="Hyperlink"/>
          <w:sz w:val="20"/>
        </w:rPr>
        <w:t>;</w:t>
      </w:r>
      <w:r w:rsidR="00442CB3">
        <w:rPr>
          <w:rStyle w:val="Hyperlink"/>
          <w:sz w:val="20"/>
        </w:rPr>
        <w:t xml:space="preserve"> </w:t>
      </w:r>
      <w:r w:rsidR="00442CB3" w:rsidRPr="00BE640C">
        <w:rPr>
          <w:rStyle w:val="Hyperlink"/>
          <w:sz w:val="20"/>
        </w:rPr>
        <w:t>ojulien@recherche.enac.fr</w:t>
      </w:r>
      <w:r w:rsidR="00442CB3">
        <w:rPr>
          <w:rStyle w:val="Hyperlink"/>
          <w:sz w:val="20"/>
        </w:rPr>
        <w:t>;</w:t>
      </w:r>
      <w:r w:rsidR="00442CB3" w:rsidRPr="00BE640C">
        <w:rPr>
          <w:rStyle w:val="Hyperlink"/>
          <w:sz w:val="20"/>
        </w:rPr>
        <w:t>pierre.ladoux@aviation-civile.gouv.fr;yokota@jransa.or.jp;d4d@hcaa.gr; wangwei_caac@sina.com;y-matsuzawa@cj.jp.nec.com; morewanem@atns.co.za;harada-y48</w:t>
      </w:r>
      <w:r w:rsidR="00442CB3">
        <w:rPr>
          <w:rStyle w:val="Hyperlink"/>
          <w:sz w:val="20"/>
        </w:rPr>
        <w:t>6</w:t>
      </w:r>
      <w:r w:rsidR="00442CB3" w:rsidRPr="00BE640C">
        <w:rPr>
          <w:rStyle w:val="Hyperlink"/>
          <w:sz w:val="20"/>
        </w:rPr>
        <w:t>w@</w:t>
      </w:r>
      <w:r w:rsidR="00442CB3">
        <w:rPr>
          <w:rStyle w:val="Hyperlink"/>
          <w:sz w:val="20"/>
        </w:rPr>
        <w:t>mlit</w:t>
      </w:r>
      <w:r w:rsidR="00442CB3" w:rsidRPr="00BE640C">
        <w:rPr>
          <w:rStyle w:val="Hyperlink"/>
          <w:sz w:val="20"/>
        </w:rPr>
        <w:t>.go.jp;</w:t>
      </w:r>
      <w:r w:rsidR="00442CB3" w:rsidRPr="001A7D13">
        <w:t xml:space="preserve"> </w:t>
      </w:r>
      <w:hyperlink r:id="rId31" w:history="1">
        <w:r w:rsidR="00442CB3">
          <w:rPr>
            <w:rStyle w:val="Hyperlink"/>
            <w:rFonts w:eastAsiaTheme="majorEastAsia"/>
          </w:rPr>
          <w:t>y-matsuzawa@cj.jp.nec.com</w:t>
        </w:r>
      </w:hyperlink>
      <w:r w:rsidR="00442CB3">
        <w:rPr>
          <w:rStyle w:val="Hyperlink"/>
          <w:sz w:val="20"/>
        </w:rPr>
        <w:t>;</w:t>
      </w:r>
      <w:r w:rsidR="00442CB3" w:rsidRPr="00BE640C">
        <w:rPr>
          <w:rStyle w:val="Hyperlink"/>
          <w:sz w:val="20"/>
        </w:rPr>
        <w:t xml:space="preserve">jiayi1983@sina.cn; </w:t>
      </w:r>
      <w:hyperlink r:id="rId32" w:history="1">
        <w:r w:rsidR="00442CB3" w:rsidRPr="00BE640C">
          <w:rPr>
            <w:rStyle w:val="Hyperlink"/>
            <w:sz w:val="20"/>
          </w:rPr>
          <w:t>Ken.Alexander@faa.gov</w:t>
        </w:r>
      </w:hyperlink>
      <w:r w:rsidR="00442CB3" w:rsidRPr="00BE640C">
        <w:rPr>
          <w:rStyle w:val="Hyperlink"/>
          <w:sz w:val="20"/>
        </w:rPr>
        <w:t>;</w:t>
      </w:r>
      <w:r w:rsidR="00442CB3">
        <w:rPr>
          <w:rStyle w:val="Hyperlink"/>
          <w:sz w:val="20"/>
        </w:rPr>
        <w:t xml:space="preserve"> </w:t>
      </w:r>
      <w:r w:rsidR="00442CB3" w:rsidRPr="00397631">
        <w:rPr>
          <w:rStyle w:val="Hyperlink"/>
          <w:sz w:val="20"/>
        </w:rPr>
        <w:t>acr@asri.aero</w:t>
      </w:r>
      <w:r w:rsidR="00442CB3">
        <w:rPr>
          <w:rStyle w:val="Hyperlink"/>
          <w:sz w:val="20"/>
        </w:rPr>
        <w:t>;</w:t>
      </w:r>
      <w:r w:rsidR="00442CB3" w:rsidRPr="00397631">
        <w:rPr>
          <w:rStyle w:val="Hyperlink"/>
          <w:sz w:val="20"/>
        </w:rPr>
        <w:t xml:space="preserve"> </w:t>
      </w:r>
      <w:r w:rsidR="00442CB3" w:rsidRPr="006C44AD">
        <w:rPr>
          <w:rStyle w:val="Hyperlink"/>
          <w:sz w:val="20"/>
        </w:rPr>
        <w:t>cfigueiredo@paris.icao.int</w:t>
      </w:r>
      <w:r w:rsidR="00442CB3">
        <w:rPr>
          <w:rStyle w:val="Hyperlink"/>
          <w:sz w:val="20"/>
        </w:rPr>
        <w:t>;</w:t>
      </w:r>
      <w:r w:rsidR="00442CB3" w:rsidRPr="0083113F">
        <w:rPr>
          <w:rStyle w:val="Hyperlink"/>
          <w:sz w:val="20"/>
        </w:rPr>
        <w:t>torsten.jacob@dfs.de</w:t>
      </w:r>
      <w:r w:rsidR="00442CB3">
        <w:rPr>
          <w:rStyle w:val="Hyperlink"/>
          <w:sz w:val="20"/>
        </w:rPr>
        <w:t>;</w:t>
      </w:r>
      <w:r w:rsidR="00442CB3" w:rsidRPr="00BE640C">
        <w:rPr>
          <w:rStyle w:val="Hyperlink"/>
          <w:sz w:val="20"/>
        </w:rPr>
        <w:t>ACapretti@icao.int</w:t>
      </w:r>
    </w:p>
    <w:p w:rsidR="00442CB3" w:rsidRDefault="00442CB3" w:rsidP="00442CB3">
      <w:pPr>
        <w:rPr>
          <w:sz w:val="20"/>
        </w:rPr>
      </w:pPr>
    </w:p>
    <w:p w:rsidR="00442CB3" w:rsidRDefault="00442CB3" w:rsidP="00966223">
      <w:pPr>
        <w:spacing w:before="600"/>
        <w:jc w:val="center"/>
      </w:pPr>
    </w:p>
    <w:sectPr w:rsidR="00442CB3" w:rsidSect="00E55495">
      <w:headerReference w:type="even" r:id="rId33"/>
      <w:headerReference w:type="default" r:id="rId34"/>
      <w:footerReference w:type="even" r:id="rId35"/>
      <w:footerReference w:type="default" r:id="rId36"/>
      <w:headerReference w:type="first" r:id="rId37"/>
      <w:footerReference w:type="first" r:id="rId38"/>
      <w:pgSz w:w="12242" w:h="15842" w:code="1"/>
      <w:pgMar w:top="1627" w:right="1469"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5E" w:rsidRDefault="00BC5E5E">
      <w:r>
        <w:separator/>
      </w:r>
    </w:p>
  </w:endnote>
  <w:endnote w:type="continuationSeparator" w:id="0">
    <w:p w:rsidR="00BC5E5E" w:rsidRDefault="00BC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A0" w:rsidRDefault="004A30A0">
    <w:pPr>
      <w:pStyle w:val="Footer"/>
    </w:pPr>
    <w:bookmarkStart w:id="2" w:name="_GoBack"/>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0A0" w:rsidRDefault="004A30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6A" w:rsidRDefault="00D1096A">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A30A0">
      <w:rPr>
        <w:noProof/>
        <w:sz w:val="18"/>
        <w:lang w:val="fr-FR"/>
      </w:rPr>
      <w:t>19</w:t>
    </w:r>
    <w:r>
      <w:rPr>
        <w:sz w:val="18"/>
        <w:lang w:val="en-US"/>
      </w:rPr>
      <w:fldChar w:fldCharType="end"/>
    </w:r>
    <w:r>
      <w:rPr>
        <w:sz w:val="18"/>
        <w:lang w:val="fr-FR"/>
      </w:rPr>
      <w:t xml:space="preserve"> pages)</w:t>
    </w:r>
  </w:p>
  <w:p w:rsidR="00D1096A" w:rsidRDefault="00D1096A">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4A30A0">
      <w:rPr>
        <w:noProof/>
        <w:sz w:val="18"/>
        <w:lang w:val="en-US"/>
      </w:rPr>
      <w:t>FSMP-WG09-IP06_ ICAO NSP April 2019_Spectrum Working Group report_final_.docx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5E" w:rsidRDefault="00BC5E5E">
      <w:r>
        <w:separator/>
      </w:r>
    </w:p>
  </w:footnote>
  <w:footnote w:type="continuationSeparator" w:id="0">
    <w:p w:rsidR="00BC5E5E" w:rsidRDefault="00BC5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6A" w:rsidRDefault="00D1096A" w:rsidP="004A30A0">
    <w:pPr>
      <w:tabs>
        <w:tab w:val="center" w:pos="4876"/>
      </w:tabs>
      <w:spacing w:after="600"/>
    </w:pPr>
    <w:r>
      <w:t>FSMP-WG/9 IP/</w:t>
    </w:r>
    <w:r w:rsidR="004A30A0">
      <w:t>06</w:t>
    </w:r>
    <w:r>
      <w:tab/>
      <w:t xml:space="preserve">- </w:t>
    </w:r>
    <w:r>
      <w:rPr>
        <w:rStyle w:val="PageNumber"/>
      </w:rPr>
      <w:fldChar w:fldCharType="begin"/>
    </w:r>
    <w:r>
      <w:rPr>
        <w:rStyle w:val="PageNumber"/>
      </w:rPr>
      <w:instrText xml:space="preserve"> PAGE </w:instrText>
    </w:r>
    <w:r>
      <w:rPr>
        <w:rStyle w:val="PageNumber"/>
      </w:rPr>
      <w:fldChar w:fldCharType="separate"/>
    </w:r>
    <w:r w:rsidR="004A30A0">
      <w:rPr>
        <w:rStyle w:val="PageNumber"/>
        <w:noProof/>
      </w:rPr>
      <w:t>16</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6A" w:rsidRDefault="00D1096A" w:rsidP="004A30A0">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A30A0">
      <w:rPr>
        <w:rStyle w:val="PageNumber"/>
        <w:noProof/>
      </w:rPr>
      <w:t>17</w:t>
    </w:r>
    <w:r>
      <w:rPr>
        <w:rStyle w:val="PageNumber"/>
      </w:rPr>
      <w:fldChar w:fldCharType="end"/>
    </w:r>
    <w:r>
      <w:rPr>
        <w:rStyle w:val="PageNumber"/>
      </w:rPr>
      <w:t xml:space="preserve"> -</w:t>
    </w:r>
    <w:r>
      <w:rPr>
        <w:rStyle w:val="PageNumber"/>
      </w:rPr>
      <w:tab/>
    </w:r>
    <w:r>
      <w:t>FSMP-WG/9 IP/</w:t>
    </w:r>
    <w:r w:rsidR="004A30A0">
      <w:t>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1096A"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rsidR="00D1096A" w:rsidRDefault="00D1096A">
          <w:pPr>
            <w:autoSpaceDE w:val="0"/>
            <w:autoSpaceDN w:val="0"/>
            <w:adjustRightInd w:val="0"/>
            <w:rPr>
              <w:szCs w:val="24"/>
            </w:rPr>
          </w:pPr>
          <w:bookmarkStart w:id="3" w:name="logo"/>
          <w:r>
            <w:rPr>
              <w:noProof/>
              <w:lang w:eastAsia="zh-CN"/>
            </w:rPr>
            <w:drawing>
              <wp:inline distT="0" distB="0" distL="0" distR="0" wp14:anchorId="477526C1" wp14:editId="745C98F8">
                <wp:extent cx="1085215" cy="873760"/>
                <wp:effectExtent l="0" t="0" r="0" b="0"/>
                <wp:docPr id="4"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873760"/>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rsidR="00D1096A" w:rsidRDefault="00D1096A">
          <w:pPr>
            <w:rPr>
              <w:rFonts w:ascii="Arial" w:hAnsi="Arial" w:cs="Arial"/>
              <w:szCs w:val="22"/>
            </w:rPr>
          </w:pPr>
          <w:r>
            <w:rPr>
              <w:noProof/>
              <w:szCs w:val="24"/>
              <w:lang w:eastAsia="zh-CN"/>
            </w:rPr>
            <mc:AlternateContent>
              <mc:Choice Requires="wps">
                <w:drawing>
                  <wp:anchor distT="0" distB="0" distL="114300" distR="114300" simplePos="0" relativeHeight="251657728" behindDoc="0" locked="0" layoutInCell="1" allowOverlap="1" wp14:anchorId="1F6560A6" wp14:editId="0F399234">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95A37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D1096A" w:rsidRDefault="00D1096A">
          <w:pPr>
            <w:rPr>
              <w:rFonts w:ascii="Arial" w:hAnsi="Arial" w:cs="Arial"/>
              <w:szCs w:val="22"/>
            </w:rPr>
          </w:pPr>
          <w:r>
            <w:rPr>
              <w:rFonts w:ascii="Arial" w:hAnsi="Arial" w:cs="Arial"/>
              <w:szCs w:val="22"/>
            </w:rPr>
            <w:t>International Civil Aviation Organization</w:t>
          </w:r>
        </w:p>
        <w:p w:rsidR="00D1096A" w:rsidRDefault="00D1096A">
          <w:pPr>
            <w:rPr>
              <w:rFonts w:ascii="Arial" w:hAnsi="Arial" w:cs="Arial"/>
              <w:szCs w:val="22"/>
            </w:rPr>
          </w:pPr>
        </w:p>
        <w:p w:rsidR="00D1096A" w:rsidRDefault="00D1096A">
          <w:pPr>
            <w:autoSpaceDE w:val="0"/>
            <w:autoSpaceDN w:val="0"/>
            <w:adjustRightInd w:val="0"/>
            <w:rPr>
              <w:rFonts w:ascii="Arial" w:hAnsi="Arial" w:cs="Arial"/>
              <w:b/>
              <w:sz w:val="24"/>
              <w:szCs w:val="22"/>
            </w:rPr>
          </w:pPr>
          <w:r>
            <w:rPr>
              <w:rFonts w:ascii="Arial" w:hAnsi="Arial" w:cs="Arial"/>
              <w:b/>
              <w:sz w:val="24"/>
              <w:szCs w:val="22"/>
            </w:rPr>
            <w:t>INFORMATION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22"/>
          </w:tblGrid>
          <w:tr w:rsidR="00D1096A">
            <w:trPr>
              <w:jc w:val="right"/>
            </w:trPr>
            <w:tc>
              <w:tcPr>
                <w:tcW w:w="0" w:type="auto"/>
                <w:tcBorders>
                  <w:top w:val="single" w:sz="4" w:space="0" w:color="FFFFFF"/>
                  <w:left w:val="single" w:sz="4" w:space="0" w:color="FFFFFF"/>
                  <w:bottom w:val="single" w:sz="4" w:space="0" w:color="FFFFFF"/>
                  <w:right w:val="single" w:sz="4" w:space="0" w:color="FFFFFF"/>
                </w:tcBorders>
                <w:hideMark/>
              </w:tcPr>
              <w:p w:rsidR="00D1096A" w:rsidRDefault="00D1096A" w:rsidP="004A30A0">
                <w:pPr>
                  <w:framePr w:hSpace="180" w:wrap="around" w:vAnchor="text" w:hAnchor="text" w:y="1"/>
                  <w:suppressOverlap/>
                  <w:jc w:val="left"/>
                  <w:rPr>
                    <w:szCs w:val="22"/>
                  </w:rPr>
                </w:pPr>
                <w:bookmarkStart w:id="4" w:name="document_no"/>
                <w:r>
                  <w:rPr>
                    <w:szCs w:val="22"/>
                  </w:rPr>
                  <w:t>FSMP-WG/9 IP/</w:t>
                </w:r>
                <w:bookmarkEnd w:id="4"/>
                <w:r w:rsidR="004A30A0">
                  <w:rPr>
                    <w:szCs w:val="22"/>
                  </w:rPr>
                  <w:t>06</w:t>
                </w:r>
              </w:p>
              <w:p w:rsidR="00D1096A" w:rsidRDefault="004A30A0" w:rsidP="004A30A0">
                <w:pPr>
                  <w:framePr w:hSpace="180" w:wrap="around" w:vAnchor="text" w:hAnchor="text" w:y="1"/>
                  <w:autoSpaceDE w:val="0"/>
                  <w:autoSpaceDN w:val="0"/>
                  <w:adjustRightInd w:val="0"/>
                  <w:suppressOverlap/>
                  <w:jc w:val="left"/>
                  <w:rPr>
                    <w:b/>
                    <w:szCs w:val="24"/>
                  </w:rPr>
                </w:pPr>
                <w:bookmarkStart w:id="5" w:name="related_to"/>
                <w:bookmarkStart w:id="6" w:name="revision_date"/>
                <w:bookmarkStart w:id="7" w:name="revision_no"/>
                <w:bookmarkStart w:id="8" w:name="addendum_corrigendum_appendix"/>
                <w:bookmarkStart w:id="9" w:name="restricted"/>
                <w:bookmarkStart w:id="10" w:name="date"/>
                <w:bookmarkEnd w:id="5"/>
                <w:bookmarkEnd w:id="6"/>
                <w:bookmarkEnd w:id="7"/>
                <w:bookmarkEnd w:id="8"/>
                <w:bookmarkEnd w:id="9"/>
                <w:r>
                  <w:rPr>
                    <w:sz w:val="18"/>
                    <w:szCs w:val="18"/>
                  </w:rPr>
                  <w:t>2019-08-20</w:t>
                </w:r>
                <w:bookmarkEnd w:id="10"/>
                <w:r w:rsidR="00D1096A">
                  <w:rPr>
                    <w:b/>
                    <w:sz w:val="18"/>
                    <w:szCs w:val="18"/>
                  </w:rPr>
                  <w:t xml:space="preserve"> </w:t>
                </w:r>
                <w:bookmarkStart w:id="11" w:name="info_paper"/>
                <w:bookmarkEnd w:id="11"/>
              </w:p>
            </w:tc>
          </w:tr>
          <w:tr w:rsidR="00D1096A">
            <w:trPr>
              <w:jc w:val="right"/>
            </w:trPr>
            <w:tc>
              <w:tcPr>
                <w:tcW w:w="0" w:type="auto"/>
                <w:tcBorders>
                  <w:top w:val="single" w:sz="4" w:space="0" w:color="FFFFFF"/>
                  <w:left w:val="single" w:sz="4" w:space="0" w:color="FFFFFF"/>
                  <w:bottom w:val="single" w:sz="4" w:space="0" w:color="FFFFFF"/>
                  <w:right w:val="single" w:sz="4" w:space="0" w:color="FFFFFF"/>
                </w:tcBorders>
                <w:hideMark/>
              </w:tcPr>
              <w:p w:rsidR="00D1096A" w:rsidRDefault="00D1096A" w:rsidP="004A30A0">
                <w:pPr>
                  <w:framePr w:hSpace="180" w:wrap="around" w:vAnchor="text" w:hAnchor="text" w:y="1"/>
                  <w:autoSpaceDE w:val="0"/>
                  <w:autoSpaceDN w:val="0"/>
                  <w:adjustRightInd w:val="0"/>
                  <w:suppressOverlap/>
                  <w:jc w:val="left"/>
                  <w:rPr>
                    <w:szCs w:val="22"/>
                  </w:rPr>
                </w:pPr>
              </w:p>
            </w:tc>
          </w:tr>
        </w:tbl>
        <w:p w:rsidR="00D1096A" w:rsidRDefault="00D1096A">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rsidR="00D1096A" w:rsidRDefault="00D1096A">
    <w:pPr>
      <w:pStyle w:val="3para"/>
      <w:numPr>
        <w:ilvl w:val="0"/>
        <w:numId w:val="0"/>
      </w:numPr>
      <w:tabs>
        <w:tab w:val="left" w:pos="6480"/>
      </w:tabs>
      <w:spacing w:after="0"/>
      <w:outlineLvl w:val="9"/>
    </w:pPr>
    <w:r>
      <w:tab/>
      <w:t>ATMRPP-WG/WHL/x-IP/</w:t>
    </w:r>
  </w:p>
  <w:p w:rsidR="00D1096A" w:rsidRDefault="00D1096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32A2B7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28676F9"/>
    <w:multiLevelType w:val="hybridMultilevel"/>
    <w:tmpl w:val="FC1E8DA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nsid w:val="08EF641D"/>
    <w:multiLevelType w:val="multilevel"/>
    <w:tmpl w:val="1AFA305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nsid w:val="0A650308"/>
    <w:multiLevelType w:val="multilevel"/>
    <w:tmpl w:val="0FD0E5B0"/>
    <w:lvl w:ilvl="0">
      <w:start w:val="1"/>
      <w:numFmt w:val="decimal"/>
      <w:lvlText w:val="%1."/>
      <w:lvlJc w:val="left"/>
      <w:pPr>
        <w:tabs>
          <w:tab w:val="num" w:pos="360"/>
        </w:tabs>
      </w:pPr>
      <w:rPr>
        <w:rFonts w:cs="Times New Roman"/>
      </w:rPr>
    </w:lvl>
    <w:lvl w:ilvl="1">
      <w:start w:val="1"/>
      <w:numFmt w:val="decimal"/>
      <w:suff w:val="nothing"/>
      <w:lvlText w:val=" %1.%2."/>
      <w:lvlJc w:val="left"/>
      <w:pPr>
        <w:ind w:left="1512" w:hanging="151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14912587"/>
    <w:multiLevelType w:val="hybridMultilevel"/>
    <w:tmpl w:val="994EB7CA"/>
    <w:lvl w:ilvl="0" w:tplc="44CE2218">
      <w:start w:val="1"/>
      <w:numFmt w:val="decimal"/>
      <w:pStyle w:val="SWGreportblock6b"/>
      <w:lvlText w:val="6b%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8E11EFE"/>
    <w:multiLevelType w:val="multilevel"/>
    <w:tmpl w:val="144E4022"/>
    <w:lvl w:ilvl="0">
      <w:start w:val="1"/>
      <w:numFmt w:val="decimal"/>
      <w:pStyle w:val="ICAOnatWPlevel1"/>
      <w:lvlText w:val="%1."/>
      <w:lvlJc w:val="left"/>
      <w:pPr>
        <w:ind w:left="397" w:hanging="397"/>
      </w:pPr>
      <w:rPr>
        <w:rFonts w:ascii="Times New Roman Bold" w:hAnsi="Times New Roman Bold" w:hint="default"/>
        <w:b/>
        <w:i w:val="0"/>
        <w:sz w:val="22"/>
      </w:rPr>
    </w:lvl>
    <w:lvl w:ilvl="1">
      <w:start w:val="1"/>
      <w:numFmt w:val="decimal"/>
      <w:pStyle w:val="ICAOnatWPlevel2"/>
      <w:lvlText w:val="%1.%2"/>
      <w:lvlJc w:val="left"/>
      <w:pPr>
        <w:ind w:left="1418" w:hanging="1418"/>
      </w:pPr>
      <w:rPr>
        <w:rFonts w:ascii="Times New Roman" w:hAnsi="Times New Roman"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715A76"/>
    <w:multiLevelType w:val="hybridMultilevel"/>
    <w:tmpl w:val="445009E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1CE93F60"/>
    <w:multiLevelType w:val="hybridMultilevel"/>
    <w:tmpl w:val="9C5011C2"/>
    <w:lvl w:ilvl="0" w:tplc="9C9EEAB4">
      <w:start w:val="1"/>
      <w:numFmt w:val="decimal"/>
      <w:pStyle w:val="SWGreportblock6d"/>
      <w:lvlText w:val="6d%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10">
    <w:nsid w:val="22861B30"/>
    <w:multiLevelType w:val="hybridMultilevel"/>
    <w:tmpl w:val="80A4B1D4"/>
    <w:lvl w:ilvl="0" w:tplc="0409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C3D6E74"/>
    <w:multiLevelType w:val="hybridMultilevel"/>
    <w:tmpl w:val="3912D8C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2D7C1DEA"/>
    <w:multiLevelType w:val="hybridMultilevel"/>
    <w:tmpl w:val="AE18651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2ED6060B"/>
    <w:multiLevelType w:val="hybridMultilevel"/>
    <w:tmpl w:val="2CFC18A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36B90EC4"/>
    <w:multiLevelType w:val="hybridMultilevel"/>
    <w:tmpl w:val="9AC03708"/>
    <w:lvl w:ilvl="0" w:tplc="7B7A55D2">
      <w:start w:val="1"/>
      <w:numFmt w:val="decimal"/>
      <w:pStyle w:val="SWGreportblock6a"/>
      <w:lvlText w:val="6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D6D38FE"/>
    <w:multiLevelType w:val="hybridMultilevel"/>
    <w:tmpl w:val="5A5A925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3EA804A0"/>
    <w:multiLevelType w:val="hybridMultilevel"/>
    <w:tmpl w:val="5CA8083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48522B39"/>
    <w:multiLevelType w:val="hybridMultilevel"/>
    <w:tmpl w:val="EB606AA6"/>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4A515B20"/>
    <w:multiLevelType w:val="singleLevel"/>
    <w:tmpl w:val="9A180BC0"/>
    <w:lvl w:ilvl="0">
      <w:start w:val="1"/>
      <w:numFmt w:val="lowerLetter"/>
      <w:pStyle w:val="IcaoListabc"/>
      <w:lvlText w:val="%1)"/>
      <w:lvlJc w:val="left"/>
      <w:pPr>
        <w:tabs>
          <w:tab w:val="num" w:pos="1417"/>
        </w:tabs>
        <w:ind w:left="1417" w:hanging="425"/>
      </w:pPr>
    </w:lvl>
  </w:abstractNum>
  <w:abstractNum w:abstractNumId="19">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nsid w:val="507971ED"/>
    <w:multiLevelType w:val="hybridMultilevel"/>
    <w:tmpl w:val="C0701FB6"/>
    <w:lvl w:ilvl="0" w:tplc="DC426FBA">
      <w:start w:val="1"/>
      <w:numFmt w:val="decimal"/>
      <w:pStyle w:val="SWGreportblock6f"/>
      <w:lvlText w:val="6f%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nsid w:val="53390A1A"/>
    <w:multiLevelType w:val="hybridMultilevel"/>
    <w:tmpl w:val="5E72C89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3">
    <w:nsid w:val="69302C97"/>
    <w:multiLevelType w:val="multilevel"/>
    <w:tmpl w:val="0EFC213E"/>
    <w:lvl w:ilvl="0">
      <w:start w:val="1"/>
      <w:numFmt w:val="decimal"/>
      <w:pStyle w:val="Table"/>
      <w:lvlText w:val="Table %1"/>
      <w:lvlJc w:val="left"/>
      <w:pPr>
        <w:tabs>
          <w:tab w:val="num" w:pos="1531"/>
        </w:tabs>
        <w:ind w:left="1531" w:hanging="1171"/>
      </w:pPr>
      <w:rPr>
        <w:rFonts w:ascii="Times New Roman" w:hAnsi="Times New Roman" w:cs="Times New Roman" w:hint="default"/>
        <w:b w:val="0"/>
        <w:i/>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738D3E11"/>
    <w:multiLevelType w:val="hybridMultilevel"/>
    <w:tmpl w:val="38F2113A"/>
    <w:lvl w:ilvl="0" w:tplc="655AB12A">
      <w:start w:val="1"/>
      <w:numFmt w:val="decimal"/>
      <w:pStyle w:val="SWGreportblock6e"/>
      <w:lvlText w:val="6e%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7F2C21DB"/>
    <w:multiLevelType w:val="hybridMultilevel"/>
    <w:tmpl w:val="BBCAB3DA"/>
    <w:lvl w:ilvl="0" w:tplc="6A1073F6">
      <w:start w:val="1"/>
      <w:numFmt w:val="decimal"/>
      <w:pStyle w:val="SWGreportblock6c"/>
      <w:lvlText w:val="6c%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F6D5BCE"/>
    <w:multiLevelType w:val="hybridMultilevel"/>
    <w:tmpl w:val="858265F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9"/>
  </w:num>
  <w:num w:numId="2">
    <w:abstractNumId w:val="22"/>
  </w:num>
  <w:num w:numId="3">
    <w:abstractNumId w:val="9"/>
  </w:num>
  <w:num w:numId="4">
    <w:abstractNumId w:val="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23"/>
  </w:num>
  <w:num w:numId="10">
    <w:abstractNumId w:val="6"/>
  </w:num>
  <w:num w:numId="11">
    <w:abstractNumId w:val="18"/>
  </w:num>
  <w:num w:numId="12">
    <w:abstractNumId w:val="14"/>
  </w:num>
  <w:num w:numId="13">
    <w:abstractNumId w:val="5"/>
  </w:num>
  <w:num w:numId="14">
    <w:abstractNumId w:val="25"/>
  </w:num>
  <w:num w:numId="15">
    <w:abstractNumId w:val="8"/>
  </w:num>
  <w:num w:numId="16">
    <w:abstractNumId w:val="24"/>
  </w:num>
  <w:num w:numId="17">
    <w:abstractNumId w:val="20"/>
  </w:num>
  <w:num w:numId="18">
    <w:abstractNumId w:val="10"/>
  </w:num>
  <w:num w:numId="19">
    <w:abstractNumId w:val="12"/>
  </w:num>
  <w:num w:numId="20">
    <w:abstractNumId w:val="15"/>
  </w:num>
  <w:num w:numId="21">
    <w:abstractNumId w:val="11"/>
  </w:num>
  <w:num w:numId="22">
    <w:abstractNumId w:val="17"/>
  </w:num>
  <w:num w:numId="23">
    <w:abstractNumId w:val="21"/>
  </w:num>
  <w:num w:numId="24">
    <w:abstractNumId w:val="26"/>
  </w:num>
  <w:num w:numId="25">
    <w:abstractNumId w:val="16"/>
  </w:num>
  <w:num w:numId="26">
    <w:abstractNumId w:val="1"/>
  </w:num>
  <w:num w:numId="27">
    <w:abstractNumId w:val="13"/>
  </w:num>
  <w:num w:numId="28">
    <w:abstractNumId w:val="7"/>
  </w:num>
  <w:num w:numId="2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61571"/>
    <w:rsid w:val="00073420"/>
    <w:rsid w:val="0007730C"/>
    <w:rsid w:val="00112A76"/>
    <w:rsid w:val="001311FC"/>
    <w:rsid w:val="001449D6"/>
    <w:rsid w:val="00157126"/>
    <w:rsid w:val="001742AF"/>
    <w:rsid w:val="00265F4F"/>
    <w:rsid w:val="002C487A"/>
    <w:rsid w:val="00341F16"/>
    <w:rsid w:val="00365BFB"/>
    <w:rsid w:val="00381B3D"/>
    <w:rsid w:val="003D7FD8"/>
    <w:rsid w:val="003F23BB"/>
    <w:rsid w:val="004354F1"/>
    <w:rsid w:val="00442CB3"/>
    <w:rsid w:val="004A30A0"/>
    <w:rsid w:val="004D46B0"/>
    <w:rsid w:val="004E0F4A"/>
    <w:rsid w:val="00583C12"/>
    <w:rsid w:val="005A13D7"/>
    <w:rsid w:val="00617702"/>
    <w:rsid w:val="006A0F3C"/>
    <w:rsid w:val="006E236F"/>
    <w:rsid w:val="00707ADA"/>
    <w:rsid w:val="0071789F"/>
    <w:rsid w:val="00770160"/>
    <w:rsid w:val="00773A30"/>
    <w:rsid w:val="00804737"/>
    <w:rsid w:val="008A1D5B"/>
    <w:rsid w:val="00917E36"/>
    <w:rsid w:val="00927DDC"/>
    <w:rsid w:val="00930FD5"/>
    <w:rsid w:val="0095751F"/>
    <w:rsid w:val="00966223"/>
    <w:rsid w:val="0098006D"/>
    <w:rsid w:val="009A056D"/>
    <w:rsid w:val="009F63C6"/>
    <w:rsid w:val="00A12CBA"/>
    <w:rsid w:val="00A148BD"/>
    <w:rsid w:val="00A26F34"/>
    <w:rsid w:val="00A459F8"/>
    <w:rsid w:val="00AD1C3E"/>
    <w:rsid w:val="00B553CA"/>
    <w:rsid w:val="00BA1984"/>
    <w:rsid w:val="00BB53D1"/>
    <w:rsid w:val="00BC5E5E"/>
    <w:rsid w:val="00C209A7"/>
    <w:rsid w:val="00C62653"/>
    <w:rsid w:val="00C72B3C"/>
    <w:rsid w:val="00CB5CFE"/>
    <w:rsid w:val="00CC1EC4"/>
    <w:rsid w:val="00D1096A"/>
    <w:rsid w:val="00D361E2"/>
    <w:rsid w:val="00D46138"/>
    <w:rsid w:val="00D51CFB"/>
    <w:rsid w:val="00E55495"/>
    <w:rsid w:val="00EE7B63"/>
    <w:rsid w:val="00F21296"/>
    <w:rsid w:val="00FB0DA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442CB3"/>
    <w:pPr>
      <w:keepNext/>
      <w:jc w:val="left"/>
      <w:outlineLvl w:val="1"/>
    </w:pPr>
    <w:rPr>
      <w:szCs w:val="24"/>
      <w:u w:val="single"/>
      <w:lang w:val="en-US" w:eastAsia="de-DE"/>
    </w:rPr>
  </w:style>
  <w:style w:type="paragraph" w:styleId="Heading3">
    <w:name w:val="heading 3"/>
    <w:basedOn w:val="Normal"/>
    <w:next w:val="Normal"/>
    <w:link w:val="Heading3Char"/>
    <w:qFormat/>
    <w:rsid w:val="00442CB3"/>
    <w:pPr>
      <w:keepNext/>
      <w:jc w:val="left"/>
      <w:outlineLvl w:val="2"/>
    </w:pPr>
    <w:rPr>
      <w:b/>
      <w:sz w:val="20"/>
      <w:szCs w:val="24"/>
      <w:lang w:val="fr-CA" w:eastAsia="de-DE"/>
    </w:rPr>
  </w:style>
  <w:style w:type="paragraph" w:styleId="Heading4">
    <w:name w:val="heading 4"/>
    <w:basedOn w:val="Normal"/>
    <w:next w:val="Normal"/>
    <w:link w:val="Heading4Char"/>
    <w:qFormat/>
    <w:rsid w:val="00442CB3"/>
    <w:pPr>
      <w:keepNext/>
      <w:numPr>
        <w:ilvl w:val="3"/>
        <w:numId w:val="7"/>
      </w:numPr>
      <w:spacing w:before="240" w:after="60"/>
      <w:jc w:val="left"/>
      <w:outlineLvl w:val="3"/>
    </w:pPr>
    <w:rPr>
      <w:rFonts w:ascii="Arial" w:hAnsi="Arial"/>
      <w:b/>
    </w:rPr>
  </w:style>
  <w:style w:type="paragraph" w:styleId="Heading5">
    <w:name w:val="heading 5"/>
    <w:basedOn w:val="Normal"/>
    <w:next w:val="Normal"/>
    <w:link w:val="Heading5Char"/>
    <w:qFormat/>
    <w:rsid w:val="00442CB3"/>
    <w:pPr>
      <w:numPr>
        <w:ilvl w:val="4"/>
        <w:numId w:val="7"/>
      </w:numPr>
      <w:spacing w:before="240" w:after="60"/>
      <w:jc w:val="left"/>
      <w:outlineLvl w:val="4"/>
    </w:pPr>
  </w:style>
  <w:style w:type="paragraph" w:styleId="Heading6">
    <w:name w:val="heading 6"/>
    <w:basedOn w:val="Normal"/>
    <w:next w:val="Normal"/>
    <w:link w:val="Heading6Char"/>
    <w:qFormat/>
    <w:rsid w:val="00442CB3"/>
    <w:pPr>
      <w:numPr>
        <w:ilvl w:val="5"/>
        <w:numId w:val="7"/>
      </w:numPr>
      <w:spacing w:before="240" w:after="60"/>
      <w:jc w:val="left"/>
      <w:outlineLvl w:val="5"/>
    </w:pPr>
    <w:rPr>
      <w:i/>
    </w:rPr>
  </w:style>
  <w:style w:type="paragraph" w:styleId="Heading7">
    <w:name w:val="heading 7"/>
    <w:basedOn w:val="Normal"/>
    <w:next w:val="Normal"/>
    <w:link w:val="Heading7Char"/>
    <w:qFormat/>
    <w:rsid w:val="00442CB3"/>
    <w:pPr>
      <w:numPr>
        <w:ilvl w:val="6"/>
        <w:numId w:val="7"/>
      </w:numPr>
      <w:spacing w:before="240" w:after="60"/>
      <w:jc w:val="left"/>
      <w:outlineLvl w:val="6"/>
    </w:pPr>
    <w:rPr>
      <w:rFonts w:ascii="Arial" w:hAnsi="Arial"/>
      <w:sz w:val="20"/>
    </w:rPr>
  </w:style>
  <w:style w:type="paragraph" w:styleId="Heading8">
    <w:name w:val="heading 8"/>
    <w:basedOn w:val="Normal"/>
    <w:next w:val="Normal"/>
    <w:link w:val="Heading8Char"/>
    <w:qFormat/>
    <w:rsid w:val="00442CB3"/>
    <w:pPr>
      <w:numPr>
        <w:ilvl w:val="7"/>
        <w:numId w:val="7"/>
      </w:numPr>
      <w:spacing w:before="240" w:after="60"/>
      <w:jc w:val="left"/>
      <w:outlineLvl w:val="7"/>
    </w:pPr>
    <w:rPr>
      <w:rFonts w:ascii="Arial" w:hAnsi="Arial"/>
      <w:i/>
      <w:sz w:val="20"/>
    </w:rPr>
  </w:style>
  <w:style w:type="paragraph" w:styleId="Heading9">
    <w:name w:val="heading 9"/>
    <w:basedOn w:val="Normal"/>
    <w:next w:val="Normal"/>
    <w:link w:val="Heading9Char"/>
    <w:qFormat/>
    <w:rsid w:val="00442CB3"/>
    <w:pPr>
      <w:numPr>
        <w:ilvl w:val="8"/>
        <w:numId w:val="7"/>
      </w:numPr>
      <w:spacing w:before="240" w:after="6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rsid w:val="00442CB3"/>
    <w:rPr>
      <w:sz w:val="22"/>
      <w:szCs w:val="24"/>
      <w:u w:val="single"/>
      <w:lang w:val="en-US"/>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basedOn w:val="DefaultParagraphFont"/>
    <w:link w:val="Heading3"/>
    <w:rsid w:val="00442CB3"/>
    <w:rPr>
      <w:b/>
      <w:szCs w:val="24"/>
      <w:lang w:val="fr-CA"/>
    </w:rPr>
  </w:style>
  <w:style w:type="character" w:customStyle="1" w:styleId="Heading4Char">
    <w:name w:val="Heading 4 Char"/>
    <w:basedOn w:val="DefaultParagraphFont"/>
    <w:link w:val="Heading4"/>
    <w:rsid w:val="00442CB3"/>
    <w:rPr>
      <w:rFonts w:ascii="Arial" w:hAnsi="Arial"/>
      <w:b/>
      <w:sz w:val="22"/>
      <w:lang w:val="en-GB" w:eastAsia="en-US"/>
    </w:rPr>
  </w:style>
  <w:style w:type="character" w:customStyle="1" w:styleId="Heading5Char">
    <w:name w:val="Heading 5 Char"/>
    <w:basedOn w:val="DefaultParagraphFont"/>
    <w:link w:val="Heading5"/>
    <w:rsid w:val="00442CB3"/>
    <w:rPr>
      <w:sz w:val="22"/>
      <w:lang w:val="en-GB" w:eastAsia="en-US"/>
    </w:rPr>
  </w:style>
  <w:style w:type="character" w:customStyle="1" w:styleId="Heading6Char">
    <w:name w:val="Heading 6 Char"/>
    <w:basedOn w:val="DefaultParagraphFont"/>
    <w:link w:val="Heading6"/>
    <w:rsid w:val="00442CB3"/>
    <w:rPr>
      <w:i/>
      <w:sz w:val="22"/>
      <w:lang w:val="en-GB" w:eastAsia="en-US"/>
    </w:rPr>
  </w:style>
  <w:style w:type="character" w:customStyle="1" w:styleId="Heading7Char">
    <w:name w:val="Heading 7 Char"/>
    <w:basedOn w:val="DefaultParagraphFont"/>
    <w:link w:val="Heading7"/>
    <w:rsid w:val="00442CB3"/>
    <w:rPr>
      <w:rFonts w:ascii="Arial" w:hAnsi="Arial"/>
      <w:lang w:val="en-GB" w:eastAsia="en-US"/>
    </w:rPr>
  </w:style>
  <w:style w:type="character" w:customStyle="1" w:styleId="Heading8Char">
    <w:name w:val="Heading 8 Char"/>
    <w:basedOn w:val="DefaultParagraphFont"/>
    <w:link w:val="Heading8"/>
    <w:rsid w:val="00442CB3"/>
    <w:rPr>
      <w:rFonts w:ascii="Arial" w:hAnsi="Arial"/>
      <w:i/>
      <w:lang w:val="en-GB" w:eastAsia="en-US"/>
    </w:rPr>
  </w:style>
  <w:style w:type="character" w:customStyle="1" w:styleId="Heading9Char">
    <w:name w:val="Heading 9 Char"/>
    <w:basedOn w:val="DefaultParagraphFont"/>
    <w:link w:val="Heading9"/>
    <w:rsid w:val="00442CB3"/>
    <w:rPr>
      <w:rFonts w:ascii="Arial" w:hAnsi="Arial"/>
      <w:b/>
      <w:i/>
      <w:sz w:val="18"/>
      <w:lang w:val="en-GB" w:eastAsia="en-US"/>
    </w:rPr>
  </w:style>
  <w:style w:type="character" w:customStyle="1" w:styleId="Heading1Char">
    <w:name w:val="Heading 1 Char"/>
    <w:basedOn w:val="DefaultParagraphFont"/>
    <w:link w:val="Heading1"/>
    <w:rsid w:val="00442CB3"/>
    <w:rPr>
      <w:b/>
      <w:sz w:val="22"/>
      <w:lang w:val="en-GB" w:eastAsia="en-US"/>
    </w:rPr>
  </w:style>
  <w:style w:type="paragraph" w:styleId="ListBullet2">
    <w:name w:val="List Bullet 2"/>
    <w:basedOn w:val="Normal"/>
    <w:autoRedefine/>
    <w:rsid w:val="00442CB3"/>
    <w:pPr>
      <w:numPr>
        <w:numId w:val="6"/>
      </w:numPr>
      <w:tabs>
        <w:tab w:val="clear" w:pos="643"/>
        <w:tab w:val="num" w:pos="720"/>
      </w:tabs>
      <w:ind w:left="720"/>
      <w:jc w:val="left"/>
    </w:pPr>
  </w:style>
  <w:style w:type="paragraph" w:styleId="BodyText">
    <w:name w:val="Body Text"/>
    <w:basedOn w:val="Normal"/>
    <w:link w:val="BodyTextChar"/>
    <w:rsid w:val="00442CB3"/>
    <w:pPr>
      <w:jc w:val="left"/>
    </w:pPr>
    <w:rPr>
      <w:b/>
      <w:szCs w:val="24"/>
      <w:lang w:eastAsia="de-DE"/>
    </w:rPr>
  </w:style>
  <w:style w:type="character" w:customStyle="1" w:styleId="BodyTextChar">
    <w:name w:val="Body Text Char"/>
    <w:basedOn w:val="DefaultParagraphFont"/>
    <w:link w:val="BodyText"/>
    <w:rsid w:val="00442CB3"/>
    <w:rPr>
      <w:b/>
      <w:sz w:val="22"/>
      <w:szCs w:val="24"/>
      <w:lang w:val="en-GB"/>
    </w:rPr>
  </w:style>
  <w:style w:type="paragraph" w:styleId="BodyTextIndent">
    <w:name w:val="Body Text Indent"/>
    <w:basedOn w:val="Normal"/>
    <w:link w:val="BodyTextIndentChar"/>
    <w:rsid w:val="00442CB3"/>
    <w:pPr>
      <w:ind w:left="720" w:hanging="720"/>
      <w:jc w:val="left"/>
    </w:pPr>
    <w:rPr>
      <w:szCs w:val="24"/>
      <w:lang w:eastAsia="de-DE"/>
    </w:rPr>
  </w:style>
  <w:style w:type="character" w:customStyle="1" w:styleId="BodyTextIndentChar">
    <w:name w:val="Body Text Indent Char"/>
    <w:basedOn w:val="DefaultParagraphFont"/>
    <w:link w:val="BodyTextIndent"/>
    <w:rsid w:val="00442CB3"/>
    <w:rPr>
      <w:sz w:val="22"/>
      <w:szCs w:val="24"/>
      <w:lang w:val="en-GB"/>
    </w:rPr>
  </w:style>
  <w:style w:type="paragraph" w:styleId="Title">
    <w:name w:val="Title"/>
    <w:basedOn w:val="Normal"/>
    <w:link w:val="TitleChar"/>
    <w:qFormat/>
    <w:rsid w:val="00442CB3"/>
    <w:pPr>
      <w:jc w:val="center"/>
    </w:pPr>
    <w:rPr>
      <w:b/>
    </w:rPr>
  </w:style>
  <w:style w:type="character" w:customStyle="1" w:styleId="TitleChar">
    <w:name w:val="Title Char"/>
    <w:basedOn w:val="DefaultParagraphFont"/>
    <w:link w:val="Title"/>
    <w:rsid w:val="00442CB3"/>
    <w:rPr>
      <w:b/>
      <w:sz w:val="22"/>
      <w:lang w:val="en-GB" w:eastAsia="en-US"/>
    </w:rPr>
  </w:style>
  <w:style w:type="character" w:customStyle="1" w:styleId="HeaderChar">
    <w:name w:val="Header Char"/>
    <w:basedOn w:val="DefaultParagraphFont"/>
    <w:link w:val="Header"/>
    <w:uiPriority w:val="99"/>
    <w:locked/>
    <w:rsid w:val="00442CB3"/>
    <w:rPr>
      <w:sz w:val="22"/>
      <w:lang w:val="en-GB" w:eastAsia="en-US"/>
    </w:rPr>
  </w:style>
  <w:style w:type="paragraph" w:styleId="CommentText">
    <w:name w:val="annotation text"/>
    <w:basedOn w:val="Normal"/>
    <w:link w:val="CommentTextChar"/>
    <w:rsid w:val="00442CB3"/>
    <w:rPr>
      <w:sz w:val="20"/>
      <w:lang w:val="en-US"/>
    </w:rPr>
  </w:style>
  <w:style w:type="character" w:customStyle="1" w:styleId="CommentTextChar">
    <w:name w:val="Comment Text Char"/>
    <w:basedOn w:val="DefaultParagraphFont"/>
    <w:link w:val="CommentText"/>
    <w:rsid w:val="00442CB3"/>
    <w:rPr>
      <w:lang w:val="en-US" w:eastAsia="en-US"/>
    </w:rPr>
  </w:style>
  <w:style w:type="paragraph" w:styleId="Index1">
    <w:name w:val="index 1"/>
    <w:basedOn w:val="Normal"/>
    <w:next w:val="Normal"/>
    <w:rsid w:val="00442CB3"/>
    <w:pPr>
      <w:tabs>
        <w:tab w:val="left" w:pos="794"/>
        <w:tab w:val="left" w:pos="1191"/>
        <w:tab w:val="left" w:pos="1588"/>
        <w:tab w:val="left" w:pos="1985"/>
      </w:tabs>
      <w:spacing w:before="136"/>
    </w:pPr>
    <w:rPr>
      <w:lang w:val="en-US"/>
    </w:rPr>
  </w:style>
  <w:style w:type="paragraph" w:customStyle="1" w:styleId="Table">
    <w:name w:val="Table"/>
    <w:basedOn w:val="Normal"/>
    <w:rsid w:val="00442CB3"/>
    <w:pPr>
      <w:numPr>
        <w:numId w:val="9"/>
      </w:numPr>
      <w:jc w:val="center"/>
    </w:pPr>
    <w:rPr>
      <w:i/>
      <w:sz w:val="20"/>
      <w:lang w:eastAsia="fr-FR"/>
    </w:rPr>
  </w:style>
  <w:style w:type="paragraph" w:styleId="BodyTextIndent2">
    <w:name w:val="Body Text Indent 2"/>
    <w:basedOn w:val="Normal"/>
    <w:link w:val="BodyTextIndent2Char"/>
    <w:rsid w:val="00442CB3"/>
    <w:pPr>
      <w:ind w:left="708"/>
      <w:jc w:val="left"/>
    </w:pPr>
    <w:rPr>
      <w:szCs w:val="24"/>
      <w:lang w:val="en-US" w:eastAsia="de-DE"/>
    </w:rPr>
  </w:style>
  <w:style w:type="character" w:customStyle="1" w:styleId="BodyTextIndent2Char">
    <w:name w:val="Body Text Indent 2 Char"/>
    <w:basedOn w:val="DefaultParagraphFont"/>
    <w:link w:val="BodyTextIndent2"/>
    <w:rsid w:val="00442CB3"/>
    <w:rPr>
      <w:sz w:val="22"/>
      <w:szCs w:val="24"/>
      <w:lang w:val="en-US"/>
    </w:rPr>
  </w:style>
  <w:style w:type="character" w:styleId="Hyperlink">
    <w:name w:val="Hyperlink"/>
    <w:basedOn w:val="DefaultParagraphFont"/>
    <w:uiPriority w:val="99"/>
    <w:rsid w:val="00442CB3"/>
    <w:rPr>
      <w:rFonts w:cs="Times New Roman"/>
      <w:color w:val="0000FF"/>
      <w:u w:val="single"/>
    </w:rPr>
  </w:style>
  <w:style w:type="paragraph" w:styleId="BodyText2">
    <w:name w:val="Body Text 2"/>
    <w:basedOn w:val="Normal"/>
    <w:link w:val="BodyText2Char"/>
    <w:rsid w:val="00442CB3"/>
    <w:rPr>
      <w:szCs w:val="24"/>
      <w:lang w:eastAsia="de-DE"/>
    </w:rPr>
  </w:style>
  <w:style w:type="character" w:customStyle="1" w:styleId="BodyText2Char">
    <w:name w:val="Body Text 2 Char"/>
    <w:basedOn w:val="DefaultParagraphFont"/>
    <w:link w:val="BodyText2"/>
    <w:rsid w:val="00442CB3"/>
    <w:rPr>
      <w:sz w:val="22"/>
      <w:szCs w:val="24"/>
      <w:lang w:val="en-GB"/>
    </w:rPr>
  </w:style>
  <w:style w:type="paragraph" w:styleId="BodyTextIndent3">
    <w:name w:val="Body Text Indent 3"/>
    <w:basedOn w:val="Normal"/>
    <w:link w:val="BodyTextIndent3Char"/>
    <w:rsid w:val="00442CB3"/>
    <w:pPr>
      <w:ind w:left="426" w:hanging="426"/>
      <w:jc w:val="left"/>
    </w:pPr>
    <w:rPr>
      <w:szCs w:val="24"/>
      <w:lang w:eastAsia="de-DE"/>
    </w:rPr>
  </w:style>
  <w:style w:type="character" w:customStyle="1" w:styleId="BodyTextIndent3Char">
    <w:name w:val="Body Text Indent 3 Char"/>
    <w:basedOn w:val="DefaultParagraphFont"/>
    <w:link w:val="BodyTextIndent3"/>
    <w:rsid w:val="00442CB3"/>
    <w:rPr>
      <w:sz w:val="22"/>
      <w:szCs w:val="24"/>
      <w:lang w:val="en-GB"/>
    </w:rPr>
  </w:style>
  <w:style w:type="character" w:styleId="FollowedHyperlink">
    <w:name w:val="FollowedHyperlink"/>
    <w:basedOn w:val="DefaultParagraphFont"/>
    <w:rsid w:val="00442CB3"/>
    <w:rPr>
      <w:rFonts w:cs="Times New Roman"/>
      <w:color w:val="800080"/>
      <w:u w:val="single"/>
    </w:rPr>
  </w:style>
  <w:style w:type="character" w:customStyle="1" w:styleId="FooterChar">
    <w:name w:val="Footer Char"/>
    <w:basedOn w:val="DefaultParagraphFont"/>
    <w:link w:val="Footer"/>
    <w:rsid w:val="00442CB3"/>
    <w:rPr>
      <w:sz w:val="22"/>
      <w:lang w:val="en-GB" w:eastAsia="en-US"/>
    </w:rPr>
  </w:style>
  <w:style w:type="paragraph" w:styleId="BodyText3">
    <w:name w:val="Body Text 3"/>
    <w:basedOn w:val="Normal"/>
    <w:link w:val="BodyText3Char"/>
    <w:rsid w:val="00442CB3"/>
    <w:pPr>
      <w:jc w:val="left"/>
    </w:pPr>
    <w:rPr>
      <w:szCs w:val="24"/>
      <w:u w:val="single"/>
      <w:lang w:eastAsia="de-DE"/>
    </w:rPr>
  </w:style>
  <w:style w:type="character" w:customStyle="1" w:styleId="BodyText3Char">
    <w:name w:val="Body Text 3 Char"/>
    <w:basedOn w:val="DefaultParagraphFont"/>
    <w:link w:val="BodyText3"/>
    <w:rsid w:val="00442CB3"/>
    <w:rPr>
      <w:sz w:val="22"/>
      <w:szCs w:val="24"/>
      <w:u w:val="single"/>
      <w:lang w:val="en-GB"/>
    </w:rPr>
  </w:style>
  <w:style w:type="paragraph" w:customStyle="1" w:styleId="Style">
    <w:name w:val="Style"/>
    <w:basedOn w:val="Normal"/>
    <w:next w:val="BodyTextIndent"/>
    <w:uiPriority w:val="99"/>
    <w:rsid w:val="00442CB3"/>
    <w:pPr>
      <w:ind w:left="720" w:hanging="720"/>
      <w:jc w:val="left"/>
    </w:pPr>
    <w:rPr>
      <w:szCs w:val="24"/>
      <w:lang w:eastAsia="de-DE"/>
    </w:rPr>
  </w:style>
  <w:style w:type="paragraph" w:styleId="ListParagraph">
    <w:name w:val="List Paragraph"/>
    <w:basedOn w:val="Normal"/>
    <w:uiPriority w:val="34"/>
    <w:qFormat/>
    <w:rsid w:val="00442CB3"/>
    <w:pPr>
      <w:ind w:left="720"/>
      <w:contextualSpacing/>
      <w:jc w:val="left"/>
    </w:pPr>
    <w:rPr>
      <w:szCs w:val="24"/>
      <w:lang w:eastAsia="de-DE"/>
    </w:rPr>
  </w:style>
  <w:style w:type="paragraph" w:styleId="BalloonText">
    <w:name w:val="Balloon Text"/>
    <w:basedOn w:val="Normal"/>
    <w:link w:val="BalloonTextChar"/>
    <w:uiPriority w:val="99"/>
    <w:rsid w:val="00442CB3"/>
    <w:pPr>
      <w:jc w:val="left"/>
    </w:pPr>
    <w:rPr>
      <w:rFonts w:ascii="Segoe UI" w:hAnsi="Segoe UI" w:cs="Segoe UI"/>
      <w:sz w:val="18"/>
      <w:szCs w:val="18"/>
      <w:lang w:eastAsia="de-DE"/>
    </w:rPr>
  </w:style>
  <w:style w:type="character" w:customStyle="1" w:styleId="BalloonTextChar">
    <w:name w:val="Balloon Text Char"/>
    <w:basedOn w:val="DefaultParagraphFont"/>
    <w:link w:val="BalloonText"/>
    <w:uiPriority w:val="99"/>
    <w:rsid w:val="00442CB3"/>
    <w:rPr>
      <w:rFonts w:ascii="Segoe UI" w:hAnsi="Segoe UI" w:cs="Segoe UI"/>
      <w:sz w:val="18"/>
      <w:szCs w:val="18"/>
      <w:lang w:val="en-GB"/>
    </w:rPr>
  </w:style>
  <w:style w:type="paragraph" w:customStyle="1" w:styleId="2Para0">
    <w:name w:val="2Para"/>
    <w:basedOn w:val="Normal"/>
    <w:rsid w:val="00442CB3"/>
    <w:pPr>
      <w:tabs>
        <w:tab w:val="num" w:pos="0"/>
        <w:tab w:val="left" w:pos="1440"/>
      </w:tabs>
      <w:spacing w:before="260" w:after="260"/>
    </w:pPr>
    <w:rPr>
      <w:szCs w:val="22"/>
    </w:rPr>
  </w:style>
  <w:style w:type="paragraph" w:customStyle="1" w:styleId="3Para0">
    <w:name w:val="3Para"/>
    <w:basedOn w:val="Normal"/>
    <w:rsid w:val="00442CB3"/>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442CB3"/>
    <w:pPr>
      <w:tabs>
        <w:tab w:val="num" w:pos="0"/>
        <w:tab w:val="left" w:pos="1440"/>
      </w:tabs>
      <w:spacing w:before="260" w:after="260"/>
    </w:pPr>
    <w:rPr>
      <w:szCs w:val="24"/>
    </w:rPr>
  </w:style>
  <w:style w:type="paragraph" w:customStyle="1" w:styleId="5Para0">
    <w:name w:val="5Para"/>
    <w:basedOn w:val="Normal"/>
    <w:rsid w:val="00442CB3"/>
    <w:pPr>
      <w:tabs>
        <w:tab w:val="num" w:pos="0"/>
        <w:tab w:val="left" w:pos="1440"/>
      </w:tabs>
      <w:spacing w:before="260" w:after="260"/>
    </w:pPr>
    <w:rPr>
      <w:szCs w:val="24"/>
    </w:rPr>
  </w:style>
  <w:style w:type="paragraph" w:customStyle="1" w:styleId="6Para0">
    <w:name w:val="6Para"/>
    <w:basedOn w:val="Normal"/>
    <w:rsid w:val="00442CB3"/>
    <w:pPr>
      <w:tabs>
        <w:tab w:val="num" w:pos="0"/>
        <w:tab w:val="left" w:pos="1440"/>
      </w:tabs>
      <w:spacing w:before="260" w:after="260"/>
    </w:pPr>
    <w:rPr>
      <w:szCs w:val="24"/>
    </w:rPr>
  </w:style>
  <w:style w:type="paragraph" w:customStyle="1" w:styleId="7Para0">
    <w:name w:val="7Para"/>
    <w:basedOn w:val="Normal"/>
    <w:rsid w:val="00442CB3"/>
    <w:pPr>
      <w:tabs>
        <w:tab w:val="num" w:pos="0"/>
        <w:tab w:val="left" w:pos="1440"/>
      </w:tabs>
      <w:spacing w:before="260" w:after="260"/>
    </w:pPr>
    <w:rPr>
      <w:szCs w:val="24"/>
    </w:rPr>
  </w:style>
  <w:style w:type="paragraph" w:customStyle="1" w:styleId="8Para0">
    <w:name w:val="8Para"/>
    <w:basedOn w:val="Normal"/>
    <w:rsid w:val="00442CB3"/>
    <w:pPr>
      <w:tabs>
        <w:tab w:val="num" w:pos="0"/>
        <w:tab w:val="left" w:pos="1440"/>
      </w:tabs>
      <w:spacing w:before="260" w:after="260"/>
    </w:pPr>
    <w:rPr>
      <w:szCs w:val="24"/>
    </w:rPr>
  </w:style>
  <w:style w:type="character" w:styleId="CommentReference">
    <w:name w:val="annotation reference"/>
    <w:basedOn w:val="DefaultParagraphFont"/>
    <w:uiPriority w:val="99"/>
    <w:unhideWhenUsed/>
    <w:rsid w:val="00442CB3"/>
    <w:rPr>
      <w:sz w:val="16"/>
      <w:szCs w:val="16"/>
    </w:rPr>
  </w:style>
  <w:style w:type="paragraph" w:styleId="CommentSubject">
    <w:name w:val="annotation subject"/>
    <w:basedOn w:val="CommentText"/>
    <w:next w:val="CommentText"/>
    <w:link w:val="CommentSubjectChar"/>
    <w:uiPriority w:val="99"/>
    <w:unhideWhenUsed/>
    <w:rsid w:val="00442CB3"/>
    <w:pPr>
      <w:jc w:val="left"/>
    </w:pPr>
    <w:rPr>
      <w:b/>
      <w:bCs/>
      <w:lang w:val="en-GB" w:eastAsia="de-DE"/>
    </w:rPr>
  </w:style>
  <w:style w:type="character" w:customStyle="1" w:styleId="CommentSubjectChar">
    <w:name w:val="Comment Subject Char"/>
    <w:basedOn w:val="CommentTextChar"/>
    <w:link w:val="CommentSubject"/>
    <w:uiPriority w:val="99"/>
    <w:rsid w:val="00442CB3"/>
    <w:rPr>
      <w:b/>
      <w:bCs/>
      <w:lang w:val="en-GB" w:eastAsia="en-US"/>
    </w:rPr>
  </w:style>
  <w:style w:type="paragraph" w:styleId="HTMLPreformatted">
    <w:name w:val="HTML Preformatted"/>
    <w:basedOn w:val="Normal"/>
    <w:link w:val="HTMLPreformattedChar"/>
    <w:uiPriority w:val="99"/>
    <w:unhideWhenUsed/>
    <w:rsid w:val="0044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442CB3"/>
    <w:rPr>
      <w:rFonts w:ascii="Courier New" w:hAnsi="Courier New" w:cs="Courier New"/>
      <w:lang w:val="ru-RU" w:eastAsia="ru-RU"/>
    </w:rPr>
  </w:style>
  <w:style w:type="paragraph" w:styleId="NormalWeb">
    <w:name w:val="Normal (Web)"/>
    <w:basedOn w:val="Normal"/>
    <w:uiPriority w:val="99"/>
    <w:unhideWhenUsed/>
    <w:rsid w:val="00442CB3"/>
    <w:pPr>
      <w:spacing w:before="100" w:beforeAutospacing="1" w:after="100" w:afterAutospacing="1"/>
      <w:jc w:val="left"/>
    </w:pPr>
    <w:rPr>
      <w:sz w:val="24"/>
      <w:szCs w:val="24"/>
      <w:lang w:val="de-DE" w:eastAsia="de-DE"/>
    </w:rPr>
  </w:style>
  <w:style w:type="paragraph" w:styleId="EndnoteText">
    <w:name w:val="endnote text"/>
    <w:basedOn w:val="Normal"/>
    <w:link w:val="EndnoteTextChar"/>
    <w:uiPriority w:val="99"/>
    <w:unhideWhenUsed/>
    <w:rsid w:val="00442CB3"/>
    <w:pPr>
      <w:jc w:val="left"/>
    </w:pPr>
    <w:rPr>
      <w:sz w:val="20"/>
      <w:lang w:eastAsia="de-DE"/>
    </w:rPr>
  </w:style>
  <w:style w:type="character" w:customStyle="1" w:styleId="EndnoteTextChar">
    <w:name w:val="Endnote Text Char"/>
    <w:basedOn w:val="DefaultParagraphFont"/>
    <w:link w:val="EndnoteText"/>
    <w:uiPriority w:val="99"/>
    <w:rsid w:val="00442CB3"/>
    <w:rPr>
      <w:lang w:val="en-GB"/>
    </w:rPr>
  </w:style>
  <w:style w:type="character" w:styleId="EndnoteReference">
    <w:name w:val="endnote reference"/>
    <w:basedOn w:val="DefaultParagraphFont"/>
    <w:uiPriority w:val="99"/>
    <w:unhideWhenUsed/>
    <w:rsid w:val="00442CB3"/>
    <w:rPr>
      <w:vertAlign w:val="superscript"/>
    </w:rPr>
  </w:style>
  <w:style w:type="table" w:customStyle="1" w:styleId="TableNormal1">
    <w:name w:val="Table Normal1"/>
    <w:uiPriority w:val="2"/>
    <w:semiHidden/>
    <w:unhideWhenUsed/>
    <w:qFormat/>
    <w:rsid w:val="00442C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2CB3"/>
    <w:pPr>
      <w:widowControl w:val="0"/>
      <w:autoSpaceDE w:val="0"/>
      <w:autoSpaceDN w:val="0"/>
      <w:spacing w:line="250" w:lineRule="exact"/>
      <w:ind w:left="23"/>
      <w:jc w:val="center"/>
    </w:pPr>
    <w:rPr>
      <w:szCs w:val="22"/>
      <w:lang w:val="en-US"/>
    </w:rPr>
  </w:style>
  <w:style w:type="table" w:styleId="TableGrid">
    <w:name w:val="Table Grid"/>
    <w:basedOn w:val="TableNormal"/>
    <w:rsid w:val="00442CB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42C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442CB3"/>
    <w:pPr>
      <w:autoSpaceDE w:val="0"/>
      <w:autoSpaceDN w:val="0"/>
      <w:adjustRightInd w:val="0"/>
    </w:pPr>
    <w:rPr>
      <w:color w:val="000000"/>
      <w:sz w:val="24"/>
      <w:szCs w:val="24"/>
      <w:lang w:eastAsia="fr-CA"/>
    </w:rPr>
  </w:style>
  <w:style w:type="paragraph" w:customStyle="1" w:styleId="ICAOnatWPlevel1">
    <w:name w:val="ICAOnatWPlevel1"/>
    <w:basedOn w:val="Normal"/>
    <w:qFormat/>
    <w:rsid w:val="00442CB3"/>
    <w:pPr>
      <w:numPr>
        <w:numId w:val="10"/>
      </w:numPr>
      <w:tabs>
        <w:tab w:val="left" w:pos="709"/>
        <w:tab w:val="left" w:pos="2410"/>
      </w:tabs>
      <w:spacing w:after="120"/>
      <w:jc w:val="left"/>
    </w:pPr>
    <w:rPr>
      <w:rFonts w:eastAsia="Calibri"/>
      <w:b/>
      <w:szCs w:val="22"/>
      <w:lang w:val="en-US"/>
    </w:rPr>
  </w:style>
  <w:style w:type="paragraph" w:customStyle="1" w:styleId="ICAOnatWPlevel2">
    <w:name w:val="ICAOnatWPlevel2"/>
    <w:basedOn w:val="Normal"/>
    <w:link w:val="ICAOnatWPlevel2Char"/>
    <w:qFormat/>
    <w:rsid w:val="00442CB3"/>
    <w:pPr>
      <w:numPr>
        <w:ilvl w:val="1"/>
        <w:numId w:val="10"/>
      </w:numPr>
      <w:tabs>
        <w:tab w:val="left" w:pos="1418"/>
      </w:tabs>
      <w:spacing w:after="240"/>
      <w:ind w:left="0" w:firstLine="0"/>
    </w:pPr>
    <w:rPr>
      <w:rFonts w:eastAsia="Calibri"/>
      <w:szCs w:val="22"/>
      <w:lang w:val="en-US"/>
    </w:rPr>
  </w:style>
  <w:style w:type="character" w:customStyle="1" w:styleId="ICAOnatWPlevel2Char">
    <w:name w:val="ICAOnatWPlevel2 Char"/>
    <w:link w:val="ICAOnatWPlevel2"/>
    <w:rsid w:val="00442CB3"/>
    <w:rPr>
      <w:rFonts w:eastAsia="Calibri"/>
      <w:sz w:val="22"/>
      <w:szCs w:val="22"/>
      <w:lang w:val="en-US" w:eastAsia="en-US"/>
    </w:rPr>
  </w:style>
  <w:style w:type="paragraph" w:customStyle="1" w:styleId="IcaoListabc">
    <w:name w:val="Icao List abc"/>
    <w:basedOn w:val="Normal"/>
    <w:link w:val="IcaoListabcChar"/>
    <w:rsid w:val="00442CB3"/>
    <w:pPr>
      <w:numPr>
        <w:numId w:val="11"/>
      </w:numPr>
      <w:autoSpaceDE w:val="0"/>
      <w:autoSpaceDN w:val="0"/>
      <w:adjustRightInd w:val="0"/>
      <w:spacing w:after="120"/>
      <w:jc w:val="left"/>
    </w:pPr>
    <w:rPr>
      <w:szCs w:val="22"/>
    </w:rPr>
  </w:style>
  <w:style w:type="character" w:customStyle="1" w:styleId="IcaoListabcChar">
    <w:name w:val="Icao List abc Char"/>
    <w:link w:val="IcaoListabc"/>
    <w:rsid w:val="00442CB3"/>
    <w:rPr>
      <w:sz w:val="22"/>
      <w:szCs w:val="22"/>
      <w:lang w:val="en-GB" w:eastAsia="en-US"/>
    </w:rPr>
  </w:style>
  <w:style w:type="character" w:styleId="Strong">
    <w:name w:val="Strong"/>
    <w:basedOn w:val="DefaultParagraphFont"/>
    <w:uiPriority w:val="22"/>
    <w:qFormat/>
    <w:rsid w:val="00442CB3"/>
    <w:rPr>
      <w:b/>
      <w:bCs/>
    </w:rPr>
  </w:style>
  <w:style w:type="character" w:styleId="Emphasis">
    <w:name w:val="Emphasis"/>
    <w:basedOn w:val="DefaultParagraphFont"/>
    <w:uiPriority w:val="20"/>
    <w:qFormat/>
    <w:rsid w:val="00442CB3"/>
    <w:rPr>
      <w:i/>
      <w:iCs/>
    </w:rPr>
  </w:style>
  <w:style w:type="paragraph" w:customStyle="1" w:styleId="SWGreportblock6a">
    <w:name w:val="SWG report block 6a)"/>
    <w:basedOn w:val="Normal"/>
    <w:link w:val="SWGreportblock6aZchn"/>
    <w:qFormat/>
    <w:rsid w:val="00442CB3"/>
    <w:pPr>
      <w:numPr>
        <w:numId w:val="12"/>
      </w:numPr>
      <w:spacing w:before="120" w:after="120"/>
      <w:jc w:val="left"/>
    </w:pPr>
    <w:rPr>
      <w:szCs w:val="24"/>
      <w:lang w:eastAsia="de-DE"/>
    </w:rPr>
  </w:style>
  <w:style w:type="paragraph" w:customStyle="1" w:styleId="SWGreportblock6b">
    <w:name w:val="SWG report block 6b"/>
    <w:basedOn w:val="SWGreportblock6a"/>
    <w:link w:val="SWGreportblock6bZchn"/>
    <w:qFormat/>
    <w:rsid w:val="00442CB3"/>
    <w:pPr>
      <w:numPr>
        <w:numId w:val="13"/>
      </w:numPr>
    </w:pPr>
  </w:style>
  <w:style w:type="character" w:customStyle="1" w:styleId="SWGreportblock6aZchn">
    <w:name w:val="SWG report block 6a) Zchn"/>
    <w:basedOn w:val="DefaultParagraphFont"/>
    <w:link w:val="SWGreportblock6a"/>
    <w:rsid w:val="00442CB3"/>
    <w:rPr>
      <w:sz w:val="22"/>
      <w:szCs w:val="24"/>
      <w:lang w:val="en-GB"/>
    </w:rPr>
  </w:style>
  <w:style w:type="paragraph" w:customStyle="1" w:styleId="SWGreportblock6c">
    <w:name w:val="SWG report block 6c"/>
    <w:basedOn w:val="SWGreportblock6b"/>
    <w:link w:val="SWGreportblock6cZchn"/>
    <w:qFormat/>
    <w:rsid w:val="00442CB3"/>
    <w:pPr>
      <w:numPr>
        <w:numId w:val="14"/>
      </w:numPr>
      <w:ind w:left="357" w:hanging="357"/>
    </w:pPr>
    <w:rPr>
      <w:lang w:val="en-US"/>
    </w:rPr>
  </w:style>
  <w:style w:type="character" w:customStyle="1" w:styleId="SWGreportblock6bZchn">
    <w:name w:val="SWG report block 6b Zchn"/>
    <w:basedOn w:val="SWGreportblock6aZchn"/>
    <w:link w:val="SWGreportblock6b"/>
    <w:rsid w:val="00442CB3"/>
    <w:rPr>
      <w:sz w:val="22"/>
      <w:szCs w:val="24"/>
      <w:lang w:val="en-GB"/>
    </w:rPr>
  </w:style>
  <w:style w:type="paragraph" w:customStyle="1" w:styleId="SWGreportblock6d0">
    <w:name w:val="SWG report block 6d"/>
    <w:basedOn w:val="SWGreportblock6c"/>
    <w:link w:val="SWGreportblock6dZchn"/>
    <w:qFormat/>
    <w:rsid w:val="00442CB3"/>
    <w:pPr>
      <w:numPr>
        <w:numId w:val="0"/>
      </w:numPr>
      <w:ind w:left="357" w:hanging="357"/>
    </w:pPr>
  </w:style>
  <w:style w:type="character" w:customStyle="1" w:styleId="SWGreportblock6cZchn">
    <w:name w:val="SWG report block 6c Zchn"/>
    <w:basedOn w:val="SWGreportblock6bZchn"/>
    <w:link w:val="SWGreportblock6c"/>
    <w:rsid w:val="00442CB3"/>
    <w:rPr>
      <w:sz w:val="22"/>
      <w:szCs w:val="24"/>
      <w:lang w:val="en-US"/>
    </w:rPr>
  </w:style>
  <w:style w:type="paragraph" w:customStyle="1" w:styleId="SWGreportblock6d">
    <w:name w:val="SWG report block 6d)"/>
    <w:basedOn w:val="SWGreportblock6b"/>
    <w:link w:val="SWGreportblock6dZchn0"/>
    <w:qFormat/>
    <w:rsid w:val="00442CB3"/>
    <w:pPr>
      <w:numPr>
        <w:numId w:val="15"/>
      </w:numPr>
    </w:pPr>
  </w:style>
  <w:style w:type="character" w:customStyle="1" w:styleId="SWGreportblock6dZchn">
    <w:name w:val="SWG report block 6d Zchn"/>
    <w:basedOn w:val="SWGreportblock6cZchn"/>
    <w:link w:val="SWGreportblock6d0"/>
    <w:rsid w:val="00442CB3"/>
    <w:rPr>
      <w:sz w:val="22"/>
      <w:szCs w:val="24"/>
      <w:lang w:val="en-US"/>
    </w:rPr>
  </w:style>
  <w:style w:type="paragraph" w:customStyle="1" w:styleId="SWGreportblock6e">
    <w:name w:val="SWG report block 6e"/>
    <w:basedOn w:val="SWGreportblock6d"/>
    <w:link w:val="SWGreportblock6eZchn"/>
    <w:qFormat/>
    <w:rsid w:val="00442CB3"/>
    <w:pPr>
      <w:numPr>
        <w:numId w:val="16"/>
      </w:numPr>
    </w:pPr>
  </w:style>
  <w:style w:type="character" w:customStyle="1" w:styleId="SWGreportblock6dZchn0">
    <w:name w:val="SWG report block 6d) Zchn"/>
    <w:basedOn w:val="SWGreportblock6bZchn"/>
    <w:link w:val="SWGreportblock6d"/>
    <w:rsid w:val="00442CB3"/>
    <w:rPr>
      <w:sz w:val="22"/>
      <w:szCs w:val="24"/>
      <w:lang w:val="en-GB"/>
    </w:rPr>
  </w:style>
  <w:style w:type="paragraph" w:customStyle="1" w:styleId="SWGreportblock6f">
    <w:name w:val="SWG report block 6f)"/>
    <w:basedOn w:val="SWGreportblock6e"/>
    <w:link w:val="SWGreportblock6fZchn"/>
    <w:qFormat/>
    <w:rsid w:val="00442CB3"/>
    <w:pPr>
      <w:numPr>
        <w:numId w:val="17"/>
      </w:numPr>
      <w:ind w:left="357" w:hanging="357"/>
    </w:pPr>
  </w:style>
  <w:style w:type="character" w:customStyle="1" w:styleId="SWGreportblock6eZchn">
    <w:name w:val="SWG report block 6e Zchn"/>
    <w:basedOn w:val="SWGreportblock6dZchn0"/>
    <w:link w:val="SWGreportblock6e"/>
    <w:rsid w:val="00442CB3"/>
    <w:rPr>
      <w:sz w:val="22"/>
      <w:szCs w:val="24"/>
      <w:lang w:val="en-GB"/>
    </w:rPr>
  </w:style>
  <w:style w:type="character" w:customStyle="1" w:styleId="SWGreportblock6fZchn">
    <w:name w:val="SWG report block 6f) Zchn"/>
    <w:basedOn w:val="SWGreportblock6eZchn"/>
    <w:link w:val="SWGreportblock6f"/>
    <w:rsid w:val="00442CB3"/>
    <w:rPr>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442CB3"/>
    <w:pPr>
      <w:keepNext/>
      <w:jc w:val="left"/>
      <w:outlineLvl w:val="1"/>
    </w:pPr>
    <w:rPr>
      <w:szCs w:val="24"/>
      <w:u w:val="single"/>
      <w:lang w:val="en-US" w:eastAsia="de-DE"/>
    </w:rPr>
  </w:style>
  <w:style w:type="paragraph" w:styleId="Heading3">
    <w:name w:val="heading 3"/>
    <w:basedOn w:val="Normal"/>
    <w:next w:val="Normal"/>
    <w:link w:val="Heading3Char"/>
    <w:qFormat/>
    <w:rsid w:val="00442CB3"/>
    <w:pPr>
      <w:keepNext/>
      <w:jc w:val="left"/>
      <w:outlineLvl w:val="2"/>
    </w:pPr>
    <w:rPr>
      <w:b/>
      <w:sz w:val="20"/>
      <w:szCs w:val="24"/>
      <w:lang w:val="fr-CA" w:eastAsia="de-DE"/>
    </w:rPr>
  </w:style>
  <w:style w:type="paragraph" w:styleId="Heading4">
    <w:name w:val="heading 4"/>
    <w:basedOn w:val="Normal"/>
    <w:next w:val="Normal"/>
    <w:link w:val="Heading4Char"/>
    <w:qFormat/>
    <w:rsid w:val="00442CB3"/>
    <w:pPr>
      <w:keepNext/>
      <w:numPr>
        <w:ilvl w:val="3"/>
        <w:numId w:val="7"/>
      </w:numPr>
      <w:spacing w:before="240" w:after="60"/>
      <w:jc w:val="left"/>
      <w:outlineLvl w:val="3"/>
    </w:pPr>
    <w:rPr>
      <w:rFonts w:ascii="Arial" w:hAnsi="Arial"/>
      <w:b/>
    </w:rPr>
  </w:style>
  <w:style w:type="paragraph" w:styleId="Heading5">
    <w:name w:val="heading 5"/>
    <w:basedOn w:val="Normal"/>
    <w:next w:val="Normal"/>
    <w:link w:val="Heading5Char"/>
    <w:qFormat/>
    <w:rsid w:val="00442CB3"/>
    <w:pPr>
      <w:numPr>
        <w:ilvl w:val="4"/>
        <w:numId w:val="7"/>
      </w:numPr>
      <w:spacing w:before="240" w:after="60"/>
      <w:jc w:val="left"/>
      <w:outlineLvl w:val="4"/>
    </w:pPr>
  </w:style>
  <w:style w:type="paragraph" w:styleId="Heading6">
    <w:name w:val="heading 6"/>
    <w:basedOn w:val="Normal"/>
    <w:next w:val="Normal"/>
    <w:link w:val="Heading6Char"/>
    <w:qFormat/>
    <w:rsid w:val="00442CB3"/>
    <w:pPr>
      <w:numPr>
        <w:ilvl w:val="5"/>
        <w:numId w:val="7"/>
      </w:numPr>
      <w:spacing w:before="240" w:after="60"/>
      <w:jc w:val="left"/>
      <w:outlineLvl w:val="5"/>
    </w:pPr>
    <w:rPr>
      <w:i/>
    </w:rPr>
  </w:style>
  <w:style w:type="paragraph" w:styleId="Heading7">
    <w:name w:val="heading 7"/>
    <w:basedOn w:val="Normal"/>
    <w:next w:val="Normal"/>
    <w:link w:val="Heading7Char"/>
    <w:qFormat/>
    <w:rsid w:val="00442CB3"/>
    <w:pPr>
      <w:numPr>
        <w:ilvl w:val="6"/>
        <w:numId w:val="7"/>
      </w:numPr>
      <w:spacing w:before="240" w:after="60"/>
      <w:jc w:val="left"/>
      <w:outlineLvl w:val="6"/>
    </w:pPr>
    <w:rPr>
      <w:rFonts w:ascii="Arial" w:hAnsi="Arial"/>
      <w:sz w:val="20"/>
    </w:rPr>
  </w:style>
  <w:style w:type="paragraph" w:styleId="Heading8">
    <w:name w:val="heading 8"/>
    <w:basedOn w:val="Normal"/>
    <w:next w:val="Normal"/>
    <w:link w:val="Heading8Char"/>
    <w:qFormat/>
    <w:rsid w:val="00442CB3"/>
    <w:pPr>
      <w:numPr>
        <w:ilvl w:val="7"/>
        <w:numId w:val="7"/>
      </w:numPr>
      <w:spacing w:before="240" w:after="60"/>
      <w:jc w:val="left"/>
      <w:outlineLvl w:val="7"/>
    </w:pPr>
    <w:rPr>
      <w:rFonts w:ascii="Arial" w:hAnsi="Arial"/>
      <w:i/>
      <w:sz w:val="20"/>
    </w:rPr>
  </w:style>
  <w:style w:type="paragraph" w:styleId="Heading9">
    <w:name w:val="heading 9"/>
    <w:basedOn w:val="Normal"/>
    <w:next w:val="Normal"/>
    <w:link w:val="Heading9Char"/>
    <w:qFormat/>
    <w:rsid w:val="00442CB3"/>
    <w:pPr>
      <w:numPr>
        <w:ilvl w:val="8"/>
        <w:numId w:val="7"/>
      </w:numPr>
      <w:spacing w:before="240" w:after="60"/>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rsid w:val="00442CB3"/>
    <w:rPr>
      <w:sz w:val="22"/>
      <w:szCs w:val="24"/>
      <w:u w:val="single"/>
      <w:lang w:val="en-US"/>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basedOn w:val="DefaultParagraphFont"/>
    <w:link w:val="Heading3"/>
    <w:rsid w:val="00442CB3"/>
    <w:rPr>
      <w:b/>
      <w:szCs w:val="24"/>
      <w:lang w:val="fr-CA"/>
    </w:rPr>
  </w:style>
  <w:style w:type="character" w:customStyle="1" w:styleId="Heading4Char">
    <w:name w:val="Heading 4 Char"/>
    <w:basedOn w:val="DefaultParagraphFont"/>
    <w:link w:val="Heading4"/>
    <w:rsid w:val="00442CB3"/>
    <w:rPr>
      <w:rFonts w:ascii="Arial" w:hAnsi="Arial"/>
      <w:b/>
      <w:sz w:val="22"/>
      <w:lang w:val="en-GB" w:eastAsia="en-US"/>
    </w:rPr>
  </w:style>
  <w:style w:type="character" w:customStyle="1" w:styleId="Heading5Char">
    <w:name w:val="Heading 5 Char"/>
    <w:basedOn w:val="DefaultParagraphFont"/>
    <w:link w:val="Heading5"/>
    <w:rsid w:val="00442CB3"/>
    <w:rPr>
      <w:sz w:val="22"/>
      <w:lang w:val="en-GB" w:eastAsia="en-US"/>
    </w:rPr>
  </w:style>
  <w:style w:type="character" w:customStyle="1" w:styleId="Heading6Char">
    <w:name w:val="Heading 6 Char"/>
    <w:basedOn w:val="DefaultParagraphFont"/>
    <w:link w:val="Heading6"/>
    <w:rsid w:val="00442CB3"/>
    <w:rPr>
      <w:i/>
      <w:sz w:val="22"/>
      <w:lang w:val="en-GB" w:eastAsia="en-US"/>
    </w:rPr>
  </w:style>
  <w:style w:type="character" w:customStyle="1" w:styleId="Heading7Char">
    <w:name w:val="Heading 7 Char"/>
    <w:basedOn w:val="DefaultParagraphFont"/>
    <w:link w:val="Heading7"/>
    <w:rsid w:val="00442CB3"/>
    <w:rPr>
      <w:rFonts w:ascii="Arial" w:hAnsi="Arial"/>
      <w:lang w:val="en-GB" w:eastAsia="en-US"/>
    </w:rPr>
  </w:style>
  <w:style w:type="character" w:customStyle="1" w:styleId="Heading8Char">
    <w:name w:val="Heading 8 Char"/>
    <w:basedOn w:val="DefaultParagraphFont"/>
    <w:link w:val="Heading8"/>
    <w:rsid w:val="00442CB3"/>
    <w:rPr>
      <w:rFonts w:ascii="Arial" w:hAnsi="Arial"/>
      <w:i/>
      <w:lang w:val="en-GB" w:eastAsia="en-US"/>
    </w:rPr>
  </w:style>
  <w:style w:type="character" w:customStyle="1" w:styleId="Heading9Char">
    <w:name w:val="Heading 9 Char"/>
    <w:basedOn w:val="DefaultParagraphFont"/>
    <w:link w:val="Heading9"/>
    <w:rsid w:val="00442CB3"/>
    <w:rPr>
      <w:rFonts w:ascii="Arial" w:hAnsi="Arial"/>
      <w:b/>
      <w:i/>
      <w:sz w:val="18"/>
      <w:lang w:val="en-GB" w:eastAsia="en-US"/>
    </w:rPr>
  </w:style>
  <w:style w:type="character" w:customStyle="1" w:styleId="Heading1Char">
    <w:name w:val="Heading 1 Char"/>
    <w:basedOn w:val="DefaultParagraphFont"/>
    <w:link w:val="Heading1"/>
    <w:rsid w:val="00442CB3"/>
    <w:rPr>
      <w:b/>
      <w:sz w:val="22"/>
      <w:lang w:val="en-GB" w:eastAsia="en-US"/>
    </w:rPr>
  </w:style>
  <w:style w:type="paragraph" w:styleId="ListBullet2">
    <w:name w:val="List Bullet 2"/>
    <w:basedOn w:val="Normal"/>
    <w:autoRedefine/>
    <w:rsid w:val="00442CB3"/>
    <w:pPr>
      <w:numPr>
        <w:numId w:val="6"/>
      </w:numPr>
      <w:tabs>
        <w:tab w:val="clear" w:pos="643"/>
        <w:tab w:val="num" w:pos="720"/>
      </w:tabs>
      <w:ind w:left="720"/>
      <w:jc w:val="left"/>
    </w:pPr>
  </w:style>
  <w:style w:type="paragraph" w:styleId="BodyText">
    <w:name w:val="Body Text"/>
    <w:basedOn w:val="Normal"/>
    <w:link w:val="BodyTextChar"/>
    <w:rsid w:val="00442CB3"/>
    <w:pPr>
      <w:jc w:val="left"/>
    </w:pPr>
    <w:rPr>
      <w:b/>
      <w:szCs w:val="24"/>
      <w:lang w:eastAsia="de-DE"/>
    </w:rPr>
  </w:style>
  <w:style w:type="character" w:customStyle="1" w:styleId="BodyTextChar">
    <w:name w:val="Body Text Char"/>
    <w:basedOn w:val="DefaultParagraphFont"/>
    <w:link w:val="BodyText"/>
    <w:rsid w:val="00442CB3"/>
    <w:rPr>
      <w:b/>
      <w:sz w:val="22"/>
      <w:szCs w:val="24"/>
      <w:lang w:val="en-GB"/>
    </w:rPr>
  </w:style>
  <w:style w:type="paragraph" w:styleId="BodyTextIndent">
    <w:name w:val="Body Text Indent"/>
    <w:basedOn w:val="Normal"/>
    <w:link w:val="BodyTextIndentChar"/>
    <w:rsid w:val="00442CB3"/>
    <w:pPr>
      <w:ind w:left="720" w:hanging="720"/>
      <w:jc w:val="left"/>
    </w:pPr>
    <w:rPr>
      <w:szCs w:val="24"/>
      <w:lang w:eastAsia="de-DE"/>
    </w:rPr>
  </w:style>
  <w:style w:type="character" w:customStyle="1" w:styleId="BodyTextIndentChar">
    <w:name w:val="Body Text Indent Char"/>
    <w:basedOn w:val="DefaultParagraphFont"/>
    <w:link w:val="BodyTextIndent"/>
    <w:rsid w:val="00442CB3"/>
    <w:rPr>
      <w:sz w:val="22"/>
      <w:szCs w:val="24"/>
      <w:lang w:val="en-GB"/>
    </w:rPr>
  </w:style>
  <w:style w:type="paragraph" w:styleId="Title">
    <w:name w:val="Title"/>
    <w:basedOn w:val="Normal"/>
    <w:link w:val="TitleChar"/>
    <w:qFormat/>
    <w:rsid w:val="00442CB3"/>
    <w:pPr>
      <w:jc w:val="center"/>
    </w:pPr>
    <w:rPr>
      <w:b/>
    </w:rPr>
  </w:style>
  <w:style w:type="character" w:customStyle="1" w:styleId="TitleChar">
    <w:name w:val="Title Char"/>
    <w:basedOn w:val="DefaultParagraphFont"/>
    <w:link w:val="Title"/>
    <w:rsid w:val="00442CB3"/>
    <w:rPr>
      <w:b/>
      <w:sz w:val="22"/>
      <w:lang w:val="en-GB" w:eastAsia="en-US"/>
    </w:rPr>
  </w:style>
  <w:style w:type="character" w:customStyle="1" w:styleId="HeaderChar">
    <w:name w:val="Header Char"/>
    <w:basedOn w:val="DefaultParagraphFont"/>
    <w:link w:val="Header"/>
    <w:uiPriority w:val="99"/>
    <w:locked/>
    <w:rsid w:val="00442CB3"/>
    <w:rPr>
      <w:sz w:val="22"/>
      <w:lang w:val="en-GB" w:eastAsia="en-US"/>
    </w:rPr>
  </w:style>
  <w:style w:type="paragraph" w:styleId="CommentText">
    <w:name w:val="annotation text"/>
    <w:basedOn w:val="Normal"/>
    <w:link w:val="CommentTextChar"/>
    <w:rsid w:val="00442CB3"/>
    <w:rPr>
      <w:sz w:val="20"/>
      <w:lang w:val="en-US"/>
    </w:rPr>
  </w:style>
  <w:style w:type="character" w:customStyle="1" w:styleId="CommentTextChar">
    <w:name w:val="Comment Text Char"/>
    <w:basedOn w:val="DefaultParagraphFont"/>
    <w:link w:val="CommentText"/>
    <w:rsid w:val="00442CB3"/>
    <w:rPr>
      <w:lang w:val="en-US" w:eastAsia="en-US"/>
    </w:rPr>
  </w:style>
  <w:style w:type="paragraph" w:styleId="Index1">
    <w:name w:val="index 1"/>
    <w:basedOn w:val="Normal"/>
    <w:next w:val="Normal"/>
    <w:rsid w:val="00442CB3"/>
    <w:pPr>
      <w:tabs>
        <w:tab w:val="left" w:pos="794"/>
        <w:tab w:val="left" w:pos="1191"/>
        <w:tab w:val="left" w:pos="1588"/>
        <w:tab w:val="left" w:pos="1985"/>
      </w:tabs>
      <w:spacing w:before="136"/>
    </w:pPr>
    <w:rPr>
      <w:lang w:val="en-US"/>
    </w:rPr>
  </w:style>
  <w:style w:type="paragraph" w:customStyle="1" w:styleId="Table">
    <w:name w:val="Table"/>
    <w:basedOn w:val="Normal"/>
    <w:rsid w:val="00442CB3"/>
    <w:pPr>
      <w:numPr>
        <w:numId w:val="9"/>
      </w:numPr>
      <w:jc w:val="center"/>
    </w:pPr>
    <w:rPr>
      <w:i/>
      <w:sz w:val="20"/>
      <w:lang w:eastAsia="fr-FR"/>
    </w:rPr>
  </w:style>
  <w:style w:type="paragraph" w:styleId="BodyTextIndent2">
    <w:name w:val="Body Text Indent 2"/>
    <w:basedOn w:val="Normal"/>
    <w:link w:val="BodyTextIndent2Char"/>
    <w:rsid w:val="00442CB3"/>
    <w:pPr>
      <w:ind w:left="708"/>
      <w:jc w:val="left"/>
    </w:pPr>
    <w:rPr>
      <w:szCs w:val="24"/>
      <w:lang w:val="en-US" w:eastAsia="de-DE"/>
    </w:rPr>
  </w:style>
  <w:style w:type="character" w:customStyle="1" w:styleId="BodyTextIndent2Char">
    <w:name w:val="Body Text Indent 2 Char"/>
    <w:basedOn w:val="DefaultParagraphFont"/>
    <w:link w:val="BodyTextIndent2"/>
    <w:rsid w:val="00442CB3"/>
    <w:rPr>
      <w:sz w:val="22"/>
      <w:szCs w:val="24"/>
      <w:lang w:val="en-US"/>
    </w:rPr>
  </w:style>
  <w:style w:type="character" w:styleId="Hyperlink">
    <w:name w:val="Hyperlink"/>
    <w:basedOn w:val="DefaultParagraphFont"/>
    <w:uiPriority w:val="99"/>
    <w:rsid w:val="00442CB3"/>
    <w:rPr>
      <w:rFonts w:cs="Times New Roman"/>
      <w:color w:val="0000FF"/>
      <w:u w:val="single"/>
    </w:rPr>
  </w:style>
  <w:style w:type="paragraph" w:styleId="BodyText2">
    <w:name w:val="Body Text 2"/>
    <w:basedOn w:val="Normal"/>
    <w:link w:val="BodyText2Char"/>
    <w:rsid w:val="00442CB3"/>
    <w:rPr>
      <w:szCs w:val="24"/>
      <w:lang w:eastAsia="de-DE"/>
    </w:rPr>
  </w:style>
  <w:style w:type="character" w:customStyle="1" w:styleId="BodyText2Char">
    <w:name w:val="Body Text 2 Char"/>
    <w:basedOn w:val="DefaultParagraphFont"/>
    <w:link w:val="BodyText2"/>
    <w:rsid w:val="00442CB3"/>
    <w:rPr>
      <w:sz w:val="22"/>
      <w:szCs w:val="24"/>
      <w:lang w:val="en-GB"/>
    </w:rPr>
  </w:style>
  <w:style w:type="paragraph" w:styleId="BodyTextIndent3">
    <w:name w:val="Body Text Indent 3"/>
    <w:basedOn w:val="Normal"/>
    <w:link w:val="BodyTextIndent3Char"/>
    <w:rsid w:val="00442CB3"/>
    <w:pPr>
      <w:ind w:left="426" w:hanging="426"/>
      <w:jc w:val="left"/>
    </w:pPr>
    <w:rPr>
      <w:szCs w:val="24"/>
      <w:lang w:eastAsia="de-DE"/>
    </w:rPr>
  </w:style>
  <w:style w:type="character" w:customStyle="1" w:styleId="BodyTextIndent3Char">
    <w:name w:val="Body Text Indent 3 Char"/>
    <w:basedOn w:val="DefaultParagraphFont"/>
    <w:link w:val="BodyTextIndent3"/>
    <w:rsid w:val="00442CB3"/>
    <w:rPr>
      <w:sz w:val="22"/>
      <w:szCs w:val="24"/>
      <w:lang w:val="en-GB"/>
    </w:rPr>
  </w:style>
  <w:style w:type="character" w:styleId="FollowedHyperlink">
    <w:name w:val="FollowedHyperlink"/>
    <w:basedOn w:val="DefaultParagraphFont"/>
    <w:rsid w:val="00442CB3"/>
    <w:rPr>
      <w:rFonts w:cs="Times New Roman"/>
      <w:color w:val="800080"/>
      <w:u w:val="single"/>
    </w:rPr>
  </w:style>
  <w:style w:type="character" w:customStyle="1" w:styleId="FooterChar">
    <w:name w:val="Footer Char"/>
    <w:basedOn w:val="DefaultParagraphFont"/>
    <w:link w:val="Footer"/>
    <w:rsid w:val="00442CB3"/>
    <w:rPr>
      <w:sz w:val="22"/>
      <w:lang w:val="en-GB" w:eastAsia="en-US"/>
    </w:rPr>
  </w:style>
  <w:style w:type="paragraph" w:styleId="BodyText3">
    <w:name w:val="Body Text 3"/>
    <w:basedOn w:val="Normal"/>
    <w:link w:val="BodyText3Char"/>
    <w:rsid w:val="00442CB3"/>
    <w:pPr>
      <w:jc w:val="left"/>
    </w:pPr>
    <w:rPr>
      <w:szCs w:val="24"/>
      <w:u w:val="single"/>
      <w:lang w:eastAsia="de-DE"/>
    </w:rPr>
  </w:style>
  <w:style w:type="character" w:customStyle="1" w:styleId="BodyText3Char">
    <w:name w:val="Body Text 3 Char"/>
    <w:basedOn w:val="DefaultParagraphFont"/>
    <w:link w:val="BodyText3"/>
    <w:rsid w:val="00442CB3"/>
    <w:rPr>
      <w:sz w:val="22"/>
      <w:szCs w:val="24"/>
      <w:u w:val="single"/>
      <w:lang w:val="en-GB"/>
    </w:rPr>
  </w:style>
  <w:style w:type="paragraph" w:customStyle="1" w:styleId="Style">
    <w:name w:val="Style"/>
    <w:basedOn w:val="Normal"/>
    <w:next w:val="BodyTextIndent"/>
    <w:uiPriority w:val="99"/>
    <w:rsid w:val="00442CB3"/>
    <w:pPr>
      <w:ind w:left="720" w:hanging="720"/>
      <w:jc w:val="left"/>
    </w:pPr>
    <w:rPr>
      <w:szCs w:val="24"/>
      <w:lang w:eastAsia="de-DE"/>
    </w:rPr>
  </w:style>
  <w:style w:type="paragraph" w:styleId="ListParagraph">
    <w:name w:val="List Paragraph"/>
    <w:basedOn w:val="Normal"/>
    <w:uiPriority w:val="34"/>
    <w:qFormat/>
    <w:rsid w:val="00442CB3"/>
    <w:pPr>
      <w:ind w:left="720"/>
      <w:contextualSpacing/>
      <w:jc w:val="left"/>
    </w:pPr>
    <w:rPr>
      <w:szCs w:val="24"/>
      <w:lang w:eastAsia="de-DE"/>
    </w:rPr>
  </w:style>
  <w:style w:type="paragraph" w:styleId="BalloonText">
    <w:name w:val="Balloon Text"/>
    <w:basedOn w:val="Normal"/>
    <w:link w:val="BalloonTextChar"/>
    <w:uiPriority w:val="99"/>
    <w:rsid w:val="00442CB3"/>
    <w:pPr>
      <w:jc w:val="left"/>
    </w:pPr>
    <w:rPr>
      <w:rFonts w:ascii="Segoe UI" w:hAnsi="Segoe UI" w:cs="Segoe UI"/>
      <w:sz w:val="18"/>
      <w:szCs w:val="18"/>
      <w:lang w:eastAsia="de-DE"/>
    </w:rPr>
  </w:style>
  <w:style w:type="character" w:customStyle="1" w:styleId="BalloonTextChar">
    <w:name w:val="Balloon Text Char"/>
    <w:basedOn w:val="DefaultParagraphFont"/>
    <w:link w:val="BalloonText"/>
    <w:uiPriority w:val="99"/>
    <w:rsid w:val="00442CB3"/>
    <w:rPr>
      <w:rFonts w:ascii="Segoe UI" w:hAnsi="Segoe UI" w:cs="Segoe UI"/>
      <w:sz w:val="18"/>
      <w:szCs w:val="18"/>
      <w:lang w:val="en-GB"/>
    </w:rPr>
  </w:style>
  <w:style w:type="paragraph" w:customStyle="1" w:styleId="2Para0">
    <w:name w:val="2Para"/>
    <w:basedOn w:val="Normal"/>
    <w:rsid w:val="00442CB3"/>
    <w:pPr>
      <w:tabs>
        <w:tab w:val="num" w:pos="0"/>
        <w:tab w:val="left" w:pos="1440"/>
      </w:tabs>
      <w:spacing w:before="260" w:after="260"/>
    </w:pPr>
    <w:rPr>
      <w:szCs w:val="22"/>
    </w:rPr>
  </w:style>
  <w:style w:type="paragraph" w:customStyle="1" w:styleId="3Para0">
    <w:name w:val="3Para"/>
    <w:basedOn w:val="Normal"/>
    <w:rsid w:val="00442CB3"/>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442CB3"/>
    <w:pPr>
      <w:tabs>
        <w:tab w:val="num" w:pos="0"/>
        <w:tab w:val="left" w:pos="1440"/>
      </w:tabs>
      <w:spacing w:before="260" w:after="260"/>
    </w:pPr>
    <w:rPr>
      <w:szCs w:val="24"/>
    </w:rPr>
  </w:style>
  <w:style w:type="paragraph" w:customStyle="1" w:styleId="5Para0">
    <w:name w:val="5Para"/>
    <w:basedOn w:val="Normal"/>
    <w:rsid w:val="00442CB3"/>
    <w:pPr>
      <w:tabs>
        <w:tab w:val="num" w:pos="0"/>
        <w:tab w:val="left" w:pos="1440"/>
      </w:tabs>
      <w:spacing w:before="260" w:after="260"/>
    </w:pPr>
    <w:rPr>
      <w:szCs w:val="24"/>
    </w:rPr>
  </w:style>
  <w:style w:type="paragraph" w:customStyle="1" w:styleId="6Para0">
    <w:name w:val="6Para"/>
    <w:basedOn w:val="Normal"/>
    <w:rsid w:val="00442CB3"/>
    <w:pPr>
      <w:tabs>
        <w:tab w:val="num" w:pos="0"/>
        <w:tab w:val="left" w:pos="1440"/>
      </w:tabs>
      <w:spacing w:before="260" w:after="260"/>
    </w:pPr>
    <w:rPr>
      <w:szCs w:val="24"/>
    </w:rPr>
  </w:style>
  <w:style w:type="paragraph" w:customStyle="1" w:styleId="7Para0">
    <w:name w:val="7Para"/>
    <w:basedOn w:val="Normal"/>
    <w:rsid w:val="00442CB3"/>
    <w:pPr>
      <w:tabs>
        <w:tab w:val="num" w:pos="0"/>
        <w:tab w:val="left" w:pos="1440"/>
      </w:tabs>
      <w:spacing w:before="260" w:after="260"/>
    </w:pPr>
    <w:rPr>
      <w:szCs w:val="24"/>
    </w:rPr>
  </w:style>
  <w:style w:type="paragraph" w:customStyle="1" w:styleId="8Para0">
    <w:name w:val="8Para"/>
    <w:basedOn w:val="Normal"/>
    <w:rsid w:val="00442CB3"/>
    <w:pPr>
      <w:tabs>
        <w:tab w:val="num" w:pos="0"/>
        <w:tab w:val="left" w:pos="1440"/>
      </w:tabs>
      <w:spacing w:before="260" w:after="260"/>
    </w:pPr>
    <w:rPr>
      <w:szCs w:val="24"/>
    </w:rPr>
  </w:style>
  <w:style w:type="character" w:styleId="CommentReference">
    <w:name w:val="annotation reference"/>
    <w:basedOn w:val="DefaultParagraphFont"/>
    <w:uiPriority w:val="99"/>
    <w:unhideWhenUsed/>
    <w:rsid w:val="00442CB3"/>
    <w:rPr>
      <w:sz w:val="16"/>
      <w:szCs w:val="16"/>
    </w:rPr>
  </w:style>
  <w:style w:type="paragraph" w:styleId="CommentSubject">
    <w:name w:val="annotation subject"/>
    <w:basedOn w:val="CommentText"/>
    <w:next w:val="CommentText"/>
    <w:link w:val="CommentSubjectChar"/>
    <w:uiPriority w:val="99"/>
    <w:unhideWhenUsed/>
    <w:rsid w:val="00442CB3"/>
    <w:pPr>
      <w:jc w:val="left"/>
    </w:pPr>
    <w:rPr>
      <w:b/>
      <w:bCs/>
      <w:lang w:val="en-GB" w:eastAsia="de-DE"/>
    </w:rPr>
  </w:style>
  <w:style w:type="character" w:customStyle="1" w:styleId="CommentSubjectChar">
    <w:name w:val="Comment Subject Char"/>
    <w:basedOn w:val="CommentTextChar"/>
    <w:link w:val="CommentSubject"/>
    <w:uiPriority w:val="99"/>
    <w:rsid w:val="00442CB3"/>
    <w:rPr>
      <w:b/>
      <w:bCs/>
      <w:lang w:val="en-GB" w:eastAsia="en-US"/>
    </w:rPr>
  </w:style>
  <w:style w:type="paragraph" w:styleId="HTMLPreformatted">
    <w:name w:val="HTML Preformatted"/>
    <w:basedOn w:val="Normal"/>
    <w:link w:val="HTMLPreformattedChar"/>
    <w:uiPriority w:val="99"/>
    <w:unhideWhenUsed/>
    <w:rsid w:val="0044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442CB3"/>
    <w:rPr>
      <w:rFonts w:ascii="Courier New" w:hAnsi="Courier New" w:cs="Courier New"/>
      <w:lang w:val="ru-RU" w:eastAsia="ru-RU"/>
    </w:rPr>
  </w:style>
  <w:style w:type="paragraph" w:styleId="NormalWeb">
    <w:name w:val="Normal (Web)"/>
    <w:basedOn w:val="Normal"/>
    <w:uiPriority w:val="99"/>
    <w:unhideWhenUsed/>
    <w:rsid w:val="00442CB3"/>
    <w:pPr>
      <w:spacing w:before="100" w:beforeAutospacing="1" w:after="100" w:afterAutospacing="1"/>
      <w:jc w:val="left"/>
    </w:pPr>
    <w:rPr>
      <w:sz w:val="24"/>
      <w:szCs w:val="24"/>
      <w:lang w:val="de-DE" w:eastAsia="de-DE"/>
    </w:rPr>
  </w:style>
  <w:style w:type="paragraph" w:styleId="EndnoteText">
    <w:name w:val="endnote text"/>
    <w:basedOn w:val="Normal"/>
    <w:link w:val="EndnoteTextChar"/>
    <w:uiPriority w:val="99"/>
    <w:unhideWhenUsed/>
    <w:rsid w:val="00442CB3"/>
    <w:pPr>
      <w:jc w:val="left"/>
    </w:pPr>
    <w:rPr>
      <w:sz w:val="20"/>
      <w:lang w:eastAsia="de-DE"/>
    </w:rPr>
  </w:style>
  <w:style w:type="character" w:customStyle="1" w:styleId="EndnoteTextChar">
    <w:name w:val="Endnote Text Char"/>
    <w:basedOn w:val="DefaultParagraphFont"/>
    <w:link w:val="EndnoteText"/>
    <w:uiPriority w:val="99"/>
    <w:rsid w:val="00442CB3"/>
    <w:rPr>
      <w:lang w:val="en-GB"/>
    </w:rPr>
  </w:style>
  <w:style w:type="character" w:styleId="EndnoteReference">
    <w:name w:val="endnote reference"/>
    <w:basedOn w:val="DefaultParagraphFont"/>
    <w:uiPriority w:val="99"/>
    <w:unhideWhenUsed/>
    <w:rsid w:val="00442CB3"/>
    <w:rPr>
      <w:vertAlign w:val="superscript"/>
    </w:rPr>
  </w:style>
  <w:style w:type="table" w:customStyle="1" w:styleId="TableNormal1">
    <w:name w:val="Table Normal1"/>
    <w:uiPriority w:val="2"/>
    <w:semiHidden/>
    <w:unhideWhenUsed/>
    <w:qFormat/>
    <w:rsid w:val="00442C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2CB3"/>
    <w:pPr>
      <w:widowControl w:val="0"/>
      <w:autoSpaceDE w:val="0"/>
      <w:autoSpaceDN w:val="0"/>
      <w:spacing w:line="250" w:lineRule="exact"/>
      <w:ind w:left="23"/>
      <w:jc w:val="center"/>
    </w:pPr>
    <w:rPr>
      <w:szCs w:val="22"/>
      <w:lang w:val="en-US"/>
    </w:rPr>
  </w:style>
  <w:style w:type="table" w:styleId="TableGrid">
    <w:name w:val="Table Grid"/>
    <w:basedOn w:val="TableNormal"/>
    <w:rsid w:val="00442CB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42CB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442CB3"/>
    <w:pPr>
      <w:autoSpaceDE w:val="0"/>
      <w:autoSpaceDN w:val="0"/>
      <w:adjustRightInd w:val="0"/>
    </w:pPr>
    <w:rPr>
      <w:color w:val="000000"/>
      <w:sz w:val="24"/>
      <w:szCs w:val="24"/>
      <w:lang w:eastAsia="fr-CA"/>
    </w:rPr>
  </w:style>
  <w:style w:type="paragraph" w:customStyle="1" w:styleId="ICAOnatWPlevel1">
    <w:name w:val="ICAOnatWPlevel1"/>
    <w:basedOn w:val="Normal"/>
    <w:qFormat/>
    <w:rsid w:val="00442CB3"/>
    <w:pPr>
      <w:numPr>
        <w:numId w:val="10"/>
      </w:numPr>
      <w:tabs>
        <w:tab w:val="left" w:pos="709"/>
        <w:tab w:val="left" w:pos="2410"/>
      </w:tabs>
      <w:spacing w:after="120"/>
      <w:jc w:val="left"/>
    </w:pPr>
    <w:rPr>
      <w:rFonts w:eastAsia="Calibri"/>
      <w:b/>
      <w:szCs w:val="22"/>
      <w:lang w:val="en-US"/>
    </w:rPr>
  </w:style>
  <w:style w:type="paragraph" w:customStyle="1" w:styleId="ICAOnatWPlevel2">
    <w:name w:val="ICAOnatWPlevel2"/>
    <w:basedOn w:val="Normal"/>
    <w:link w:val="ICAOnatWPlevel2Char"/>
    <w:qFormat/>
    <w:rsid w:val="00442CB3"/>
    <w:pPr>
      <w:numPr>
        <w:ilvl w:val="1"/>
        <w:numId w:val="10"/>
      </w:numPr>
      <w:tabs>
        <w:tab w:val="left" w:pos="1418"/>
      </w:tabs>
      <w:spacing w:after="240"/>
      <w:ind w:left="0" w:firstLine="0"/>
    </w:pPr>
    <w:rPr>
      <w:rFonts w:eastAsia="Calibri"/>
      <w:szCs w:val="22"/>
      <w:lang w:val="en-US"/>
    </w:rPr>
  </w:style>
  <w:style w:type="character" w:customStyle="1" w:styleId="ICAOnatWPlevel2Char">
    <w:name w:val="ICAOnatWPlevel2 Char"/>
    <w:link w:val="ICAOnatWPlevel2"/>
    <w:rsid w:val="00442CB3"/>
    <w:rPr>
      <w:rFonts w:eastAsia="Calibri"/>
      <w:sz w:val="22"/>
      <w:szCs w:val="22"/>
      <w:lang w:val="en-US" w:eastAsia="en-US"/>
    </w:rPr>
  </w:style>
  <w:style w:type="paragraph" w:customStyle="1" w:styleId="IcaoListabc">
    <w:name w:val="Icao List abc"/>
    <w:basedOn w:val="Normal"/>
    <w:link w:val="IcaoListabcChar"/>
    <w:rsid w:val="00442CB3"/>
    <w:pPr>
      <w:numPr>
        <w:numId w:val="11"/>
      </w:numPr>
      <w:autoSpaceDE w:val="0"/>
      <w:autoSpaceDN w:val="0"/>
      <w:adjustRightInd w:val="0"/>
      <w:spacing w:after="120"/>
      <w:jc w:val="left"/>
    </w:pPr>
    <w:rPr>
      <w:szCs w:val="22"/>
    </w:rPr>
  </w:style>
  <w:style w:type="character" w:customStyle="1" w:styleId="IcaoListabcChar">
    <w:name w:val="Icao List abc Char"/>
    <w:link w:val="IcaoListabc"/>
    <w:rsid w:val="00442CB3"/>
    <w:rPr>
      <w:sz w:val="22"/>
      <w:szCs w:val="22"/>
      <w:lang w:val="en-GB" w:eastAsia="en-US"/>
    </w:rPr>
  </w:style>
  <w:style w:type="character" w:styleId="Strong">
    <w:name w:val="Strong"/>
    <w:basedOn w:val="DefaultParagraphFont"/>
    <w:uiPriority w:val="22"/>
    <w:qFormat/>
    <w:rsid w:val="00442CB3"/>
    <w:rPr>
      <w:b/>
      <w:bCs/>
    </w:rPr>
  </w:style>
  <w:style w:type="character" w:styleId="Emphasis">
    <w:name w:val="Emphasis"/>
    <w:basedOn w:val="DefaultParagraphFont"/>
    <w:uiPriority w:val="20"/>
    <w:qFormat/>
    <w:rsid w:val="00442CB3"/>
    <w:rPr>
      <w:i/>
      <w:iCs/>
    </w:rPr>
  </w:style>
  <w:style w:type="paragraph" w:customStyle="1" w:styleId="SWGreportblock6a">
    <w:name w:val="SWG report block 6a)"/>
    <w:basedOn w:val="Normal"/>
    <w:link w:val="SWGreportblock6aZchn"/>
    <w:qFormat/>
    <w:rsid w:val="00442CB3"/>
    <w:pPr>
      <w:numPr>
        <w:numId w:val="12"/>
      </w:numPr>
      <w:spacing w:before="120" w:after="120"/>
      <w:jc w:val="left"/>
    </w:pPr>
    <w:rPr>
      <w:szCs w:val="24"/>
      <w:lang w:eastAsia="de-DE"/>
    </w:rPr>
  </w:style>
  <w:style w:type="paragraph" w:customStyle="1" w:styleId="SWGreportblock6b">
    <w:name w:val="SWG report block 6b"/>
    <w:basedOn w:val="SWGreportblock6a"/>
    <w:link w:val="SWGreportblock6bZchn"/>
    <w:qFormat/>
    <w:rsid w:val="00442CB3"/>
    <w:pPr>
      <w:numPr>
        <w:numId w:val="13"/>
      </w:numPr>
    </w:pPr>
  </w:style>
  <w:style w:type="character" w:customStyle="1" w:styleId="SWGreportblock6aZchn">
    <w:name w:val="SWG report block 6a) Zchn"/>
    <w:basedOn w:val="DefaultParagraphFont"/>
    <w:link w:val="SWGreportblock6a"/>
    <w:rsid w:val="00442CB3"/>
    <w:rPr>
      <w:sz w:val="22"/>
      <w:szCs w:val="24"/>
      <w:lang w:val="en-GB"/>
    </w:rPr>
  </w:style>
  <w:style w:type="paragraph" w:customStyle="1" w:styleId="SWGreportblock6c">
    <w:name w:val="SWG report block 6c"/>
    <w:basedOn w:val="SWGreportblock6b"/>
    <w:link w:val="SWGreportblock6cZchn"/>
    <w:qFormat/>
    <w:rsid w:val="00442CB3"/>
    <w:pPr>
      <w:numPr>
        <w:numId w:val="14"/>
      </w:numPr>
      <w:ind w:left="357" w:hanging="357"/>
    </w:pPr>
    <w:rPr>
      <w:lang w:val="en-US"/>
    </w:rPr>
  </w:style>
  <w:style w:type="character" w:customStyle="1" w:styleId="SWGreportblock6bZchn">
    <w:name w:val="SWG report block 6b Zchn"/>
    <w:basedOn w:val="SWGreportblock6aZchn"/>
    <w:link w:val="SWGreportblock6b"/>
    <w:rsid w:val="00442CB3"/>
    <w:rPr>
      <w:sz w:val="22"/>
      <w:szCs w:val="24"/>
      <w:lang w:val="en-GB"/>
    </w:rPr>
  </w:style>
  <w:style w:type="paragraph" w:customStyle="1" w:styleId="SWGreportblock6d0">
    <w:name w:val="SWG report block 6d"/>
    <w:basedOn w:val="SWGreportblock6c"/>
    <w:link w:val="SWGreportblock6dZchn"/>
    <w:qFormat/>
    <w:rsid w:val="00442CB3"/>
    <w:pPr>
      <w:numPr>
        <w:numId w:val="0"/>
      </w:numPr>
      <w:ind w:left="357" w:hanging="357"/>
    </w:pPr>
  </w:style>
  <w:style w:type="character" w:customStyle="1" w:styleId="SWGreportblock6cZchn">
    <w:name w:val="SWG report block 6c Zchn"/>
    <w:basedOn w:val="SWGreportblock6bZchn"/>
    <w:link w:val="SWGreportblock6c"/>
    <w:rsid w:val="00442CB3"/>
    <w:rPr>
      <w:sz w:val="22"/>
      <w:szCs w:val="24"/>
      <w:lang w:val="en-US"/>
    </w:rPr>
  </w:style>
  <w:style w:type="paragraph" w:customStyle="1" w:styleId="SWGreportblock6d">
    <w:name w:val="SWG report block 6d)"/>
    <w:basedOn w:val="SWGreportblock6b"/>
    <w:link w:val="SWGreportblock6dZchn0"/>
    <w:qFormat/>
    <w:rsid w:val="00442CB3"/>
    <w:pPr>
      <w:numPr>
        <w:numId w:val="15"/>
      </w:numPr>
    </w:pPr>
  </w:style>
  <w:style w:type="character" w:customStyle="1" w:styleId="SWGreportblock6dZchn">
    <w:name w:val="SWG report block 6d Zchn"/>
    <w:basedOn w:val="SWGreportblock6cZchn"/>
    <w:link w:val="SWGreportblock6d0"/>
    <w:rsid w:val="00442CB3"/>
    <w:rPr>
      <w:sz w:val="22"/>
      <w:szCs w:val="24"/>
      <w:lang w:val="en-US"/>
    </w:rPr>
  </w:style>
  <w:style w:type="paragraph" w:customStyle="1" w:styleId="SWGreportblock6e">
    <w:name w:val="SWG report block 6e"/>
    <w:basedOn w:val="SWGreportblock6d"/>
    <w:link w:val="SWGreportblock6eZchn"/>
    <w:qFormat/>
    <w:rsid w:val="00442CB3"/>
    <w:pPr>
      <w:numPr>
        <w:numId w:val="16"/>
      </w:numPr>
    </w:pPr>
  </w:style>
  <w:style w:type="character" w:customStyle="1" w:styleId="SWGreportblock6dZchn0">
    <w:name w:val="SWG report block 6d) Zchn"/>
    <w:basedOn w:val="SWGreportblock6bZchn"/>
    <w:link w:val="SWGreportblock6d"/>
    <w:rsid w:val="00442CB3"/>
    <w:rPr>
      <w:sz w:val="22"/>
      <w:szCs w:val="24"/>
      <w:lang w:val="en-GB"/>
    </w:rPr>
  </w:style>
  <w:style w:type="paragraph" w:customStyle="1" w:styleId="SWGreportblock6f">
    <w:name w:val="SWG report block 6f)"/>
    <w:basedOn w:val="SWGreportblock6e"/>
    <w:link w:val="SWGreportblock6fZchn"/>
    <w:qFormat/>
    <w:rsid w:val="00442CB3"/>
    <w:pPr>
      <w:numPr>
        <w:numId w:val="17"/>
      </w:numPr>
      <w:ind w:left="357" w:hanging="357"/>
    </w:pPr>
  </w:style>
  <w:style w:type="character" w:customStyle="1" w:styleId="SWGreportblock6eZchn">
    <w:name w:val="SWG report block 6e Zchn"/>
    <w:basedOn w:val="SWGreportblock6dZchn0"/>
    <w:link w:val="SWGreportblock6e"/>
    <w:rsid w:val="00442CB3"/>
    <w:rPr>
      <w:sz w:val="22"/>
      <w:szCs w:val="24"/>
      <w:lang w:val="en-GB"/>
    </w:rPr>
  </w:style>
  <w:style w:type="character" w:customStyle="1" w:styleId="SWGreportblock6fZchn">
    <w:name w:val="SWG report block 6f) Zchn"/>
    <w:basedOn w:val="SWGreportblock6eZchn"/>
    <w:link w:val="SWGreportblock6f"/>
    <w:rsid w:val="00442CB3"/>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erce.gov/sites/default/files/2019-03/DrivingSpaceCommerce.pdf" TargetMode="External"/><Relationship Id="rId18" Type="http://schemas.openxmlformats.org/officeDocument/2006/relationships/hyperlink" Target="mailto:%20Daniel.Domey@cmcelectronics.ca;harada-y486w@mlit.go.jp;jiayi1983@sina.cn" TargetMode="External"/><Relationship Id="rId26" Type="http://schemas.openxmlformats.org/officeDocument/2006/relationships/hyperlink" Target="mailto:asyadav@aai.aero;%20imre.banyasz@hungarocontrol.hu"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oel.Wichgers@collins.com"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tatic1.squarespace.com/static/566ef8b4d8af107232d5358a/t/5c99488beb39314c45e782da/1553549492554/Above+Us+Only+Stars.pdf" TargetMode="External"/><Relationship Id="rId17" Type="http://schemas.openxmlformats.org/officeDocument/2006/relationships/hyperlink" Target="mailto:ACapretti@icao.int;Felix.Butsch@dfs.de;gerhard.berz@eurocontrol.int;jules.hermens@ilent.nl;bkdhamu@aai.aero;michael.biggs@faa.gov;pierre.ladoux@aviation-civile.gouv.fr;r.witzen@videotron.ca" TargetMode="External"/><Relationship Id="rId25" Type="http://schemas.openxmlformats.org/officeDocument/2006/relationships/hyperlink" Target="mailto:pansingh@aai.aero"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el.Wichgers@collins" TargetMode="External"/><Relationship Id="rId20" Type="http://schemas.openxmlformats.org/officeDocument/2006/relationships/hyperlink" Target="mailto:Ken.Alexander@faa.gov" TargetMode="External"/><Relationship Id="rId29" Type="http://schemas.openxmlformats.org/officeDocument/2006/relationships/hyperlink" Target="mailto:lo_weng_kee@caas.gov.sg;%20mahuaw@163.com"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c4reports.org/aboveusonlystars" TargetMode="External"/><Relationship Id="rId24" Type="http://schemas.openxmlformats.org/officeDocument/2006/relationships/hyperlink" Target="mailto:Laurent.AZOULAI@airbus.com;y-matsuzawa@cj.jp.nec.com" TargetMode="External"/><Relationship Id="rId32" Type="http://schemas.openxmlformats.org/officeDocument/2006/relationships/hyperlink" Target="mailto:Ken.Alexander@faa.gov"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y-matsuzawa@cj.jp.nec.com" TargetMode="External"/><Relationship Id="rId23" Type="http://schemas.openxmlformats.org/officeDocument/2006/relationships/hyperlink" Target="mailto:Andreas.Lipp@eurocontrol.int;gerhard.berz@eurocontrol.int;barbara.clark@faa.gov;%20Bruce.Johnson@honeywell.com;tim.murphy@boeing.com;chegarty@mitre.org;Michael.Biggs@FAA.gov;%20Mark.Dickinson@FAA.gov;Joel.Wichgers@collins.com;%20Daniel.Domey@cmcelectronics.ca;%20rcassell@systems-enginuity.com;Orville.Nyhus@honeywell.com;%20Joel.Wichgers@collins.com;%20Adrian.Hiliuta@cmcelectronics.ca;%20Laurent.AZOULAI@airbus.com;Mike.Spanner@NATS.co.uk;%20John.dyson@nats.co.uk;jules.hermens@ilent.nl;%20Markelov@atminst.ru;aronov@geyser-telecom.ru;susaito@enri.go.jp;ono-t178@jransa.or.jp;%20wangzhipeng@buaa.edu.cn;%20wangwei_caac@sina.com;%20qinzhi@atmb.net.cn;xujiawei@atmb.org;shixiaofeng@buaa.edu.cn;liziji@atmb.net.cn;gao_shu@caas.gov.sg;lo_weng_kee@caas.gov.sg;simon.reynolds@airservicesaustralia.com;matthew.kelly@airservicesaustralia.com;%20christophe.dehaynain@aviation-civile.gouv.fr;pierre.ladoux@aviation-civile.gouv.fr" TargetMode="External"/><Relationship Id="rId28" Type="http://schemas.openxmlformats.org/officeDocument/2006/relationships/hyperlink" Target="mailto:liziji@atmb.net.cn;LJonasson@icao.int;%20MUtsunomiya@icao.int;bart.van-den-einden@eurocontrol.int;%20John.dyson@nats.co.uk"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y-matsuzawa@cj.jp.nec.com" TargetMode="External"/><Relationship Id="rId31" Type="http://schemas.openxmlformats.org/officeDocument/2006/relationships/hyperlink" Target="mailto:y-matsuzawa@cj.jp.nec.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Felix.Butsch@dfs.de" TargetMode="External"/><Relationship Id="rId22" Type="http://schemas.openxmlformats.org/officeDocument/2006/relationships/hyperlink" Target="mailto:Andreas.Lipp@eurocontrol.int" TargetMode="External"/><Relationship Id="rId27" Type="http://schemas.openxmlformats.org/officeDocument/2006/relationships/hyperlink" Target="mailto:PRINGVANIN@IATA.ORG;%20winfried.dunkel@dfs.de;%20stefan.naerlich@dfs.de;%20r.witzen@videotron.ca;john.banks@adept-atm.com;%20Michael.Schnell@dlr.de" TargetMode="External"/><Relationship Id="rId30" Type="http://schemas.openxmlformats.org/officeDocument/2006/relationships/hyperlink" Target="mailto:maurizio.scaramuzza@skyguide.ch" TargetMode="External"/><Relationship Id="rId35"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1681ED-62B3-486B-A7E7-630B2CBB7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C23A4-38F9-4C4D-B14B-C3822F9A4B17}">
  <ds:schemaRefs>
    <ds:schemaRef ds:uri="http://schemas.microsoft.com/sharepoint/v3/contenttype/forms"/>
  </ds:schemaRefs>
</ds:datastoreItem>
</file>

<file path=customXml/itemProps3.xml><?xml version="1.0" encoding="utf-8"?>
<ds:datastoreItem xmlns:ds="http://schemas.openxmlformats.org/officeDocument/2006/customXml" ds:itemID="{642E3A4D-34FF-4DBE-B04D-D4050E86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7741</Words>
  <Characters>44125</Characters>
  <Application>Microsoft Office Word</Application>
  <DocSecurity>0</DocSecurity>
  <Lines>367</Lines>
  <Paragraphs>103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51763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cp:lastModifiedBy>
  <cp:revision>3</cp:revision>
  <cp:lastPrinted>2005-03-16T12:26:00Z</cp:lastPrinted>
  <dcterms:created xsi:type="dcterms:W3CDTF">2019-08-20T10:42:00Z</dcterms:created>
  <dcterms:modified xsi:type="dcterms:W3CDTF">2019-08-20T12:53:00Z</dcterms:modified>
</cp:coreProperties>
</file>