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53FF406A" w14:textId="73A71E0F" w:rsidR="00275A29" w:rsidRDefault="00B052D7" w:rsidP="00275A29">
      <w:pPr>
        <w:pStyle w:val="Maintitle"/>
      </w:pPr>
      <w:r w:rsidRPr="00B052D7">
        <w:t xml:space="preserve">Fifteenth </w:t>
      </w:r>
      <w:r w:rsidR="00275A29">
        <w:t>Working Group meeting</w:t>
      </w:r>
    </w:p>
    <w:p w14:paraId="025715C0" w14:textId="77777777" w:rsidR="00275A29" w:rsidRDefault="00275A29" w:rsidP="00275A29"/>
    <w:p w14:paraId="3FDF9A03" w14:textId="750BF42B" w:rsidR="0029192F" w:rsidRPr="0029192F" w:rsidRDefault="00B052D7" w:rsidP="0029192F">
      <w:pPr>
        <w:jc w:val="center"/>
        <w:rPr>
          <w:b/>
          <w:bCs/>
        </w:rPr>
      </w:pPr>
      <w:bookmarkStart w:id="0" w:name="agenda_item"/>
      <w:bookmarkEnd w:id="0"/>
      <w:r w:rsidRPr="00B052D7">
        <w:rPr>
          <w:b/>
          <w:bCs/>
        </w:rPr>
        <w:t>Montreal (hybrid meeting), 22 Aug – 1 Sep 2022</w:t>
      </w:r>
    </w:p>
    <w:p w14:paraId="002441A1" w14:textId="77777777" w:rsidR="0029192F" w:rsidRPr="0029192F" w:rsidRDefault="0029192F" w:rsidP="0029192F">
      <w:pPr>
        <w:jc w:val="center"/>
        <w:rPr>
          <w:b/>
          <w:bCs/>
        </w:rPr>
      </w:pPr>
    </w:p>
    <w:p w14:paraId="6AF5F4DA" w14:textId="7EB799DF" w:rsidR="00B052D7" w:rsidRDefault="00DD3073" w:rsidP="00B052D7">
      <w:pPr>
        <w:kinsoku w:val="0"/>
        <w:overflowPunct w:val="0"/>
        <w:autoSpaceDE w:val="0"/>
        <w:autoSpaceDN w:val="0"/>
        <w:adjustRightInd w:val="0"/>
        <w:spacing w:line="237" w:lineRule="exact"/>
        <w:rPr>
          <w:b/>
        </w:rPr>
      </w:pPr>
      <w:r w:rsidRPr="00435AB8">
        <w:rPr>
          <w:b/>
          <w:color w:val="000000"/>
        </w:rPr>
        <w:t xml:space="preserve">Agenda Item </w:t>
      </w:r>
      <w:r>
        <w:rPr>
          <w:b/>
          <w:color w:val="000000"/>
        </w:rPr>
        <w:t>3b</w:t>
      </w:r>
      <w:r w:rsidRPr="00435AB8">
        <w:rPr>
          <w:b/>
          <w:color w:val="000000"/>
        </w:rPr>
        <w:t>):</w:t>
      </w:r>
      <w:r w:rsidRPr="00435AB8">
        <w:rPr>
          <w:b/>
          <w:color w:val="000000"/>
        </w:rPr>
        <w:tab/>
        <w:t>Development of (planned) Material for ITU-R Studies on WRC-23 AI1.7 VHF AMS(R)S</w:t>
      </w:r>
    </w:p>
    <w:p w14:paraId="5E642D14" w14:textId="77777777" w:rsidR="00B052D7" w:rsidRDefault="00B052D7" w:rsidP="00B052D7">
      <w:pPr>
        <w:kinsoku w:val="0"/>
        <w:overflowPunct w:val="0"/>
        <w:autoSpaceDE w:val="0"/>
        <w:autoSpaceDN w:val="0"/>
        <w:adjustRightInd w:val="0"/>
        <w:spacing w:line="237" w:lineRule="exact"/>
        <w:rPr>
          <w:b/>
        </w:rPr>
      </w:pPr>
    </w:p>
    <w:p w14:paraId="4905B62B" w14:textId="02CF7A81" w:rsidR="00066D95" w:rsidRDefault="00B052D7" w:rsidP="00B052D7">
      <w:pPr>
        <w:kinsoku w:val="0"/>
        <w:overflowPunct w:val="0"/>
        <w:autoSpaceDE w:val="0"/>
        <w:autoSpaceDN w:val="0"/>
        <w:adjustRightInd w:val="0"/>
        <w:spacing w:line="237" w:lineRule="exact"/>
        <w:jc w:val="center"/>
        <w:rPr>
          <w:rFonts w:eastAsia="Calibri"/>
          <w:b/>
        </w:rPr>
      </w:pPr>
      <w:r w:rsidRPr="00B052D7">
        <w:rPr>
          <w:rFonts w:eastAsia="Calibri"/>
          <w:b/>
        </w:rPr>
        <w:t xml:space="preserve">Proposed </w:t>
      </w:r>
      <w:r w:rsidR="00217AAA">
        <w:rPr>
          <w:rFonts w:eastAsia="Calibri"/>
          <w:b/>
        </w:rPr>
        <w:t>position of ICAO on</w:t>
      </w:r>
    </w:p>
    <w:p w14:paraId="1BA7BCA9" w14:textId="3163DD24" w:rsidR="009E6FA0" w:rsidRPr="00866337" w:rsidRDefault="00B052D7" w:rsidP="00866337">
      <w:pPr>
        <w:kinsoku w:val="0"/>
        <w:overflowPunct w:val="0"/>
        <w:autoSpaceDE w:val="0"/>
        <w:autoSpaceDN w:val="0"/>
        <w:adjustRightInd w:val="0"/>
        <w:spacing w:line="237" w:lineRule="exact"/>
        <w:jc w:val="center"/>
        <w:rPr>
          <w:rFonts w:eastAsia="Calibri"/>
          <w:b/>
        </w:rPr>
      </w:pPr>
      <w:r>
        <w:rPr>
          <w:rFonts w:eastAsia="Calibri"/>
          <w:b/>
        </w:rPr>
        <w:t xml:space="preserve"> </w:t>
      </w:r>
      <w:r w:rsidR="00893D95" w:rsidRPr="00B052D7">
        <w:rPr>
          <w:rFonts w:eastAsia="Calibri"/>
          <w:b/>
        </w:rPr>
        <w:t>WRC-23 AI 1.7 VHF AMS(R)S</w:t>
      </w:r>
      <w:r w:rsidR="00217AAA">
        <w:rPr>
          <w:rFonts w:eastAsia="Calibri"/>
          <w:b/>
        </w:rPr>
        <w:t xml:space="preserve"> for the ITU R CPM</w:t>
      </w:r>
      <w:bookmarkStart w:id="1" w:name="30j0zll" w:colFirst="0" w:colLast="0"/>
      <w:bookmarkEnd w:id="1"/>
    </w:p>
    <w:p w14:paraId="0CFD64B5" w14:textId="77777777" w:rsidR="009E6FA0" w:rsidRDefault="009E6FA0" w:rsidP="009E6FA0">
      <w:pPr>
        <w:tabs>
          <w:tab w:val="left" w:pos="6972"/>
        </w:tabs>
      </w:pPr>
    </w:p>
    <w:p w14:paraId="700D27E7" w14:textId="77777777" w:rsidR="009E6FA0" w:rsidRDefault="009E6FA0" w:rsidP="009E6FA0">
      <w:pPr>
        <w:tabs>
          <w:tab w:val="left" w:pos="6972"/>
        </w:tabs>
      </w:pPr>
    </w:p>
    <w:p w14:paraId="43C0B2F1" w14:textId="6458E3FC" w:rsidR="009E6FA0" w:rsidRDefault="009E6FA0" w:rsidP="009E6FA0">
      <w:pPr>
        <w:jc w:val="center"/>
      </w:pPr>
      <w:r>
        <w:t>(Presented by</w:t>
      </w:r>
      <w:bookmarkStart w:id="2" w:name="presented_by"/>
      <w:bookmarkEnd w:id="2"/>
      <w:r>
        <w:t xml:space="preserve"> </w:t>
      </w:r>
      <w:r w:rsidR="00612E76">
        <w:t xml:space="preserve">the </w:t>
      </w:r>
      <w:r w:rsidR="00066D95">
        <w:t>ENAIRE</w:t>
      </w:r>
      <w:r w:rsidR="00C27FE2">
        <w:t>, Indra and SITA</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0CFE65C5" w14:textId="5B71CFA3" w:rsidR="009E6FA0" w:rsidRDefault="00B83106" w:rsidP="002D1506">
            <w:r>
              <w:t xml:space="preserve">Here below a proposed update of the ICAO position regarding agenda item 1.7 of the WRC-23 is described. It is based on the progress made on studies for technical compatibility of potential new </w:t>
            </w:r>
            <w:r w:rsidR="003F060D">
              <w:t xml:space="preserve">allocation in the frequency band 117.975 – 137 MHz to the </w:t>
            </w:r>
            <w:r>
              <w:t xml:space="preserve">aeronautical mobile satellite (on </w:t>
            </w:r>
            <w:r w:rsidR="003F060D">
              <w:t>ro</w:t>
            </w:r>
            <w:r>
              <w:t>ute) service</w:t>
            </w:r>
            <w:r w:rsidR="003F060D">
              <w:t xml:space="preserve"> with respect to other services operating in adjacent bands. </w:t>
            </w:r>
            <w:r w:rsidR="00620955">
              <w:t>It updates the position vis a vis the resulting CPM text as produced by ITU R Working Party 5B.</w:t>
            </w:r>
          </w:p>
          <w:p w14:paraId="01960B9C" w14:textId="744809DB" w:rsidR="000464FF" w:rsidRDefault="000464FF" w:rsidP="002D1506"/>
          <w:p w14:paraId="1E48ECBD" w14:textId="1B179B48" w:rsidR="009E6FA0" w:rsidRDefault="009E6FA0" w:rsidP="002D1506">
            <w:r>
              <w:t>Action:  FSMP WG/1</w:t>
            </w:r>
            <w:r w:rsidR="00066D95">
              <w:t>5</w:t>
            </w:r>
            <w:r>
              <w:t xml:space="preserve"> is invited to review the </w:t>
            </w:r>
            <w:r w:rsidR="00620955">
              <w:t>proposed ICAO position</w:t>
            </w:r>
            <w:r w:rsidR="00E4683A">
              <w:t xml:space="preserve"> and inform to ITU-R CPM as appropriate</w:t>
            </w:r>
            <w:r>
              <w:t>.</w:t>
            </w:r>
          </w:p>
        </w:tc>
      </w:tr>
    </w:tbl>
    <w:p w14:paraId="42C4BA17" w14:textId="77777777" w:rsidR="009E6FA0" w:rsidRDefault="009E6FA0" w:rsidP="009E6FA0">
      <w:pPr>
        <w:pBdr>
          <w:bottom w:val="single" w:sz="12" w:space="1" w:color="auto"/>
        </w:pBdr>
      </w:pPr>
    </w:p>
    <w:p w14:paraId="1F6254F6" w14:textId="27714D7D" w:rsidR="00653425" w:rsidRPr="006640D7" w:rsidRDefault="00653425" w:rsidP="00774728">
      <w:pPr>
        <w:tabs>
          <w:tab w:val="left" w:pos="1134"/>
          <w:tab w:val="left" w:pos="1871"/>
          <w:tab w:val="left" w:pos="2268"/>
        </w:tabs>
        <w:overflowPunct w:val="0"/>
        <w:autoSpaceDE w:val="0"/>
        <w:autoSpaceDN w:val="0"/>
        <w:adjustRightInd w:val="0"/>
        <w:spacing w:before="120"/>
        <w:textAlignment w:val="baseline"/>
        <w:rPr>
          <w:b/>
          <w:bCs/>
          <w:u w:val="single"/>
          <w:lang w:val="en-GB"/>
        </w:rPr>
      </w:pPr>
      <w:r w:rsidRPr="006640D7">
        <w:rPr>
          <w:b/>
          <w:bCs/>
          <w:u w:val="single"/>
          <w:lang w:val="en-GB"/>
        </w:rPr>
        <w:t>Introduction</w:t>
      </w:r>
    </w:p>
    <w:p w14:paraId="7BE2FC49" w14:textId="70B382ED" w:rsidR="00653425" w:rsidRPr="006640D7" w:rsidRDefault="002F0F4E" w:rsidP="00774728">
      <w:pPr>
        <w:tabs>
          <w:tab w:val="left" w:pos="1134"/>
          <w:tab w:val="left" w:pos="1871"/>
          <w:tab w:val="left" w:pos="2268"/>
        </w:tabs>
        <w:overflowPunct w:val="0"/>
        <w:autoSpaceDE w:val="0"/>
        <w:autoSpaceDN w:val="0"/>
        <w:adjustRightInd w:val="0"/>
        <w:spacing w:before="120"/>
        <w:textAlignment w:val="baseline"/>
        <w:rPr>
          <w:lang w:val="en-GB"/>
        </w:rPr>
      </w:pPr>
      <w:r w:rsidRPr="006640D7">
        <w:rPr>
          <w:lang w:val="en-GB"/>
        </w:rPr>
        <w:t>ICAO usually issues an information paper to ITU R regarding the position of ICAO with respect to the agenda items of the WRC.</w:t>
      </w:r>
      <w:r w:rsidR="00FC11DF" w:rsidRPr="006640D7">
        <w:rPr>
          <w:lang w:val="en-GB"/>
        </w:rPr>
        <w:t xml:space="preserve"> With the aim of updating the position of ICAO at the light of progress made by ITU R Working Party 5B and the CPM text</w:t>
      </w:r>
      <w:r w:rsidR="007C66F9" w:rsidRPr="006640D7">
        <w:rPr>
          <w:lang w:val="en-GB"/>
        </w:rPr>
        <w:t>.</w:t>
      </w:r>
    </w:p>
    <w:p w14:paraId="4441608A" w14:textId="77777777" w:rsidR="00653425" w:rsidRPr="006640D7" w:rsidRDefault="00653425" w:rsidP="00774728">
      <w:pPr>
        <w:tabs>
          <w:tab w:val="left" w:pos="1134"/>
          <w:tab w:val="left" w:pos="1871"/>
          <w:tab w:val="left" w:pos="2268"/>
        </w:tabs>
        <w:overflowPunct w:val="0"/>
        <w:autoSpaceDE w:val="0"/>
        <w:autoSpaceDN w:val="0"/>
        <w:adjustRightInd w:val="0"/>
        <w:spacing w:before="120"/>
        <w:textAlignment w:val="baseline"/>
        <w:rPr>
          <w:u w:val="single"/>
          <w:lang w:val="en-GB"/>
        </w:rPr>
      </w:pPr>
    </w:p>
    <w:p w14:paraId="6DA7C7E8" w14:textId="6A071FFB" w:rsidR="00653425" w:rsidRPr="006640D7" w:rsidRDefault="00653425" w:rsidP="00774728">
      <w:pPr>
        <w:tabs>
          <w:tab w:val="left" w:pos="1134"/>
          <w:tab w:val="left" w:pos="1871"/>
          <w:tab w:val="left" w:pos="2268"/>
        </w:tabs>
        <w:overflowPunct w:val="0"/>
        <w:autoSpaceDE w:val="0"/>
        <w:autoSpaceDN w:val="0"/>
        <w:adjustRightInd w:val="0"/>
        <w:spacing w:before="120"/>
        <w:textAlignment w:val="baseline"/>
        <w:rPr>
          <w:b/>
          <w:bCs/>
          <w:u w:val="single"/>
          <w:lang w:val="en-GB"/>
        </w:rPr>
      </w:pPr>
      <w:r w:rsidRPr="006640D7">
        <w:rPr>
          <w:b/>
          <w:bCs/>
          <w:u w:val="single"/>
          <w:lang w:val="en-GB"/>
        </w:rPr>
        <w:t>Discussi</w:t>
      </w:r>
      <w:r w:rsidR="002F0F4E" w:rsidRPr="006640D7">
        <w:rPr>
          <w:b/>
          <w:bCs/>
          <w:u w:val="single"/>
          <w:lang w:val="en-GB"/>
        </w:rPr>
        <w:t>on</w:t>
      </w:r>
    </w:p>
    <w:p w14:paraId="0132457E" w14:textId="0D50635A" w:rsidR="00653425" w:rsidRPr="006640D7" w:rsidRDefault="00E000F1" w:rsidP="00774728">
      <w:pPr>
        <w:tabs>
          <w:tab w:val="left" w:pos="1134"/>
          <w:tab w:val="left" w:pos="1871"/>
          <w:tab w:val="left" w:pos="2268"/>
        </w:tabs>
        <w:overflowPunct w:val="0"/>
        <w:autoSpaceDE w:val="0"/>
        <w:autoSpaceDN w:val="0"/>
        <w:adjustRightInd w:val="0"/>
        <w:spacing w:before="120"/>
        <w:textAlignment w:val="baseline"/>
        <w:rPr>
          <w:lang w:val="en-GB"/>
        </w:rPr>
      </w:pPr>
      <w:r w:rsidRPr="006640D7">
        <w:rPr>
          <w:lang w:val="en-GB"/>
        </w:rPr>
        <w:t xml:space="preserve">ITU-R defines the conditions for use of a new allocation to the AMS(R)S without concluding on any allotment or assignment of the frequencies. The ITU R processes to agree on a new allocation </w:t>
      </w:r>
      <w:r w:rsidR="00927AEA" w:rsidRPr="006640D7">
        <w:rPr>
          <w:lang w:val="en-GB"/>
        </w:rPr>
        <w:t xml:space="preserve">for aeronautical mobile satellite (on route) service </w:t>
      </w:r>
      <w:r w:rsidRPr="006640D7">
        <w:rPr>
          <w:lang w:val="en-GB"/>
        </w:rPr>
        <w:t>are mostly based on compatibility with other services using adjacent bands. Once the new allocation is defined by ITU-R</w:t>
      </w:r>
      <w:r w:rsidR="00EA5285" w:rsidRPr="006640D7">
        <w:rPr>
          <w:lang w:val="en-GB"/>
        </w:rPr>
        <w:t xml:space="preserve"> with its associated conditions and regulatory provisions</w:t>
      </w:r>
      <w:r w:rsidRPr="006640D7">
        <w:rPr>
          <w:lang w:val="en-GB"/>
        </w:rPr>
        <w:t>, ICAO will conduct the subsequent stages on allotment, if required, or assignment of frequencies</w:t>
      </w:r>
      <w:r w:rsidR="00EA5285" w:rsidRPr="006640D7">
        <w:rPr>
          <w:lang w:val="en-GB"/>
        </w:rPr>
        <w:t>, together with national administrations assignment procedures,</w:t>
      </w:r>
      <w:r w:rsidRPr="006640D7">
        <w:rPr>
          <w:lang w:val="en-GB"/>
        </w:rPr>
        <w:t xml:space="preserve"> consistently with the conditions specified by ITU R for the use of the new allocation as well as </w:t>
      </w:r>
      <w:r w:rsidR="0064455E" w:rsidRPr="006640D7">
        <w:rPr>
          <w:lang w:val="en-GB"/>
        </w:rPr>
        <w:t xml:space="preserve">following any necessary </w:t>
      </w:r>
      <w:r w:rsidRPr="006640D7">
        <w:rPr>
          <w:lang w:val="en-GB"/>
        </w:rPr>
        <w:t xml:space="preserve">frequency assignments coordination procedures. Before ITU </w:t>
      </w:r>
      <w:r w:rsidRPr="006640D7">
        <w:rPr>
          <w:lang w:val="en-GB"/>
        </w:rPr>
        <w:lastRenderedPageBreak/>
        <w:t>R decides on the new allocation, ICAO can certainly conduct examples of exercises on frequency planning just to evidence that there would be tools to ensure the subsequent studies on allotment and/or assignments while protecting other aeronautical mobile services can be certainly undertaken.</w:t>
      </w:r>
    </w:p>
    <w:p w14:paraId="70F71268" w14:textId="406E5BB6" w:rsidR="00D048D5" w:rsidRPr="006640D7" w:rsidRDefault="0064455E" w:rsidP="00774728">
      <w:pPr>
        <w:tabs>
          <w:tab w:val="left" w:pos="1134"/>
          <w:tab w:val="left" w:pos="1871"/>
          <w:tab w:val="left" w:pos="2268"/>
        </w:tabs>
        <w:overflowPunct w:val="0"/>
        <w:autoSpaceDE w:val="0"/>
        <w:autoSpaceDN w:val="0"/>
        <w:adjustRightInd w:val="0"/>
        <w:spacing w:before="120"/>
        <w:textAlignment w:val="baseline"/>
        <w:rPr>
          <w:lang w:val="en-GB"/>
        </w:rPr>
      </w:pPr>
      <w:r w:rsidRPr="006640D7">
        <w:rPr>
          <w:lang w:val="en-GB"/>
        </w:rPr>
        <w:t xml:space="preserve">Consequently, at this stage of preparation of agenda item 1.7 of WRC23, </w:t>
      </w:r>
      <w:r w:rsidR="005A4D53" w:rsidRPr="006640D7">
        <w:rPr>
          <w:lang w:val="en-GB"/>
        </w:rPr>
        <w:t xml:space="preserve">there is sufficient material to </w:t>
      </w:r>
      <w:r w:rsidR="00E776FE" w:rsidRPr="006640D7">
        <w:rPr>
          <w:lang w:val="en-GB"/>
        </w:rPr>
        <w:t xml:space="preserve">preliminary </w:t>
      </w:r>
      <w:r w:rsidR="005A4D53" w:rsidRPr="006640D7">
        <w:rPr>
          <w:lang w:val="en-GB"/>
        </w:rPr>
        <w:t>conclude on the suitability of a new allocation to aeronautical mobile satellite (on route) service, thus providing the necessary flexibility to ICAO for future definition of the conditions to use such allocation.</w:t>
      </w:r>
      <w:r w:rsidR="0099695D" w:rsidRPr="006640D7">
        <w:rPr>
          <w:lang w:val="en-GB"/>
        </w:rPr>
        <w:t xml:space="preserve"> It is recommended to avoid the confusion or mixing of the two important steps before any effective use of the new allocation could be made: allocation (to be decided by ITU R) and allotment/assignment, to be decided by ICAO/national administrations. </w:t>
      </w:r>
      <w:r w:rsidR="004C0E8B" w:rsidRPr="006640D7">
        <w:rPr>
          <w:lang w:val="en-GB"/>
        </w:rPr>
        <w:t xml:space="preserve">Aviation community has now a tremendous opportunity to </w:t>
      </w:r>
      <w:r w:rsidR="0016260B" w:rsidRPr="006640D7">
        <w:rPr>
          <w:lang w:val="en-GB"/>
        </w:rPr>
        <w:t>insert a new allocation in the Article 5 of the Radio Regulations by adding allocation to aeronautical mobile satellite (on route) service, while specific conditions internal to ICAO regarding allotment and frequency planning exercises as well as coordination procedures will have to be developed at subsequent phases once the allocation is implemented in the Radio Regulations. In addition, ICAO will have to consider development of specific standards for the aeronautical mobile satellite (on route) service</w:t>
      </w:r>
      <w:r w:rsidR="00D048D5" w:rsidRPr="006640D7">
        <w:rPr>
          <w:lang w:val="en-GB"/>
        </w:rPr>
        <w:t xml:space="preserve">. Technology will evolve over years and likely usage conditions will also evolve over time (technology, standards, frequency assignments, etc.). </w:t>
      </w:r>
      <w:r w:rsidR="006956E1" w:rsidRPr="006640D7">
        <w:rPr>
          <w:lang w:val="en-GB"/>
        </w:rPr>
        <w:t xml:space="preserve">ICAO should not </w:t>
      </w:r>
      <w:r w:rsidR="000B2C53" w:rsidRPr="006640D7">
        <w:rPr>
          <w:lang w:val="en-GB"/>
        </w:rPr>
        <w:t>miss</w:t>
      </w:r>
      <w:r w:rsidR="006956E1" w:rsidRPr="006640D7">
        <w:rPr>
          <w:lang w:val="en-GB"/>
        </w:rPr>
        <w:t xml:space="preserve"> the opportunity offered by WRC 23 to decide on the new allocation. </w:t>
      </w:r>
    </w:p>
    <w:p w14:paraId="0013FE5C" w14:textId="122BDD61" w:rsidR="0064455E" w:rsidRPr="006640D7" w:rsidRDefault="00D048D5" w:rsidP="00774728">
      <w:pPr>
        <w:tabs>
          <w:tab w:val="left" w:pos="1134"/>
          <w:tab w:val="left" w:pos="1871"/>
          <w:tab w:val="left" w:pos="2268"/>
        </w:tabs>
        <w:overflowPunct w:val="0"/>
        <w:autoSpaceDE w:val="0"/>
        <w:autoSpaceDN w:val="0"/>
        <w:adjustRightInd w:val="0"/>
        <w:spacing w:before="120"/>
        <w:textAlignment w:val="baseline"/>
        <w:rPr>
          <w:lang w:val="en-GB"/>
        </w:rPr>
      </w:pPr>
      <w:r w:rsidRPr="006640D7">
        <w:rPr>
          <w:lang w:val="en-GB"/>
        </w:rPr>
        <w:t>By deciding on a new allocation to aeronautical mobile satellite (on route) service</w:t>
      </w:r>
      <w:r w:rsidR="00503F7F" w:rsidRPr="006640D7">
        <w:rPr>
          <w:lang w:val="en-GB"/>
        </w:rPr>
        <w:t xml:space="preserve"> </w:t>
      </w:r>
      <w:r w:rsidR="00175FB5" w:rsidRPr="006640D7">
        <w:rPr>
          <w:lang w:val="en-GB"/>
        </w:rPr>
        <w:t xml:space="preserve">in the frequency range 117.975-137 MHz </w:t>
      </w:r>
      <w:r w:rsidR="00503F7F" w:rsidRPr="006640D7">
        <w:rPr>
          <w:lang w:val="en-GB"/>
        </w:rPr>
        <w:t xml:space="preserve">at WRC23, ICAO will retain the flexibility to later usage of such </w:t>
      </w:r>
      <w:r w:rsidR="00175FB5" w:rsidRPr="006640D7">
        <w:rPr>
          <w:lang w:val="en-GB"/>
        </w:rPr>
        <w:t xml:space="preserve">band for the future, pending on subsequent allotment/assignment procedures. This </w:t>
      </w:r>
      <w:r w:rsidR="00DB4359" w:rsidRPr="006640D7">
        <w:rPr>
          <w:lang w:val="en-GB"/>
        </w:rPr>
        <w:t>process is not different than similar other processes which other services have to observe</w:t>
      </w:r>
      <w:r w:rsidR="000B4C71" w:rsidRPr="006640D7">
        <w:rPr>
          <w:lang w:val="en-GB"/>
        </w:rPr>
        <w:t xml:space="preserve"> too</w:t>
      </w:r>
      <w:r w:rsidR="00DB4359" w:rsidRPr="006640D7">
        <w:rPr>
          <w:lang w:val="en-GB"/>
        </w:rPr>
        <w:t xml:space="preserve">; for example, decisions on new allocations to mobile services taken at previous WRCs at still on the procedural stages of assignments (well known cases on </w:t>
      </w:r>
      <w:r w:rsidR="00362911" w:rsidRPr="006640D7">
        <w:rPr>
          <w:lang w:val="en-GB"/>
        </w:rPr>
        <w:t>allocations to mobile services being used for recent technologies like 5G).</w:t>
      </w:r>
    </w:p>
    <w:p w14:paraId="0FAAFF30" w14:textId="77777777" w:rsidR="009E6824" w:rsidRPr="006640D7" w:rsidRDefault="009E6824" w:rsidP="00774728">
      <w:pPr>
        <w:tabs>
          <w:tab w:val="left" w:pos="1134"/>
          <w:tab w:val="left" w:pos="1871"/>
          <w:tab w:val="left" w:pos="2268"/>
        </w:tabs>
        <w:overflowPunct w:val="0"/>
        <w:autoSpaceDE w:val="0"/>
        <w:autoSpaceDN w:val="0"/>
        <w:adjustRightInd w:val="0"/>
        <w:spacing w:before="120"/>
        <w:textAlignment w:val="baseline"/>
        <w:rPr>
          <w:lang w:val="en-GB"/>
        </w:rPr>
      </w:pPr>
    </w:p>
    <w:p w14:paraId="4B96106F" w14:textId="353D5FE3" w:rsidR="00E0442A" w:rsidRPr="006640D7" w:rsidRDefault="00E0442A" w:rsidP="00E0442A">
      <w:pPr>
        <w:spacing w:after="120"/>
        <w:rPr>
          <w:bCs/>
          <w:kern w:val="32"/>
          <w:lang w:eastAsia="es-ES"/>
        </w:rPr>
      </w:pPr>
      <w:r w:rsidRPr="006640D7">
        <w:rPr>
          <w:bCs/>
          <w:kern w:val="32"/>
          <w:lang w:eastAsia="es-ES"/>
        </w:rPr>
        <w:t xml:space="preserve">It is important to </w:t>
      </w:r>
      <w:r w:rsidR="009E6824" w:rsidRPr="006640D7">
        <w:rPr>
          <w:bCs/>
          <w:kern w:val="32"/>
          <w:lang w:eastAsia="es-ES"/>
        </w:rPr>
        <w:t>note</w:t>
      </w:r>
      <w:r w:rsidRPr="006640D7">
        <w:rPr>
          <w:bCs/>
          <w:kern w:val="32"/>
          <w:lang w:eastAsia="es-ES"/>
        </w:rPr>
        <w:t xml:space="preserve"> the different timelines of ICAO and ITU. Each Organization has different responsibilities and competences and carry out their work under different rules and timelines. </w:t>
      </w:r>
      <w:r w:rsidR="00C02FEB" w:rsidRPr="006640D7">
        <w:rPr>
          <w:bCs/>
          <w:kern w:val="32"/>
          <w:lang w:eastAsia="es-ES"/>
        </w:rPr>
        <w:t xml:space="preserve">Prior ITU R decides on the new allocation, ICAO can only conduct preliminary examples on frequency planning exercises and </w:t>
      </w:r>
      <w:r w:rsidR="008547EF" w:rsidRPr="006640D7">
        <w:rPr>
          <w:bCs/>
          <w:kern w:val="32"/>
          <w:lang w:eastAsia="es-ES"/>
        </w:rPr>
        <w:t xml:space="preserve">general estimations on the possible mechanisms available to carry out the subsequent phases on frequency assignment and SARPs. Technical conditions for the </w:t>
      </w:r>
      <w:r w:rsidR="002E2288" w:rsidRPr="006640D7">
        <w:rPr>
          <w:bCs/>
          <w:kern w:val="32"/>
          <w:lang w:eastAsia="es-ES"/>
        </w:rPr>
        <w:t xml:space="preserve">implementation of aeronautical mobile satellite (on route) service will have to be decided by ITU R based on technical compatibility with other </w:t>
      </w:r>
      <w:r w:rsidR="0028687A" w:rsidRPr="006640D7">
        <w:rPr>
          <w:bCs/>
          <w:kern w:val="32"/>
          <w:lang w:eastAsia="es-ES"/>
        </w:rPr>
        <w:t xml:space="preserve">adjacent band </w:t>
      </w:r>
      <w:r w:rsidR="002E2288" w:rsidRPr="006640D7">
        <w:rPr>
          <w:bCs/>
          <w:kern w:val="32"/>
          <w:lang w:eastAsia="es-ES"/>
        </w:rPr>
        <w:t>services</w:t>
      </w:r>
      <w:r w:rsidR="0028687A" w:rsidRPr="006640D7">
        <w:rPr>
          <w:bCs/>
          <w:kern w:val="32"/>
          <w:lang w:eastAsia="es-ES"/>
        </w:rPr>
        <w:t>.</w:t>
      </w:r>
    </w:p>
    <w:p w14:paraId="5701523B" w14:textId="041F9C51" w:rsidR="00E0442A" w:rsidRDefault="00E0442A" w:rsidP="00E0442A">
      <w:pPr>
        <w:spacing w:after="120"/>
        <w:rPr>
          <w:bCs/>
          <w:kern w:val="32"/>
          <w:lang w:eastAsia="es-ES"/>
        </w:rPr>
      </w:pPr>
      <w:r w:rsidRPr="006640D7">
        <w:rPr>
          <w:bCs/>
          <w:kern w:val="32"/>
          <w:lang w:eastAsia="es-ES"/>
        </w:rPr>
        <w:t xml:space="preserve">The </w:t>
      </w:r>
      <w:r w:rsidR="006640D7">
        <w:rPr>
          <w:bCs/>
          <w:kern w:val="32"/>
          <w:lang w:eastAsia="es-ES"/>
        </w:rPr>
        <w:t>Figure 1</w:t>
      </w:r>
      <w:r w:rsidRPr="006640D7">
        <w:rPr>
          <w:bCs/>
          <w:kern w:val="32"/>
          <w:lang w:eastAsia="es-ES"/>
        </w:rPr>
        <w:t xml:space="preserve"> provides a summary of the typical timeline</w:t>
      </w:r>
      <w:r w:rsidR="0028687A" w:rsidRPr="006640D7">
        <w:rPr>
          <w:bCs/>
          <w:kern w:val="32"/>
          <w:lang w:eastAsia="es-ES"/>
        </w:rPr>
        <w:t>s</w:t>
      </w:r>
      <w:r w:rsidR="006640D7">
        <w:rPr>
          <w:bCs/>
          <w:kern w:val="32"/>
          <w:lang w:eastAsia="es-ES"/>
        </w:rPr>
        <w:t>.</w:t>
      </w:r>
    </w:p>
    <w:p w14:paraId="4354837F" w14:textId="77777777" w:rsidR="006640D7" w:rsidRPr="006640D7" w:rsidRDefault="006640D7" w:rsidP="006640D7">
      <w:pPr>
        <w:tabs>
          <w:tab w:val="left" w:pos="1134"/>
          <w:tab w:val="left" w:pos="1871"/>
          <w:tab w:val="left" w:pos="2268"/>
        </w:tabs>
        <w:overflowPunct w:val="0"/>
        <w:autoSpaceDE w:val="0"/>
        <w:autoSpaceDN w:val="0"/>
        <w:adjustRightInd w:val="0"/>
        <w:spacing w:before="120"/>
        <w:textAlignment w:val="baseline"/>
        <w:rPr>
          <w:color w:val="000000"/>
        </w:rPr>
      </w:pPr>
      <w:r w:rsidRPr="006640D7">
        <w:rPr>
          <w:lang w:val="en-GB"/>
        </w:rPr>
        <w:t>At the 41</w:t>
      </w:r>
      <w:r w:rsidRPr="006640D7">
        <w:rPr>
          <w:vertAlign w:val="superscript"/>
          <w:lang w:val="en-GB"/>
        </w:rPr>
        <w:t xml:space="preserve">st </w:t>
      </w:r>
      <w:r w:rsidRPr="006640D7">
        <w:rPr>
          <w:lang w:val="en-GB"/>
        </w:rPr>
        <w:t xml:space="preserve">ICAO Assembly, the </w:t>
      </w:r>
      <w:r w:rsidRPr="006640D7">
        <w:t>Council of ICAO</w:t>
      </w:r>
      <w:r w:rsidRPr="006640D7">
        <w:rPr>
          <w:lang w:val="en-GB"/>
        </w:rPr>
        <w:t xml:space="preserve"> has submitted a WP/58 “New ICAO Standardisation Initiatives to Improve the Effectiveness of the Standards Development Process – The Integrated Communications, Navigation, Surveillance and Spectrum (ICNSS) Project”. It mentioned that ICAO has undertaken</w:t>
      </w:r>
      <w:r w:rsidRPr="006640D7">
        <w:rPr>
          <w:color w:val="000000"/>
        </w:rPr>
        <w:t xml:space="preserve"> a new initiative, the integrated CNS and spectrum project, with the goal being to ensure that aviation can best use the advantages that the rapid pace of technology provides. </w:t>
      </w:r>
      <w:r w:rsidRPr="006640D7">
        <w:rPr>
          <w:lang w:val="en-GB"/>
        </w:rPr>
        <w:t>Similarly, there is another WP/84 “</w:t>
      </w:r>
      <w:r w:rsidRPr="006640D7">
        <w:rPr>
          <w:color w:val="000000"/>
        </w:rPr>
        <w:t xml:space="preserve">A Roadmap for Integrated CNS and Spectrum (ICNSS). The paper mentioned that the aviation CNS systems need to embrace emerging technologies for the purpose of safe, efficient, and sustainable aviation. </w:t>
      </w:r>
    </w:p>
    <w:p w14:paraId="1C456EF0" w14:textId="77777777" w:rsidR="006640D7" w:rsidRPr="006640D7" w:rsidRDefault="006640D7" w:rsidP="006640D7">
      <w:pPr>
        <w:tabs>
          <w:tab w:val="left" w:pos="1134"/>
          <w:tab w:val="left" w:pos="1871"/>
          <w:tab w:val="left" w:pos="2268"/>
        </w:tabs>
        <w:overflowPunct w:val="0"/>
        <w:autoSpaceDE w:val="0"/>
        <w:autoSpaceDN w:val="0"/>
        <w:adjustRightInd w:val="0"/>
        <w:spacing w:before="120"/>
        <w:textAlignment w:val="baseline"/>
        <w:rPr>
          <w:color w:val="000000"/>
        </w:rPr>
      </w:pPr>
      <w:r w:rsidRPr="006640D7">
        <w:rPr>
          <w:color w:val="000000"/>
        </w:rPr>
        <w:t>Considering the above submissions to the 41</w:t>
      </w:r>
      <w:r w:rsidRPr="006640D7">
        <w:rPr>
          <w:color w:val="000000"/>
          <w:vertAlign w:val="superscript"/>
        </w:rPr>
        <w:t>st</w:t>
      </w:r>
      <w:r w:rsidRPr="006640D7">
        <w:rPr>
          <w:color w:val="000000"/>
        </w:rPr>
        <w:t xml:space="preserve"> Assembly, the aviation industry needs to keep pace with innovations, leverage on new technologies and embrace new entrants. </w:t>
      </w:r>
      <w:proofErr w:type="gramStart"/>
      <w:r w:rsidRPr="006640D7">
        <w:rPr>
          <w:color w:val="000000"/>
        </w:rPr>
        <w:t>Similar to</w:t>
      </w:r>
      <w:proofErr w:type="gramEnd"/>
      <w:r w:rsidRPr="006640D7">
        <w:rPr>
          <w:color w:val="000000"/>
        </w:rPr>
        <w:t xml:space="preserve"> satellite ADS-B, the AMS(R)S is one service that uses satellite technology to deliver effective and safe communications in the rural and oceanic regions.</w:t>
      </w:r>
      <w:r w:rsidRPr="006640D7">
        <w:rPr>
          <w:lang w:val="en-GB"/>
        </w:rPr>
        <w:t xml:space="preserve"> The whole band 117.975-137 MHz is relevant for future AMS(R)S because voice and data communications will be largely used, and it will provide flexibility to ICAO in the future planning exercises to ensure coexistence with other services sharing the band and for future aviation concept of operations </w:t>
      </w:r>
    </w:p>
    <w:p w14:paraId="2EBDB1D3" w14:textId="77777777" w:rsidR="006640D7" w:rsidRPr="006640D7" w:rsidRDefault="006640D7" w:rsidP="006640D7">
      <w:pPr>
        <w:tabs>
          <w:tab w:val="left" w:pos="1134"/>
          <w:tab w:val="left" w:pos="1871"/>
          <w:tab w:val="left" w:pos="2268"/>
        </w:tabs>
        <w:overflowPunct w:val="0"/>
        <w:autoSpaceDE w:val="0"/>
        <w:autoSpaceDN w:val="0"/>
        <w:adjustRightInd w:val="0"/>
        <w:spacing w:before="120"/>
        <w:textAlignment w:val="baseline"/>
        <w:rPr>
          <w:lang w:val="en-GB"/>
        </w:rPr>
      </w:pPr>
      <w:r w:rsidRPr="006640D7">
        <w:rPr>
          <w:lang w:val="en-GB"/>
        </w:rPr>
        <w:t xml:space="preserve">It is also relevant to note that due to the procedures implemented by ICAO (ICAO Doc. 9776 – Manual on VHF Data Link (VDL) Mode 2) the operation of this specific data application can be made in several frequency assignments within the range 136-137 MHz, even if a particular frequency assignment (like the Common </w:t>
      </w:r>
      <w:r w:rsidRPr="006640D7">
        <w:rPr>
          <w:lang w:val="en-GB"/>
        </w:rPr>
        <w:lastRenderedPageBreak/>
        <w:t>Signalling Channel (CSC)) may not be available in a given air space (due to impossibility to assign frequency assignment in a given air space or due to any other operational temporary or permanent situation).</w:t>
      </w:r>
    </w:p>
    <w:p w14:paraId="3E5BADD1" w14:textId="77777777" w:rsidR="006640D7" w:rsidRDefault="006640D7" w:rsidP="006640D7">
      <w:pPr>
        <w:tabs>
          <w:tab w:val="left" w:pos="1134"/>
          <w:tab w:val="left" w:pos="1871"/>
          <w:tab w:val="left" w:pos="2268"/>
        </w:tabs>
        <w:overflowPunct w:val="0"/>
        <w:autoSpaceDE w:val="0"/>
        <w:autoSpaceDN w:val="0"/>
        <w:adjustRightInd w:val="0"/>
        <w:spacing w:before="120"/>
        <w:textAlignment w:val="baseline"/>
        <w:rPr>
          <w:lang w:val="en-GB"/>
        </w:rPr>
      </w:pPr>
    </w:p>
    <w:p w14:paraId="4BBC7BA2" w14:textId="77777777" w:rsidR="006640D7" w:rsidRPr="006640D7" w:rsidRDefault="006640D7" w:rsidP="00E0442A">
      <w:pPr>
        <w:spacing w:after="120"/>
        <w:rPr>
          <w:bCs/>
          <w:kern w:val="32"/>
          <w:lang w:eastAsia="es-ES"/>
        </w:rPr>
      </w:pPr>
    </w:p>
    <w:p w14:paraId="6ACA51A9" w14:textId="5E27ED50" w:rsidR="00824EB6" w:rsidRDefault="00A732C5" w:rsidP="00A732C5">
      <w:pPr>
        <w:spacing w:after="120"/>
        <w:rPr>
          <w:rFonts w:ascii="Arial" w:hAnsi="Arial" w:cs="Arial"/>
          <w:bCs/>
          <w:color w:val="004254"/>
          <w:kern w:val="32"/>
          <w:lang w:eastAsia="es-ES"/>
        </w:rPr>
      </w:pPr>
      <w:r w:rsidRPr="006640D7">
        <w:rPr>
          <w:noProof/>
          <w:lang w:val="es-ES" w:eastAsia="es-ES"/>
        </w:rPr>
        <w:drawing>
          <wp:inline distT="0" distB="0" distL="0" distR="0" wp14:anchorId="65C5E8FA" wp14:editId="7487AFCF">
            <wp:extent cx="6189980" cy="293560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9980" cy="2935605"/>
                    </a:xfrm>
                    <a:prstGeom prst="rect">
                      <a:avLst/>
                    </a:prstGeom>
                    <a:noFill/>
                    <a:ln>
                      <a:noFill/>
                    </a:ln>
                  </pic:spPr>
                </pic:pic>
              </a:graphicData>
            </a:graphic>
          </wp:inline>
        </w:drawing>
      </w:r>
    </w:p>
    <w:p w14:paraId="3CC7ED5B" w14:textId="4D3FF74E" w:rsidR="006640D7" w:rsidRPr="006640D7" w:rsidRDefault="006640D7" w:rsidP="006640D7">
      <w:pPr>
        <w:spacing w:after="120"/>
        <w:jc w:val="center"/>
        <w:rPr>
          <w:bCs/>
          <w:kern w:val="32"/>
          <w:lang w:eastAsia="es-ES"/>
        </w:rPr>
      </w:pPr>
      <w:r w:rsidRPr="006640D7">
        <w:rPr>
          <w:bCs/>
          <w:kern w:val="32"/>
          <w:lang w:eastAsia="es-ES"/>
        </w:rPr>
        <w:t>Figure 1</w:t>
      </w:r>
    </w:p>
    <w:p w14:paraId="3A0931E2" w14:textId="66375F4B" w:rsidR="006640D7" w:rsidRPr="006640D7" w:rsidRDefault="006640D7" w:rsidP="006640D7">
      <w:pPr>
        <w:tabs>
          <w:tab w:val="left" w:pos="1134"/>
          <w:tab w:val="left" w:pos="1871"/>
          <w:tab w:val="left" w:pos="2268"/>
        </w:tabs>
        <w:overflowPunct w:val="0"/>
        <w:autoSpaceDE w:val="0"/>
        <w:autoSpaceDN w:val="0"/>
        <w:adjustRightInd w:val="0"/>
        <w:spacing w:before="120"/>
        <w:textAlignment w:val="baseline"/>
        <w:rPr>
          <w:lang w:val="en-GB"/>
        </w:rPr>
      </w:pPr>
    </w:p>
    <w:p w14:paraId="04BBB10A" w14:textId="00A09D30" w:rsidR="00774728" w:rsidRPr="006640D7" w:rsidRDefault="00982860" w:rsidP="00774728">
      <w:pPr>
        <w:tabs>
          <w:tab w:val="left" w:pos="1134"/>
          <w:tab w:val="left" w:pos="1871"/>
          <w:tab w:val="left" w:pos="2268"/>
        </w:tabs>
        <w:overflowPunct w:val="0"/>
        <w:autoSpaceDE w:val="0"/>
        <w:autoSpaceDN w:val="0"/>
        <w:adjustRightInd w:val="0"/>
        <w:spacing w:before="120"/>
        <w:textAlignment w:val="baseline"/>
        <w:rPr>
          <w:b/>
          <w:bCs/>
          <w:u w:val="single"/>
          <w:lang w:val="en-GB"/>
        </w:rPr>
      </w:pPr>
      <w:r w:rsidRPr="006640D7">
        <w:rPr>
          <w:b/>
          <w:bCs/>
          <w:u w:val="single"/>
          <w:lang w:val="en-GB"/>
        </w:rPr>
        <w:t>Updated p</w:t>
      </w:r>
      <w:r w:rsidR="00774728" w:rsidRPr="006640D7">
        <w:rPr>
          <w:b/>
          <w:bCs/>
          <w:u w:val="single"/>
          <w:lang w:val="en-GB"/>
        </w:rPr>
        <w:t>osition of ICAO regarding CPM text on Agenda Item 1.7</w:t>
      </w:r>
    </w:p>
    <w:p w14:paraId="70EEBCDA" w14:textId="588F0370" w:rsidR="00982860" w:rsidRPr="006640D7" w:rsidRDefault="00982860" w:rsidP="00982860">
      <w:pPr>
        <w:tabs>
          <w:tab w:val="left" w:pos="1134"/>
          <w:tab w:val="left" w:pos="1871"/>
          <w:tab w:val="left" w:pos="2268"/>
        </w:tabs>
        <w:overflowPunct w:val="0"/>
        <w:autoSpaceDE w:val="0"/>
        <w:autoSpaceDN w:val="0"/>
        <w:adjustRightInd w:val="0"/>
        <w:spacing w:before="120"/>
        <w:textAlignment w:val="baseline"/>
        <w:rPr>
          <w:lang w:val="en-GB"/>
        </w:rPr>
      </w:pPr>
      <w:r w:rsidRPr="006640D7">
        <w:rPr>
          <w:lang w:val="en-GB"/>
        </w:rPr>
        <w:t>ICAO supports ITU-R studies as called for by Resolution 428 (WRC-19).</w:t>
      </w:r>
      <w:r w:rsidR="00A24E48" w:rsidRPr="006640D7">
        <w:rPr>
          <w:lang w:val="en-GB"/>
        </w:rPr>
        <w:t xml:space="preserve"> ICAO supports</w:t>
      </w:r>
      <w:r w:rsidRPr="006640D7">
        <w:rPr>
          <w:lang w:val="en-GB"/>
        </w:rPr>
        <w:t xml:space="preserve"> a global allocation to the aeronautical mobile</w:t>
      </w:r>
      <w:r w:rsidR="0033079C" w:rsidRPr="006640D7">
        <w:rPr>
          <w:lang w:val="en-GB"/>
        </w:rPr>
        <w:t xml:space="preserve"> </w:t>
      </w:r>
      <w:r w:rsidRPr="006640D7">
        <w:rPr>
          <w:lang w:val="en-GB"/>
        </w:rPr>
        <w:t>satellite (route) service for both the Earth-to-space and space-to-Earth directions in the frequency band 117.975- 137 MHz and that the use of the allocation be limited to the relaying of aeronautical VHF air traffic management communications.</w:t>
      </w:r>
      <w:r w:rsidR="00627EE2" w:rsidRPr="006640D7">
        <w:rPr>
          <w:lang w:val="en-GB"/>
        </w:rPr>
        <w:t xml:space="preserve"> The</w:t>
      </w:r>
      <w:r w:rsidR="0033079C" w:rsidRPr="006640D7">
        <w:rPr>
          <w:lang w:val="en-GB"/>
        </w:rPr>
        <w:t xml:space="preserve"> aeronautical mobile satellite (route) service </w:t>
      </w:r>
      <w:r w:rsidRPr="006640D7">
        <w:rPr>
          <w:lang w:val="en-GB"/>
        </w:rPr>
        <w:t>shall operate in accordance with international Standards and Recommended Practices and procedures established in accordance with the Convention on International Civil Aviation.</w:t>
      </w:r>
    </w:p>
    <w:p w14:paraId="558DCFC7" w14:textId="668C2F29" w:rsidR="00CD7324" w:rsidRPr="006640D7" w:rsidRDefault="00774728" w:rsidP="00774728">
      <w:pPr>
        <w:tabs>
          <w:tab w:val="left" w:pos="1134"/>
          <w:tab w:val="left" w:pos="1871"/>
          <w:tab w:val="left" w:pos="2268"/>
        </w:tabs>
        <w:overflowPunct w:val="0"/>
        <w:autoSpaceDE w:val="0"/>
        <w:autoSpaceDN w:val="0"/>
        <w:adjustRightInd w:val="0"/>
        <w:spacing w:before="120"/>
        <w:textAlignment w:val="baseline"/>
        <w:rPr>
          <w:lang w:val="en-GB"/>
        </w:rPr>
      </w:pPr>
      <w:r w:rsidRPr="006640D7">
        <w:rPr>
          <w:lang w:val="en-GB"/>
        </w:rPr>
        <w:t xml:space="preserve">ICAO has </w:t>
      </w:r>
      <w:r w:rsidR="009814D7" w:rsidRPr="006640D7">
        <w:rPr>
          <w:lang w:val="en-GB"/>
        </w:rPr>
        <w:t xml:space="preserve">monitored </w:t>
      </w:r>
      <w:r w:rsidRPr="006640D7">
        <w:rPr>
          <w:lang w:val="en-GB"/>
        </w:rPr>
        <w:t xml:space="preserve">the </w:t>
      </w:r>
      <w:r w:rsidR="006D2090" w:rsidRPr="006640D7">
        <w:rPr>
          <w:lang w:val="en-GB"/>
        </w:rPr>
        <w:t>progress made by ITU R Working Party 5B on technical compatibility</w:t>
      </w:r>
      <w:r w:rsidR="009C2099" w:rsidRPr="006640D7">
        <w:rPr>
          <w:lang w:val="en-GB"/>
        </w:rPr>
        <w:t xml:space="preserve"> between new AMS(R)S and existing services operating in adjacent bands as well as the </w:t>
      </w:r>
      <w:r w:rsidRPr="006640D7">
        <w:rPr>
          <w:lang w:val="en-GB"/>
        </w:rPr>
        <w:t xml:space="preserve">CPM text resulting from the WP 5B meeting of July 2022. </w:t>
      </w:r>
    </w:p>
    <w:p w14:paraId="09F54B0F" w14:textId="77777777" w:rsidR="0020631D" w:rsidRPr="006640D7" w:rsidRDefault="0020631D" w:rsidP="0020631D">
      <w:pPr>
        <w:autoSpaceDE w:val="0"/>
        <w:autoSpaceDN w:val="0"/>
        <w:rPr>
          <w:lang w:val="en-GB"/>
        </w:rPr>
      </w:pPr>
    </w:p>
    <w:p w14:paraId="114F9544" w14:textId="7B77A2BC" w:rsidR="0020631D" w:rsidRPr="006640D7" w:rsidRDefault="0020631D" w:rsidP="0020631D">
      <w:pPr>
        <w:autoSpaceDE w:val="0"/>
        <w:autoSpaceDN w:val="0"/>
        <w:rPr>
          <w:iCs/>
        </w:rPr>
      </w:pPr>
      <w:r w:rsidRPr="006640D7">
        <w:t xml:space="preserve">In the draft CPM text for AI 1.7, three methods were </w:t>
      </w:r>
      <w:r w:rsidRPr="006640D7">
        <w:rPr>
          <w:iCs/>
        </w:rPr>
        <w:t>considered to address</w:t>
      </w:r>
      <w:r w:rsidRPr="006640D7" w:rsidDel="009F6F0B">
        <w:rPr>
          <w:iCs/>
        </w:rPr>
        <w:t xml:space="preserve"> </w:t>
      </w:r>
      <w:r w:rsidRPr="006640D7">
        <w:rPr>
          <w:iCs/>
        </w:rPr>
        <w:t>this agenda item:</w:t>
      </w:r>
    </w:p>
    <w:p w14:paraId="37AB0ED1" w14:textId="77777777" w:rsidR="0020631D" w:rsidRPr="006640D7" w:rsidRDefault="0020631D" w:rsidP="0020631D">
      <w:pPr>
        <w:autoSpaceDE w:val="0"/>
        <w:autoSpaceDN w:val="0"/>
      </w:pPr>
    </w:p>
    <w:p w14:paraId="351E0C26" w14:textId="77777777" w:rsidR="0020631D" w:rsidRPr="006640D7" w:rsidRDefault="0020631D" w:rsidP="00790022">
      <w:pPr>
        <w:autoSpaceDE w:val="0"/>
        <w:autoSpaceDN w:val="0"/>
        <w:ind w:left="720"/>
        <w:rPr>
          <w:i/>
          <w:iCs/>
        </w:rPr>
      </w:pPr>
      <w:r w:rsidRPr="006640D7">
        <w:rPr>
          <w:b/>
          <w:bCs/>
          <w:i/>
          <w:iCs/>
        </w:rPr>
        <w:t>Method A</w:t>
      </w:r>
      <w:r w:rsidRPr="006640D7">
        <w:rPr>
          <w:i/>
          <w:iCs/>
        </w:rPr>
        <w:t>: No change</w:t>
      </w:r>
    </w:p>
    <w:p w14:paraId="07200BD4" w14:textId="66C20D62" w:rsidR="0020631D" w:rsidRPr="006640D7" w:rsidRDefault="0020631D" w:rsidP="00790022">
      <w:pPr>
        <w:autoSpaceDE w:val="0"/>
        <w:autoSpaceDN w:val="0"/>
        <w:ind w:left="720"/>
        <w:rPr>
          <w:i/>
          <w:iCs/>
        </w:rPr>
      </w:pPr>
      <w:r w:rsidRPr="006640D7">
        <w:rPr>
          <w:b/>
          <w:bCs/>
          <w:i/>
          <w:iCs/>
        </w:rPr>
        <w:t>Method B</w:t>
      </w:r>
      <w:r w:rsidRPr="006640D7">
        <w:rPr>
          <w:i/>
          <w:iCs/>
        </w:rPr>
        <w:t>: This Method, which provides general common elements required to be complemented with Methods B1 or B2, proposes to add a new allocation to the AMS(R)S in the frequency band 117.975-137 MHz, or part thereof, limited to non-geostationary satellite systems and to internationally standardized aeronautical systems. This Method is not an independent and standalone Method as such and thus should be considered together with Methods B1 or B2.</w:t>
      </w:r>
    </w:p>
    <w:p w14:paraId="7372685A" w14:textId="77777777" w:rsidR="0020631D" w:rsidRPr="006640D7" w:rsidRDefault="0020631D" w:rsidP="00790022">
      <w:pPr>
        <w:pStyle w:val="ListParagraph"/>
        <w:numPr>
          <w:ilvl w:val="0"/>
          <w:numId w:val="28"/>
        </w:numPr>
        <w:autoSpaceDE w:val="0"/>
        <w:autoSpaceDN w:val="0"/>
        <w:ind w:left="1080"/>
        <w:contextualSpacing w:val="0"/>
        <w:rPr>
          <w:i/>
          <w:iCs/>
          <w:szCs w:val="22"/>
        </w:rPr>
      </w:pPr>
      <w:r w:rsidRPr="006640D7">
        <w:rPr>
          <w:b/>
          <w:bCs/>
          <w:i/>
          <w:iCs/>
          <w:szCs w:val="22"/>
        </w:rPr>
        <w:lastRenderedPageBreak/>
        <w:t>Method B1</w:t>
      </w:r>
      <w:r w:rsidRPr="006640D7">
        <w:rPr>
          <w:i/>
          <w:iCs/>
          <w:szCs w:val="22"/>
        </w:rPr>
        <w:t xml:space="preserve"> is containing the elements of Method B, and proposes to add a </w:t>
      </w:r>
      <w:proofErr w:type="spellStart"/>
      <w:r w:rsidRPr="006640D7">
        <w:rPr>
          <w:i/>
          <w:iCs/>
          <w:szCs w:val="22"/>
        </w:rPr>
        <w:t>pfd</w:t>
      </w:r>
      <w:proofErr w:type="spellEnd"/>
      <w:r w:rsidRPr="006640D7">
        <w:rPr>
          <w:i/>
          <w:iCs/>
          <w:szCs w:val="22"/>
        </w:rPr>
        <w:t xml:space="preserve"> limit, where appropriate, on AMS(R)S space stations unwanted emissions falling above 137 MHz, in order to ensure protection of adjacent band services above 137 </w:t>
      </w:r>
      <w:proofErr w:type="spellStart"/>
      <w:r w:rsidRPr="006640D7">
        <w:rPr>
          <w:i/>
          <w:iCs/>
          <w:szCs w:val="22"/>
        </w:rPr>
        <w:t>MHz.</w:t>
      </w:r>
      <w:proofErr w:type="spellEnd"/>
    </w:p>
    <w:p w14:paraId="071A4893" w14:textId="77777777" w:rsidR="0020631D" w:rsidRPr="006640D7" w:rsidRDefault="0020631D" w:rsidP="00790022">
      <w:pPr>
        <w:pStyle w:val="ListParagraph"/>
        <w:numPr>
          <w:ilvl w:val="0"/>
          <w:numId w:val="28"/>
        </w:numPr>
        <w:autoSpaceDE w:val="0"/>
        <w:autoSpaceDN w:val="0"/>
        <w:ind w:left="1080"/>
        <w:contextualSpacing w:val="0"/>
        <w:rPr>
          <w:i/>
          <w:iCs/>
          <w:szCs w:val="22"/>
        </w:rPr>
      </w:pPr>
      <w:r w:rsidRPr="006640D7">
        <w:rPr>
          <w:b/>
          <w:bCs/>
          <w:i/>
          <w:iCs/>
          <w:szCs w:val="22"/>
        </w:rPr>
        <w:t>Method B2</w:t>
      </w:r>
      <w:r w:rsidRPr="006640D7">
        <w:rPr>
          <w:i/>
          <w:iCs/>
          <w:szCs w:val="22"/>
        </w:rPr>
        <w:t xml:space="preserve"> is containing the elements of Method </w:t>
      </w:r>
      <w:proofErr w:type="gramStart"/>
      <w:r w:rsidRPr="006640D7">
        <w:rPr>
          <w:i/>
          <w:iCs/>
          <w:szCs w:val="22"/>
        </w:rPr>
        <w:t>B, and</w:t>
      </w:r>
      <w:proofErr w:type="gramEnd"/>
      <w:r w:rsidRPr="006640D7">
        <w:rPr>
          <w:i/>
          <w:iCs/>
          <w:szCs w:val="22"/>
        </w:rPr>
        <w:t xml:space="preserve"> proposes that AMS(R)S be subject to the application of regulatory and technical measures to ensure compatibility with existing services in co-frequency bands and in the adjacent bands.</w:t>
      </w:r>
    </w:p>
    <w:p w14:paraId="48668999" w14:textId="77777777" w:rsidR="0020631D" w:rsidRPr="006640D7" w:rsidRDefault="0020631D" w:rsidP="00774728">
      <w:pPr>
        <w:tabs>
          <w:tab w:val="left" w:pos="1134"/>
          <w:tab w:val="left" w:pos="1871"/>
          <w:tab w:val="left" w:pos="2268"/>
        </w:tabs>
        <w:overflowPunct w:val="0"/>
        <w:autoSpaceDE w:val="0"/>
        <w:autoSpaceDN w:val="0"/>
        <w:adjustRightInd w:val="0"/>
        <w:spacing w:before="120"/>
        <w:textAlignment w:val="baseline"/>
        <w:rPr>
          <w:lang w:val="en-GB"/>
        </w:rPr>
      </w:pPr>
    </w:p>
    <w:p w14:paraId="030C6484" w14:textId="0A4E202D" w:rsidR="0020631D" w:rsidRPr="006640D7" w:rsidRDefault="0020631D" w:rsidP="00774728">
      <w:pPr>
        <w:tabs>
          <w:tab w:val="left" w:pos="1134"/>
          <w:tab w:val="left" w:pos="1871"/>
          <w:tab w:val="left" w:pos="2268"/>
        </w:tabs>
        <w:overflowPunct w:val="0"/>
        <w:autoSpaceDE w:val="0"/>
        <w:autoSpaceDN w:val="0"/>
        <w:adjustRightInd w:val="0"/>
        <w:spacing w:before="120"/>
        <w:textAlignment w:val="baseline"/>
        <w:rPr>
          <w:lang w:val="en-GB"/>
        </w:rPr>
      </w:pPr>
      <w:r w:rsidRPr="006640D7">
        <w:rPr>
          <w:lang w:val="en-GB"/>
        </w:rPr>
        <w:t>It is proposed that ICAO supports the new allocation to AMS(R)S in the band 117.975 – 137 MHz, as described in Method B Option B1.</w:t>
      </w:r>
    </w:p>
    <w:p w14:paraId="6BDEB1EF" w14:textId="6C86E5AF" w:rsidR="0020631D" w:rsidRPr="006640D7" w:rsidRDefault="00774728" w:rsidP="00774728">
      <w:pPr>
        <w:tabs>
          <w:tab w:val="left" w:pos="1134"/>
          <w:tab w:val="left" w:pos="1871"/>
          <w:tab w:val="left" w:pos="2268"/>
        </w:tabs>
        <w:overflowPunct w:val="0"/>
        <w:autoSpaceDE w:val="0"/>
        <w:autoSpaceDN w:val="0"/>
        <w:adjustRightInd w:val="0"/>
        <w:spacing w:before="120"/>
        <w:textAlignment w:val="baseline"/>
      </w:pPr>
      <w:r w:rsidRPr="006640D7">
        <w:rPr>
          <w:lang w:val="en-GB"/>
        </w:rPr>
        <w:t>Method B Option B2, although it also proposes a new allocation to the AMS(R)S in the band 117.975-137 MHz, there are assumptions regarding protection of space stations of the AMS(R)S which would be incompatible with a safety related service.</w:t>
      </w:r>
      <w:r w:rsidR="0020631D" w:rsidRPr="006640D7">
        <w:rPr>
          <w:lang w:val="en-GB"/>
        </w:rPr>
        <w:t xml:space="preserve"> Therefore, Method B, Option B2 is not recommended.</w:t>
      </w:r>
    </w:p>
    <w:sectPr w:rsidR="0020631D" w:rsidRPr="006640D7" w:rsidSect="00296A17">
      <w:headerReference w:type="even" r:id="rId12"/>
      <w:headerReference w:type="default" r:id="rId13"/>
      <w:footerReference w:type="even" r:id="rId14"/>
      <w:footerReference w:type="default" r:id="rId15"/>
      <w:headerReference w:type="first" r:id="rId16"/>
      <w:footerReference w:type="first" r:id="rId17"/>
      <w:pgSz w:w="12242" w:h="15842"/>
      <w:pgMar w:top="1627" w:right="1247" w:bottom="1440" w:left="1247" w:header="100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98C3" w14:textId="77777777" w:rsidR="002C7244" w:rsidRDefault="002C7244">
      <w:r>
        <w:separator/>
      </w:r>
    </w:p>
  </w:endnote>
  <w:endnote w:type="continuationSeparator" w:id="0">
    <w:p w14:paraId="76670E70" w14:textId="77777777" w:rsidR="002C7244" w:rsidRDefault="002C7244">
      <w:r>
        <w:continuationSeparator/>
      </w:r>
    </w:p>
  </w:endnote>
  <w:endnote w:type="continuationNotice" w:id="1">
    <w:p w14:paraId="5D21D778" w14:textId="77777777" w:rsidR="002C7244" w:rsidRDefault="002C7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A5F1" w14:textId="217046BE" w:rsidR="00472871" w:rsidRPr="00FB27D5" w:rsidRDefault="00472871" w:rsidP="00472871">
    <w:pPr>
      <w:pBdr>
        <w:top w:val="nil"/>
        <w:left w:val="nil"/>
        <w:bottom w:val="nil"/>
        <w:right w:val="nil"/>
        <w:between w:val="nil"/>
      </w:pBdr>
      <w:tabs>
        <w:tab w:val="center" w:pos="4320"/>
        <w:tab w:val="right" w:pos="8640"/>
      </w:tabs>
      <w:rPr>
        <w:color w:val="000000"/>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6D0A" w14:textId="3C224E92" w:rsidR="00472871" w:rsidRPr="00A16CCA" w:rsidRDefault="00472871" w:rsidP="00472871">
    <w:pPr>
      <w:pBdr>
        <w:top w:val="nil"/>
        <w:left w:val="nil"/>
        <w:bottom w:val="nil"/>
        <w:right w:val="nil"/>
        <w:between w:val="nil"/>
      </w:pBdr>
      <w:tabs>
        <w:tab w:val="center" w:pos="4320"/>
        <w:tab w:val="right" w:pos="8640"/>
      </w:tabs>
      <w:rPr>
        <w:color w:val="00000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C40D" w14:textId="003E492F" w:rsidR="00472871" w:rsidRPr="002E5E0A" w:rsidRDefault="00472871" w:rsidP="00472871">
    <w:pPr>
      <w:pBdr>
        <w:top w:val="nil"/>
        <w:left w:val="nil"/>
        <w:bottom w:val="nil"/>
        <w:right w:val="nil"/>
        <w:between w:val="nil"/>
      </w:pBdr>
      <w:tabs>
        <w:tab w:val="center" w:pos="4320"/>
        <w:tab w:val="right" w:pos="8640"/>
      </w:tabs>
      <w:rPr>
        <w:color w:val="000000"/>
        <w:sz w:val="18"/>
        <w:szCs w:val="18"/>
        <w:lang w:val="fr-FR"/>
      </w:rPr>
    </w:pPr>
    <w:r w:rsidRPr="002E5E0A">
      <w:rPr>
        <w:color w:val="000000"/>
        <w:sz w:val="18"/>
        <w:szCs w:val="18"/>
        <w:lang w:val="fr-FR"/>
      </w:rPr>
      <w:t>(</w:t>
    </w:r>
    <w:r>
      <w:rPr>
        <w:color w:val="000000"/>
        <w:sz w:val="18"/>
        <w:szCs w:val="18"/>
      </w:rPr>
      <w:fldChar w:fldCharType="begin"/>
    </w:r>
    <w:r w:rsidRPr="002E5E0A">
      <w:rPr>
        <w:color w:val="000000"/>
        <w:sz w:val="18"/>
        <w:szCs w:val="18"/>
        <w:lang w:val="fr-FR"/>
      </w:rPr>
      <w:instrText>NUMPAGES</w:instrText>
    </w:r>
    <w:r>
      <w:rPr>
        <w:color w:val="000000"/>
        <w:sz w:val="18"/>
        <w:szCs w:val="18"/>
      </w:rPr>
      <w:fldChar w:fldCharType="separate"/>
    </w:r>
    <w:r>
      <w:rPr>
        <w:noProof/>
        <w:color w:val="000000"/>
        <w:sz w:val="18"/>
        <w:szCs w:val="18"/>
        <w:lang w:val="fr-FR"/>
      </w:rPr>
      <w:t>4</w:t>
    </w:r>
    <w:r>
      <w:rPr>
        <w:color w:val="000000"/>
        <w:sz w:val="18"/>
        <w:szCs w:val="18"/>
      </w:rPr>
      <w:fldChar w:fldCharType="end"/>
    </w:r>
    <w:r w:rsidRPr="002E5E0A">
      <w:rPr>
        <w:color w:val="000000"/>
        <w:sz w:val="18"/>
        <w:szCs w:val="18"/>
        <w:lang w:val="fr-FR"/>
      </w:rPr>
      <w:t xml:space="preserve"> pages)</w:t>
    </w:r>
  </w:p>
  <w:p w14:paraId="7F91F8B1" w14:textId="4B8403A4" w:rsidR="00472871" w:rsidRPr="00FB27D5" w:rsidRDefault="00FB27D5" w:rsidP="00FB27D5">
    <w:pPr>
      <w:pStyle w:val="Footer"/>
    </w:pPr>
    <w:r>
      <w:rPr>
        <w:sz w:val="18"/>
      </w:rPr>
      <w:fldChar w:fldCharType="begin"/>
    </w:r>
    <w:r>
      <w:rPr>
        <w:sz w:val="18"/>
      </w:rPr>
      <w:instrText xml:space="preserve"> FILENAME  \* MERGEFORMAT </w:instrText>
    </w:r>
    <w:r>
      <w:rPr>
        <w:sz w:val="18"/>
      </w:rPr>
      <w:fldChar w:fldCharType="separate"/>
    </w:r>
    <w:r>
      <w:rPr>
        <w:noProof/>
        <w:sz w:val="18"/>
      </w:rPr>
      <w:t>FSMP-WG15-WP11_Position_ ICAO_WRC23-AI1.7 v2.0.docx</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988B" w14:textId="77777777" w:rsidR="002C7244" w:rsidRDefault="002C7244">
      <w:r>
        <w:separator/>
      </w:r>
    </w:p>
  </w:footnote>
  <w:footnote w:type="continuationSeparator" w:id="0">
    <w:p w14:paraId="105BA95F" w14:textId="77777777" w:rsidR="002C7244" w:rsidRDefault="002C7244">
      <w:r>
        <w:continuationSeparator/>
      </w:r>
    </w:p>
  </w:footnote>
  <w:footnote w:type="continuationNotice" w:id="1">
    <w:p w14:paraId="1187F92D" w14:textId="77777777" w:rsidR="002C7244" w:rsidRDefault="002C7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0E02" w14:textId="6C402EDB" w:rsidR="001D3BBF" w:rsidRDefault="001D3BBF" w:rsidP="001D3BBF">
    <w:pPr>
      <w:tabs>
        <w:tab w:val="center" w:pos="4876"/>
        <w:tab w:val="left" w:pos="6480"/>
      </w:tabs>
      <w:spacing w:after="600"/>
    </w:pPr>
    <w:r>
      <w:tab/>
      <w:t xml:space="preserve">- </w:t>
    </w:r>
    <w:r>
      <w:fldChar w:fldCharType="begin"/>
    </w:r>
    <w:r>
      <w:instrText>PAGE</w:instrText>
    </w:r>
    <w:r>
      <w:fldChar w:fldCharType="separate"/>
    </w:r>
    <w:r w:rsidR="00472871">
      <w:rPr>
        <w:noProof/>
      </w:rPr>
      <w:t>4</w:t>
    </w:r>
    <w:r>
      <w:fldChar w:fldCharType="end"/>
    </w:r>
    <w:r>
      <w:t xml:space="preserve"> -</w:t>
    </w:r>
    <w:r>
      <w:tab/>
      <w:t>FSMP</w:t>
    </w:r>
    <w:r w:rsidR="00472871">
      <w:t>-WG</w:t>
    </w:r>
    <w:r w:rsidR="00472871" w:rsidRPr="00066AB7">
      <w:t>/</w:t>
    </w:r>
    <w:r w:rsidR="00472871">
      <w:t xml:space="preserve">15 </w:t>
    </w:r>
    <w:r w:rsidR="00472871" w:rsidRPr="00066AB7">
      <w:t>WP</w:t>
    </w:r>
    <w:r w:rsidR="00FB27D5">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566F" w14:textId="7FAC5FE0" w:rsidR="002779EA" w:rsidRPr="001D3BBF" w:rsidRDefault="001D3BBF" w:rsidP="001D3BBF">
    <w:pPr>
      <w:tabs>
        <w:tab w:val="center" w:pos="4876"/>
        <w:tab w:val="left" w:pos="6480"/>
      </w:tabs>
      <w:spacing w:after="600"/>
    </w:pPr>
    <w:r>
      <w:tab/>
      <w:t xml:space="preserve">- </w:t>
    </w:r>
    <w:r>
      <w:fldChar w:fldCharType="begin"/>
    </w:r>
    <w:r>
      <w:instrText>PAGE</w:instrText>
    </w:r>
    <w:r>
      <w:fldChar w:fldCharType="separate"/>
    </w:r>
    <w:r w:rsidR="00472871">
      <w:rPr>
        <w:noProof/>
      </w:rPr>
      <w:t>3</w:t>
    </w:r>
    <w:r>
      <w:fldChar w:fldCharType="end"/>
    </w:r>
    <w:r>
      <w:t xml:space="preserve"> -</w:t>
    </w:r>
    <w:r>
      <w:tab/>
    </w:r>
    <w:r w:rsidR="00472871">
      <w:t>FSMP-WG</w:t>
    </w:r>
    <w:r w:rsidR="00472871" w:rsidRPr="00066AB7">
      <w:t>/</w:t>
    </w:r>
    <w:r w:rsidR="00472871">
      <w:t xml:space="preserve">15 </w:t>
    </w:r>
    <w:r w:rsidR="00472871" w:rsidRPr="00066AB7">
      <w:t>WP</w:t>
    </w:r>
    <w:r w:rsidR="00FB27D5">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1F9DACD4" w:rsidR="009851A4" w:rsidRDefault="009851A4" w:rsidP="009851A4">
          <w:bookmarkStart w:id="3" w:name="logo"/>
          <w:r>
            <w:rPr>
              <w:noProof/>
              <w:lang w:val="es-ES" w:eastAsia="es-ES"/>
            </w:rPr>
            <w:drawing>
              <wp:inline distT="0" distB="0" distL="0" distR="0" wp14:anchorId="635A9508" wp14:editId="25143EC2">
                <wp:extent cx="1085850" cy="876300"/>
                <wp:effectExtent l="0" t="0" r="0" b="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lang w:val="es-ES" w:eastAsia="es-ES"/>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837C7"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851A4" w14:paraId="7E0411FE" w14:textId="77777777" w:rsidTr="008D7BB5">
            <w:trPr>
              <w:jc w:val="right"/>
            </w:trPr>
            <w:tc>
              <w:tcPr>
                <w:tcW w:w="0" w:type="auto"/>
              </w:tcPr>
              <w:p w14:paraId="03383D05" w14:textId="5D6BA51D" w:rsidR="009851A4" w:rsidRPr="00066AB7" w:rsidRDefault="009851A4" w:rsidP="007956C3">
                <w:pPr>
                  <w:framePr w:hSpace="180" w:wrap="around" w:vAnchor="text" w:hAnchor="text" w:y="1"/>
                  <w:suppressOverlap/>
                  <w:jc w:val="left"/>
                </w:pPr>
                <w:bookmarkStart w:id="4" w:name="document_no"/>
                <w:r>
                  <w:t>FSMP-WG</w:t>
                </w:r>
                <w:r w:rsidRPr="00066AB7">
                  <w:t>/</w:t>
                </w:r>
                <w:r w:rsidR="00C41DFA">
                  <w:t>1</w:t>
                </w:r>
                <w:r w:rsidR="00B052D7">
                  <w:t>5</w:t>
                </w:r>
                <w:r w:rsidR="00C41DFA">
                  <w:t xml:space="preserve"> </w:t>
                </w:r>
                <w:r w:rsidRPr="00066AB7">
                  <w:t>WP</w:t>
                </w:r>
                <w:bookmarkEnd w:id="4"/>
                <w:r w:rsidR="007956C3">
                  <w:t>/11</w:t>
                </w:r>
              </w:p>
              <w:p w14:paraId="1F89A177" w14:textId="0D0EB6E9" w:rsidR="009851A4" w:rsidRPr="00066AB7" w:rsidRDefault="00C41DFA" w:rsidP="007956C3">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202</w:t>
                </w:r>
                <w:r w:rsidR="00B052D7">
                  <w:rPr>
                    <w:sz w:val="18"/>
                    <w:szCs w:val="18"/>
                  </w:rPr>
                  <w:t>2</w:t>
                </w:r>
                <w:r w:rsidR="009851A4">
                  <w:rPr>
                    <w:sz w:val="18"/>
                    <w:szCs w:val="18"/>
                  </w:rPr>
                  <w:t>-</w:t>
                </w:r>
                <w:r w:rsidR="00275A29">
                  <w:rPr>
                    <w:sz w:val="18"/>
                    <w:szCs w:val="18"/>
                  </w:rPr>
                  <w:t>0</w:t>
                </w:r>
                <w:r w:rsidR="00B052D7">
                  <w:rPr>
                    <w:sz w:val="18"/>
                    <w:szCs w:val="18"/>
                  </w:rPr>
                  <w:t>8</w:t>
                </w:r>
                <w:r w:rsidR="00EE72E2">
                  <w:rPr>
                    <w:sz w:val="18"/>
                    <w:szCs w:val="18"/>
                  </w:rPr>
                  <w:t>-</w:t>
                </w:r>
                <w:bookmarkStart w:id="10" w:name="info_paper"/>
                <w:bookmarkEnd w:id="10"/>
                <w:r w:rsidR="007956C3">
                  <w:rPr>
                    <w:sz w:val="18"/>
                    <w:szCs w:val="18"/>
                  </w:rPr>
                  <w:t>15</w:t>
                </w:r>
                <w:r w:rsidRPr="00066AB7">
                  <w:rPr>
                    <w:b/>
                    <w:sz w:val="18"/>
                    <w:szCs w:val="18"/>
                  </w:rPr>
                  <w:t xml:space="preserve"> </w:t>
                </w:r>
              </w:p>
            </w:tc>
          </w:tr>
          <w:tr w:rsidR="009851A4" w14:paraId="32CCF76E" w14:textId="77777777" w:rsidTr="008D7BB5">
            <w:trPr>
              <w:jc w:val="right"/>
            </w:trPr>
            <w:tc>
              <w:tcPr>
                <w:tcW w:w="0" w:type="auto"/>
              </w:tcPr>
              <w:p w14:paraId="7D334437" w14:textId="77777777" w:rsidR="009851A4" w:rsidRPr="00066AB7" w:rsidRDefault="009851A4" w:rsidP="007956C3">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F77AA"/>
    <w:multiLevelType w:val="hybridMultilevel"/>
    <w:tmpl w:val="E9BA395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BD36FD"/>
    <w:multiLevelType w:val="hybridMultilevel"/>
    <w:tmpl w:val="6F1AC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4"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7"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8"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A6318D"/>
    <w:multiLevelType w:val="hybridMultilevel"/>
    <w:tmpl w:val="32A0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4"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6"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16cid:durableId="77750790">
    <w:abstractNumId w:val="27"/>
  </w:num>
  <w:num w:numId="2" w16cid:durableId="2072149187">
    <w:abstractNumId w:val="17"/>
  </w:num>
  <w:num w:numId="3" w16cid:durableId="248121856">
    <w:abstractNumId w:val="0"/>
  </w:num>
  <w:num w:numId="4" w16cid:durableId="1785734184">
    <w:abstractNumId w:val="22"/>
  </w:num>
  <w:num w:numId="5" w16cid:durableId="1037587836">
    <w:abstractNumId w:val="6"/>
  </w:num>
  <w:num w:numId="6" w16cid:durableId="1579942343">
    <w:abstractNumId w:val="26"/>
  </w:num>
  <w:num w:numId="7" w16cid:durableId="191576776">
    <w:abstractNumId w:val="4"/>
  </w:num>
  <w:num w:numId="8" w16cid:durableId="991058925">
    <w:abstractNumId w:val="21"/>
  </w:num>
  <w:num w:numId="9" w16cid:durableId="1545096836">
    <w:abstractNumId w:val="25"/>
  </w:num>
  <w:num w:numId="10" w16cid:durableId="1101529988">
    <w:abstractNumId w:val="1"/>
  </w:num>
  <w:num w:numId="11" w16cid:durableId="1866602510">
    <w:abstractNumId w:val="7"/>
  </w:num>
  <w:num w:numId="12" w16cid:durableId="641274574">
    <w:abstractNumId w:val="8"/>
  </w:num>
  <w:num w:numId="13" w16cid:durableId="638463192">
    <w:abstractNumId w:val="13"/>
  </w:num>
  <w:num w:numId="14" w16cid:durableId="1422607841">
    <w:abstractNumId w:val="18"/>
  </w:num>
  <w:num w:numId="15" w16cid:durableId="1332483543">
    <w:abstractNumId w:val="23"/>
  </w:num>
  <w:num w:numId="16" w16cid:durableId="2069916509">
    <w:abstractNumId w:val="12"/>
  </w:num>
  <w:num w:numId="17" w16cid:durableId="1037124464">
    <w:abstractNumId w:val="16"/>
  </w:num>
  <w:num w:numId="18" w16cid:durableId="1478643603">
    <w:abstractNumId w:val="20"/>
  </w:num>
  <w:num w:numId="19" w16cid:durableId="1684818607">
    <w:abstractNumId w:val="24"/>
  </w:num>
  <w:num w:numId="20" w16cid:durableId="1132019554">
    <w:abstractNumId w:val="2"/>
  </w:num>
  <w:num w:numId="21" w16cid:durableId="84620588">
    <w:abstractNumId w:val="14"/>
  </w:num>
  <w:num w:numId="22" w16cid:durableId="1133132346">
    <w:abstractNumId w:val="5"/>
  </w:num>
  <w:num w:numId="23" w16cid:durableId="880628993">
    <w:abstractNumId w:val="15"/>
  </w:num>
  <w:num w:numId="24" w16cid:durableId="517543600">
    <w:abstractNumId w:val="10"/>
  </w:num>
  <w:num w:numId="25" w16cid:durableId="270406609">
    <w:abstractNumId w:val="3"/>
  </w:num>
  <w:num w:numId="26" w16cid:durableId="555971730">
    <w:abstractNumId w:val="19"/>
  </w:num>
  <w:num w:numId="27" w16cid:durableId="949160945">
    <w:abstractNumId w:val="11"/>
  </w:num>
  <w:num w:numId="28" w16cid:durableId="16538678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oofState w:spelling="clean" w:grammar="clean"/>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A"/>
    <w:rsid w:val="00000DAA"/>
    <w:rsid w:val="000047AA"/>
    <w:rsid w:val="00004E1A"/>
    <w:rsid w:val="00007A82"/>
    <w:rsid w:val="000212EB"/>
    <w:rsid w:val="00023B48"/>
    <w:rsid w:val="0003325B"/>
    <w:rsid w:val="00034424"/>
    <w:rsid w:val="00040102"/>
    <w:rsid w:val="000464FF"/>
    <w:rsid w:val="0004720A"/>
    <w:rsid w:val="000472BB"/>
    <w:rsid w:val="00047F98"/>
    <w:rsid w:val="0005010F"/>
    <w:rsid w:val="0006085D"/>
    <w:rsid w:val="000660CD"/>
    <w:rsid w:val="00066D95"/>
    <w:rsid w:val="000679C2"/>
    <w:rsid w:val="00080EAD"/>
    <w:rsid w:val="000834E7"/>
    <w:rsid w:val="000A1045"/>
    <w:rsid w:val="000A1356"/>
    <w:rsid w:val="000A173F"/>
    <w:rsid w:val="000A2BCF"/>
    <w:rsid w:val="000A31B8"/>
    <w:rsid w:val="000A5779"/>
    <w:rsid w:val="000A6523"/>
    <w:rsid w:val="000A71DE"/>
    <w:rsid w:val="000B069F"/>
    <w:rsid w:val="000B2C53"/>
    <w:rsid w:val="000B4C71"/>
    <w:rsid w:val="000C2BB0"/>
    <w:rsid w:val="000C53D9"/>
    <w:rsid w:val="000C7BB6"/>
    <w:rsid w:val="000D5160"/>
    <w:rsid w:val="000D5C02"/>
    <w:rsid w:val="000D713E"/>
    <w:rsid w:val="000E5C36"/>
    <w:rsid w:val="000E6469"/>
    <w:rsid w:val="000E6761"/>
    <w:rsid w:val="000E757B"/>
    <w:rsid w:val="000E7BCE"/>
    <w:rsid w:val="000F3301"/>
    <w:rsid w:val="000F6312"/>
    <w:rsid w:val="0010073F"/>
    <w:rsid w:val="0010432A"/>
    <w:rsid w:val="0010759A"/>
    <w:rsid w:val="00107DF8"/>
    <w:rsid w:val="0011513D"/>
    <w:rsid w:val="00122ABD"/>
    <w:rsid w:val="00123D96"/>
    <w:rsid w:val="00124484"/>
    <w:rsid w:val="001405AA"/>
    <w:rsid w:val="001429CD"/>
    <w:rsid w:val="00147B9B"/>
    <w:rsid w:val="001545A4"/>
    <w:rsid w:val="00157771"/>
    <w:rsid w:val="00157B77"/>
    <w:rsid w:val="001611A6"/>
    <w:rsid w:val="00161D89"/>
    <w:rsid w:val="0016260B"/>
    <w:rsid w:val="0016539F"/>
    <w:rsid w:val="00165B41"/>
    <w:rsid w:val="00172ED1"/>
    <w:rsid w:val="00175FB5"/>
    <w:rsid w:val="00187BA4"/>
    <w:rsid w:val="00193602"/>
    <w:rsid w:val="001A2D26"/>
    <w:rsid w:val="001C41EF"/>
    <w:rsid w:val="001C721E"/>
    <w:rsid w:val="001D3BBF"/>
    <w:rsid w:val="001E2302"/>
    <w:rsid w:val="001E2F65"/>
    <w:rsid w:val="001E57D7"/>
    <w:rsid w:val="001E6577"/>
    <w:rsid w:val="001F4CC8"/>
    <w:rsid w:val="001F69AA"/>
    <w:rsid w:val="002037A3"/>
    <w:rsid w:val="0020631D"/>
    <w:rsid w:val="0020711F"/>
    <w:rsid w:val="00216484"/>
    <w:rsid w:val="00217AAA"/>
    <w:rsid w:val="00220E09"/>
    <w:rsid w:val="0022265D"/>
    <w:rsid w:val="00223393"/>
    <w:rsid w:val="00230DAF"/>
    <w:rsid w:val="00231533"/>
    <w:rsid w:val="0023767D"/>
    <w:rsid w:val="00241AE1"/>
    <w:rsid w:val="00256168"/>
    <w:rsid w:val="002633EF"/>
    <w:rsid w:val="002644D9"/>
    <w:rsid w:val="00265569"/>
    <w:rsid w:val="002658FD"/>
    <w:rsid w:val="002726FD"/>
    <w:rsid w:val="00275885"/>
    <w:rsid w:val="00275A29"/>
    <w:rsid w:val="002774B3"/>
    <w:rsid w:val="002779EA"/>
    <w:rsid w:val="0028634A"/>
    <w:rsid w:val="0028687A"/>
    <w:rsid w:val="0029192F"/>
    <w:rsid w:val="00296A17"/>
    <w:rsid w:val="002A1EEB"/>
    <w:rsid w:val="002A7AE4"/>
    <w:rsid w:val="002B10A6"/>
    <w:rsid w:val="002B51C3"/>
    <w:rsid w:val="002B6613"/>
    <w:rsid w:val="002B723E"/>
    <w:rsid w:val="002C7244"/>
    <w:rsid w:val="002D54EF"/>
    <w:rsid w:val="002E099E"/>
    <w:rsid w:val="002E2288"/>
    <w:rsid w:val="002F0F4E"/>
    <w:rsid w:val="00301CFA"/>
    <w:rsid w:val="00306A0C"/>
    <w:rsid w:val="00314639"/>
    <w:rsid w:val="00323348"/>
    <w:rsid w:val="00324EE5"/>
    <w:rsid w:val="00328718"/>
    <w:rsid w:val="0033079C"/>
    <w:rsid w:val="0033130E"/>
    <w:rsid w:val="0033360B"/>
    <w:rsid w:val="00333A96"/>
    <w:rsid w:val="00343CAC"/>
    <w:rsid w:val="0035250B"/>
    <w:rsid w:val="00353F36"/>
    <w:rsid w:val="00354AFE"/>
    <w:rsid w:val="00362911"/>
    <w:rsid w:val="0036377B"/>
    <w:rsid w:val="00371C5F"/>
    <w:rsid w:val="00373594"/>
    <w:rsid w:val="00377D67"/>
    <w:rsid w:val="003805D9"/>
    <w:rsid w:val="003839E3"/>
    <w:rsid w:val="00397FBA"/>
    <w:rsid w:val="003B0895"/>
    <w:rsid w:val="003B14B6"/>
    <w:rsid w:val="003B2015"/>
    <w:rsid w:val="003B3CF5"/>
    <w:rsid w:val="003B59CA"/>
    <w:rsid w:val="003B61B5"/>
    <w:rsid w:val="003B63CA"/>
    <w:rsid w:val="003C6044"/>
    <w:rsid w:val="003C681C"/>
    <w:rsid w:val="003C7834"/>
    <w:rsid w:val="003D01F7"/>
    <w:rsid w:val="003D265C"/>
    <w:rsid w:val="003E12C4"/>
    <w:rsid w:val="003E28F7"/>
    <w:rsid w:val="003E6632"/>
    <w:rsid w:val="003F060D"/>
    <w:rsid w:val="003F1E1C"/>
    <w:rsid w:val="003F7BC8"/>
    <w:rsid w:val="00402840"/>
    <w:rsid w:val="004041BA"/>
    <w:rsid w:val="00405063"/>
    <w:rsid w:val="0040541E"/>
    <w:rsid w:val="0041092A"/>
    <w:rsid w:val="004213BF"/>
    <w:rsid w:val="004357C4"/>
    <w:rsid w:val="00435945"/>
    <w:rsid w:val="00442FBD"/>
    <w:rsid w:val="00444530"/>
    <w:rsid w:val="00444C52"/>
    <w:rsid w:val="004465D3"/>
    <w:rsid w:val="00453196"/>
    <w:rsid w:val="00462CB5"/>
    <w:rsid w:val="00472871"/>
    <w:rsid w:val="00475E16"/>
    <w:rsid w:val="00483A78"/>
    <w:rsid w:val="00496CA6"/>
    <w:rsid w:val="004A1BF3"/>
    <w:rsid w:val="004B2ADA"/>
    <w:rsid w:val="004C0E8B"/>
    <w:rsid w:val="004C7F3F"/>
    <w:rsid w:val="004D2515"/>
    <w:rsid w:val="004D2E3A"/>
    <w:rsid w:val="004D3619"/>
    <w:rsid w:val="004D57BA"/>
    <w:rsid w:val="004D5D32"/>
    <w:rsid w:val="004D6848"/>
    <w:rsid w:val="004E2338"/>
    <w:rsid w:val="004E59DD"/>
    <w:rsid w:val="004E7DA1"/>
    <w:rsid w:val="004F052D"/>
    <w:rsid w:val="004F0C1D"/>
    <w:rsid w:val="004F0CA2"/>
    <w:rsid w:val="004F1E1B"/>
    <w:rsid w:val="004F6055"/>
    <w:rsid w:val="005039D9"/>
    <w:rsid w:val="00503F7F"/>
    <w:rsid w:val="00510812"/>
    <w:rsid w:val="005178F9"/>
    <w:rsid w:val="0052549B"/>
    <w:rsid w:val="00530F59"/>
    <w:rsid w:val="005318C0"/>
    <w:rsid w:val="00532404"/>
    <w:rsid w:val="00534917"/>
    <w:rsid w:val="00535141"/>
    <w:rsid w:val="0053573C"/>
    <w:rsid w:val="005364D1"/>
    <w:rsid w:val="00537F50"/>
    <w:rsid w:val="0054433A"/>
    <w:rsid w:val="00545702"/>
    <w:rsid w:val="00553FBB"/>
    <w:rsid w:val="00555838"/>
    <w:rsid w:val="0055770F"/>
    <w:rsid w:val="00564DEE"/>
    <w:rsid w:val="005654A9"/>
    <w:rsid w:val="00567283"/>
    <w:rsid w:val="00570985"/>
    <w:rsid w:val="005711A5"/>
    <w:rsid w:val="00585DFF"/>
    <w:rsid w:val="0059049B"/>
    <w:rsid w:val="00596631"/>
    <w:rsid w:val="005A0D6E"/>
    <w:rsid w:val="005A0DCF"/>
    <w:rsid w:val="005A45E1"/>
    <w:rsid w:val="005A4D53"/>
    <w:rsid w:val="005A7531"/>
    <w:rsid w:val="005B1D10"/>
    <w:rsid w:val="005C0F00"/>
    <w:rsid w:val="005C391D"/>
    <w:rsid w:val="005C55E4"/>
    <w:rsid w:val="005D10ED"/>
    <w:rsid w:val="005D3860"/>
    <w:rsid w:val="005D5A48"/>
    <w:rsid w:val="005D6DC2"/>
    <w:rsid w:val="005E7881"/>
    <w:rsid w:val="005F685D"/>
    <w:rsid w:val="00612E76"/>
    <w:rsid w:val="00615659"/>
    <w:rsid w:val="006164E3"/>
    <w:rsid w:val="00620955"/>
    <w:rsid w:val="00625D96"/>
    <w:rsid w:val="00627EE2"/>
    <w:rsid w:val="006342E4"/>
    <w:rsid w:val="0064097D"/>
    <w:rsid w:val="0064455E"/>
    <w:rsid w:val="0064519E"/>
    <w:rsid w:val="00653145"/>
    <w:rsid w:val="00653425"/>
    <w:rsid w:val="00656333"/>
    <w:rsid w:val="00660B51"/>
    <w:rsid w:val="00660DCC"/>
    <w:rsid w:val="006634B1"/>
    <w:rsid w:val="006640D7"/>
    <w:rsid w:val="006828EF"/>
    <w:rsid w:val="0069333D"/>
    <w:rsid w:val="006956E1"/>
    <w:rsid w:val="006A2675"/>
    <w:rsid w:val="006B1A1A"/>
    <w:rsid w:val="006B3671"/>
    <w:rsid w:val="006C169F"/>
    <w:rsid w:val="006C548A"/>
    <w:rsid w:val="006C7201"/>
    <w:rsid w:val="006C7253"/>
    <w:rsid w:val="006D2090"/>
    <w:rsid w:val="006D5CE2"/>
    <w:rsid w:val="006E6DE7"/>
    <w:rsid w:val="006E7463"/>
    <w:rsid w:val="006F0D09"/>
    <w:rsid w:val="006F1C75"/>
    <w:rsid w:val="006F5D06"/>
    <w:rsid w:val="0070111E"/>
    <w:rsid w:val="00701CBF"/>
    <w:rsid w:val="007044EF"/>
    <w:rsid w:val="007070D3"/>
    <w:rsid w:val="00722303"/>
    <w:rsid w:val="00722418"/>
    <w:rsid w:val="007267CA"/>
    <w:rsid w:val="00740778"/>
    <w:rsid w:val="00740F7F"/>
    <w:rsid w:val="0074384E"/>
    <w:rsid w:val="00743E8B"/>
    <w:rsid w:val="00745973"/>
    <w:rsid w:val="00747E70"/>
    <w:rsid w:val="00754760"/>
    <w:rsid w:val="00756FAC"/>
    <w:rsid w:val="00757682"/>
    <w:rsid w:val="00770A1C"/>
    <w:rsid w:val="00774728"/>
    <w:rsid w:val="00777B3D"/>
    <w:rsid w:val="0078595E"/>
    <w:rsid w:val="00787EF2"/>
    <w:rsid w:val="00790022"/>
    <w:rsid w:val="00794997"/>
    <w:rsid w:val="007956C3"/>
    <w:rsid w:val="007A03E5"/>
    <w:rsid w:val="007A5C80"/>
    <w:rsid w:val="007A62DB"/>
    <w:rsid w:val="007B0B81"/>
    <w:rsid w:val="007B2955"/>
    <w:rsid w:val="007B3500"/>
    <w:rsid w:val="007B5A77"/>
    <w:rsid w:val="007B7610"/>
    <w:rsid w:val="007C142F"/>
    <w:rsid w:val="007C66F9"/>
    <w:rsid w:val="007C7B59"/>
    <w:rsid w:val="007D3959"/>
    <w:rsid w:val="007E7079"/>
    <w:rsid w:val="007F43E7"/>
    <w:rsid w:val="007F6562"/>
    <w:rsid w:val="008036D7"/>
    <w:rsid w:val="0080381E"/>
    <w:rsid w:val="00803C59"/>
    <w:rsid w:val="0080619C"/>
    <w:rsid w:val="008108FD"/>
    <w:rsid w:val="00824EB6"/>
    <w:rsid w:val="008317A1"/>
    <w:rsid w:val="00835B8A"/>
    <w:rsid w:val="008465B8"/>
    <w:rsid w:val="0085086E"/>
    <w:rsid w:val="008547EF"/>
    <w:rsid w:val="00864D14"/>
    <w:rsid w:val="00866337"/>
    <w:rsid w:val="00873E6A"/>
    <w:rsid w:val="0088122B"/>
    <w:rsid w:val="00886191"/>
    <w:rsid w:val="00893D95"/>
    <w:rsid w:val="008A6478"/>
    <w:rsid w:val="008B0D9F"/>
    <w:rsid w:val="008B17E8"/>
    <w:rsid w:val="008B534B"/>
    <w:rsid w:val="008C0731"/>
    <w:rsid w:val="008C189D"/>
    <w:rsid w:val="008C5CA3"/>
    <w:rsid w:val="008C7AEA"/>
    <w:rsid w:val="008D1AEE"/>
    <w:rsid w:val="008F454A"/>
    <w:rsid w:val="008F56D1"/>
    <w:rsid w:val="008F57DE"/>
    <w:rsid w:val="0090063F"/>
    <w:rsid w:val="009015CC"/>
    <w:rsid w:val="00903FA2"/>
    <w:rsid w:val="009049F3"/>
    <w:rsid w:val="00907DC7"/>
    <w:rsid w:val="00914BB3"/>
    <w:rsid w:val="009162C1"/>
    <w:rsid w:val="00924DCE"/>
    <w:rsid w:val="0092758A"/>
    <w:rsid w:val="00927AEA"/>
    <w:rsid w:val="009418C5"/>
    <w:rsid w:val="009456EC"/>
    <w:rsid w:val="00954DB2"/>
    <w:rsid w:val="009557C4"/>
    <w:rsid w:val="00965B87"/>
    <w:rsid w:val="00974973"/>
    <w:rsid w:val="009769FF"/>
    <w:rsid w:val="009814D7"/>
    <w:rsid w:val="0098221E"/>
    <w:rsid w:val="00982860"/>
    <w:rsid w:val="00983F46"/>
    <w:rsid w:val="00984CA7"/>
    <w:rsid w:val="009851A4"/>
    <w:rsid w:val="00991E69"/>
    <w:rsid w:val="0099394E"/>
    <w:rsid w:val="0099695D"/>
    <w:rsid w:val="009B4B75"/>
    <w:rsid w:val="009C2099"/>
    <w:rsid w:val="009C6667"/>
    <w:rsid w:val="009D1D2A"/>
    <w:rsid w:val="009D710A"/>
    <w:rsid w:val="009E4A05"/>
    <w:rsid w:val="009E6824"/>
    <w:rsid w:val="009E6FA0"/>
    <w:rsid w:val="009F0404"/>
    <w:rsid w:val="009F18ED"/>
    <w:rsid w:val="00A0403F"/>
    <w:rsid w:val="00A0741E"/>
    <w:rsid w:val="00A24E48"/>
    <w:rsid w:val="00A2546C"/>
    <w:rsid w:val="00A27939"/>
    <w:rsid w:val="00A30E2D"/>
    <w:rsid w:val="00A326BC"/>
    <w:rsid w:val="00A35292"/>
    <w:rsid w:val="00A35ABA"/>
    <w:rsid w:val="00A36971"/>
    <w:rsid w:val="00A454E6"/>
    <w:rsid w:val="00A5061E"/>
    <w:rsid w:val="00A52525"/>
    <w:rsid w:val="00A55504"/>
    <w:rsid w:val="00A608C6"/>
    <w:rsid w:val="00A6324B"/>
    <w:rsid w:val="00A732C5"/>
    <w:rsid w:val="00A84E3A"/>
    <w:rsid w:val="00A85EB8"/>
    <w:rsid w:val="00A870C3"/>
    <w:rsid w:val="00A87EDA"/>
    <w:rsid w:val="00A90FB2"/>
    <w:rsid w:val="00A93747"/>
    <w:rsid w:val="00A945BD"/>
    <w:rsid w:val="00A94774"/>
    <w:rsid w:val="00A94FC9"/>
    <w:rsid w:val="00AA3069"/>
    <w:rsid w:val="00AA3644"/>
    <w:rsid w:val="00AA58F2"/>
    <w:rsid w:val="00AB19DD"/>
    <w:rsid w:val="00AB29CB"/>
    <w:rsid w:val="00AB390A"/>
    <w:rsid w:val="00AB44F9"/>
    <w:rsid w:val="00AB6E2D"/>
    <w:rsid w:val="00AC166F"/>
    <w:rsid w:val="00AC4657"/>
    <w:rsid w:val="00AC571B"/>
    <w:rsid w:val="00AD2184"/>
    <w:rsid w:val="00AD37E8"/>
    <w:rsid w:val="00AE46DA"/>
    <w:rsid w:val="00AE7967"/>
    <w:rsid w:val="00AF4F51"/>
    <w:rsid w:val="00B036E5"/>
    <w:rsid w:val="00B03F1C"/>
    <w:rsid w:val="00B052D7"/>
    <w:rsid w:val="00B10702"/>
    <w:rsid w:val="00B1248B"/>
    <w:rsid w:val="00B14007"/>
    <w:rsid w:val="00B23BE2"/>
    <w:rsid w:val="00B30978"/>
    <w:rsid w:val="00B339E8"/>
    <w:rsid w:val="00B41657"/>
    <w:rsid w:val="00B4221B"/>
    <w:rsid w:val="00B43AA4"/>
    <w:rsid w:val="00B447C2"/>
    <w:rsid w:val="00B52679"/>
    <w:rsid w:val="00B540F9"/>
    <w:rsid w:val="00B57A74"/>
    <w:rsid w:val="00B602B2"/>
    <w:rsid w:val="00B636B2"/>
    <w:rsid w:val="00B63F2F"/>
    <w:rsid w:val="00B64268"/>
    <w:rsid w:val="00B64FCE"/>
    <w:rsid w:val="00B67D2E"/>
    <w:rsid w:val="00B72E66"/>
    <w:rsid w:val="00B735E2"/>
    <w:rsid w:val="00B73BC3"/>
    <w:rsid w:val="00B73C1C"/>
    <w:rsid w:val="00B74CC5"/>
    <w:rsid w:val="00B77CA0"/>
    <w:rsid w:val="00B83106"/>
    <w:rsid w:val="00B859BA"/>
    <w:rsid w:val="00B90B07"/>
    <w:rsid w:val="00B917D5"/>
    <w:rsid w:val="00B93485"/>
    <w:rsid w:val="00B96152"/>
    <w:rsid w:val="00BA07A5"/>
    <w:rsid w:val="00BA0DC6"/>
    <w:rsid w:val="00BA51D0"/>
    <w:rsid w:val="00BA665A"/>
    <w:rsid w:val="00BA68B4"/>
    <w:rsid w:val="00BB05A3"/>
    <w:rsid w:val="00BD1947"/>
    <w:rsid w:val="00BD6305"/>
    <w:rsid w:val="00BE7587"/>
    <w:rsid w:val="00BE7C72"/>
    <w:rsid w:val="00BF1031"/>
    <w:rsid w:val="00BF5787"/>
    <w:rsid w:val="00BF616C"/>
    <w:rsid w:val="00C02F87"/>
    <w:rsid w:val="00C02FEB"/>
    <w:rsid w:val="00C05CB6"/>
    <w:rsid w:val="00C12DFE"/>
    <w:rsid w:val="00C1430C"/>
    <w:rsid w:val="00C14DB0"/>
    <w:rsid w:val="00C16E2D"/>
    <w:rsid w:val="00C26488"/>
    <w:rsid w:val="00C269BD"/>
    <w:rsid w:val="00C27FE2"/>
    <w:rsid w:val="00C30111"/>
    <w:rsid w:val="00C33FB8"/>
    <w:rsid w:val="00C36511"/>
    <w:rsid w:val="00C417A3"/>
    <w:rsid w:val="00C41DFA"/>
    <w:rsid w:val="00C42D47"/>
    <w:rsid w:val="00C450AE"/>
    <w:rsid w:val="00C57705"/>
    <w:rsid w:val="00C579D4"/>
    <w:rsid w:val="00C713DD"/>
    <w:rsid w:val="00C760D7"/>
    <w:rsid w:val="00C80FE8"/>
    <w:rsid w:val="00C821C9"/>
    <w:rsid w:val="00C97368"/>
    <w:rsid w:val="00CA17FD"/>
    <w:rsid w:val="00CA5765"/>
    <w:rsid w:val="00CA7942"/>
    <w:rsid w:val="00CB06A1"/>
    <w:rsid w:val="00CB4460"/>
    <w:rsid w:val="00CB7423"/>
    <w:rsid w:val="00CB7BC6"/>
    <w:rsid w:val="00CC083E"/>
    <w:rsid w:val="00CC0966"/>
    <w:rsid w:val="00CC24B9"/>
    <w:rsid w:val="00CC4530"/>
    <w:rsid w:val="00CC58F5"/>
    <w:rsid w:val="00CD1D46"/>
    <w:rsid w:val="00CD7324"/>
    <w:rsid w:val="00CD7485"/>
    <w:rsid w:val="00CE4A26"/>
    <w:rsid w:val="00CE5C48"/>
    <w:rsid w:val="00CE6E74"/>
    <w:rsid w:val="00CF224B"/>
    <w:rsid w:val="00CF552E"/>
    <w:rsid w:val="00D042A4"/>
    <w:rsid w:val="00D048D5"/>
    <w:rsid w:val="00D07401"/>
    <w:rsid w:val="00D11899"/>
    <w:rsid w:val="00D1446B"/>
    <w:rsid w:val="00D160E0"/>
    <w:rsid w:val="00D17C95"/>
    <w:rsid w:val="00D20BB9"/>
    <w:rsid w:val="00D218D9"/>
    <w:rsid w:val="00D24010"/>
    <w:rsid w:val="00D3310D"/>
    <w:rsid w:val="00D33461"/>
    <w:rsid w:val="00D410FE"/>
    <w:rsid w:val="00D43C0D"/>
    <w:rsid w:val="00D550D7"/>
    <w:rsid w:val="00D63871"/>
    <w:rsid w:val="00D721E4"/>
    <w:rsid w:val="00D7673B"/>
    <w:rsid w:val="00D767D5"/>
    <w:rsid w:val="00D87B4D"/>
    <w:rsid w:val="00D9084C"/>
    <w:rsid w:val="00DA150E"/>
    <w:rsid w:val="00DA2FF0"/>
    <w:rsid w:val="00DA4895"/>
    <w:rsid w:val="00DB4359"/>
    <w:rsid w:val="00DB5102"/>
    <w:rsid w:val="00DB518B"/>
    <w:rsid w:val="00DC77A7"/>
    <w:rsid w:val="00DC7E9B"/>
    <w:rsid w:val="00DD0CBE"/>
    <w:rsid w:val="00DD3073"/>
    <w:rsid w:val="00DD4090"/>
    <w:rsid w:val="00DE3A85"/>
    <w:rsid w:val="00DE3BC0"/>
    <w:rsid w:val="00DE6416"/>
    <w:rsid w:val="00DF1C04"/>
    <w:rsid w:val="00DF6197"/>
    <w:rsid w:val="00E000F1"/>
    <w:rsid w:val="00E0442A"/>
    <w:rsid w:val="00E0706F"/>
    <w:rsid w:val="00E159E3"/>
    <w:rsid w:val="00E2252E"/>
    <w:rsid w:val="00E253B1"/>
    <w:rsid w:val="00E33F01"/>
    <w:rsid w:val="00E40863"/>
    <w:rsid w:val="00E432EC"/>
    <w:rsid w:val="00E44B04"/>
    <w:rsid w:val="00E4683A"/>
    <w:rsid w:val="00E500CB"/>
    <w:rsid w:val="00E510E0"/>
    <w:rsid w:val="00E511EF"/>
    <w:rsid w:val="00E571BE"/>
    <w:rsid w:val="00E6068D"/>
    <w:rsid w:val="00E74B9B"/>
    <w:rsid w:val="00E776FE"/>
    <w:rsid w:val="00E833FE"/>
    <w:rsid w:val="00E84892"/>
    <w:rsid w:val="00E91AC3"/>
    <w:rsid w:val="00EA31F4"/>
    <w:rsid w:val="00EA5285"/>
    <w:rsid w:val="00EA7D21"/>
    <w:rsid w:val="00EB0C92"/>
    <w:rsid w:val="00EB4CFE"/>
    <w:rsid w:val="00EB5E1D"/>
    <w:rsid w:val="00EC0D9E"/>
    <w:rsid w:val="00EC24BC"/>
    <w:rsid w:val="00EC4471"/>
    <w:rsid w:val="00ED25FC"/>
    <w:rsid w:val="00ED3ACE"/>
    <w:rsid w:val="00EE2FC2"/>
    <w:rsid w:val="00EE5547"/>
    <w:rsid w:val="00EE5784"/>
    <w:rsid w:val="00EE72E2"/>
    <w:rsid w:val="00EF6583"/>
    <w:rsid w:val="00F04CE2"/>
    <w:rsid w:val="00F0516C"/>
    <w:rsid w:val="00F05476"/>
    <w:rsid w:val="00F06851"/>
    <w:rsid w:val="00F07AFF"/>
    <w:rsid w:val="00F1231E"/>
    <w:rsid w:val="00F32C26"/>
    <w:rsid w:val="00F4714A"/>
    <w:rsid w:val="00F47752"/>
    <w:rsid w:val="00F7219F"/>
    <w:rsid w:val="00F83FB0"/>
    <w:rsid w:val="00F845E9"/>
    <w:rsid w:val="00F86E3B"/>
    <w:rsid w:val="00F93CCF"/>
    <w:rsid w:val="00F95A6B"/>
    <w:rsid w:val="00F964F7"/>
    <w:rsid w:val="00FA0267"/>
    <w:rsid w:val="00FA21C0"/>
    <w:rsid w:val="00FB1643"/>
    <w:rsid w:val="00FB27D5"/>
    <w:rsid w:val="00FB689D"/>
    <w:rsid w:val="00FC11DF"/>
    <w:rsid w:val="00FC2DA6"/>
    <w:rsid w:val="00FC5AC9"/>
    <w:rsid w:val="00FD6EE3"/>
    <w:rsid w:val="00FE344D"/>
    <w:rsid w:val="00FF26CE"/>
    <w:rsid w:val="00FF401E"/>
    <w:rsid w:val="00FF40C0"/>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nhideWhenUsed/>
    <w:rsid w:val="009851A4"/>
    <w:pPr>
      <w:tabs>
        <w:tab w:val="center" w:pos="4680"/>
        <w:tab w:val="right" w:pos="9360"/>
      </w:tabs>
    </w:pPr>
  </w:style>
  <w:style w:type="character" w:customStyle="1" w:styleId="FooterChar">
    <w:name w:val="Footer Char"/>
    <w:basedOn w:val="DefaultParagraphFont"/>
    <w:link w:val="Footer"/>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link w:val="ListParagraphChar"/>
    <w:uiPriority w:val="34"/>
    <w:qFormat/>
    <w:rsid w:val="00754760"/>
    <w:pPr>
      <w:ind w:left="720"/>
      <w:contextualSpacing/>
    </w:pPr>
    <w:rPr>
      <w:szCs w:val="20"/>
    </w:rPr>
  </w:style>
  <w:style w:type="character" w:styleId="CommentReference">
    <w:name w:val="annotation reference"/>
    <w:basedOn w:val="DefaultParagraphFont"/>
    <w:semiHidden/>
    <w:unhideWhenUsed/>
    <w:rsid w:val="001F4CC8"/>
    <w:rPr>
      <w:sz w:val="16"/>
      <w:szCs w:val="16"/>
    </w:rPr>
  </w:style>
  <w:style w:type="paragraph" w:styleId="CommentText">
    <w:name w:val="annotation text"/>
    <w:basedOn w:val="Normal"/>
    <w:link w:val="CommentTextChar"/>
    <w:unhideWhenUsed/>
    <w:rsid w:val="001F4CC8"/>
    <w:rPr>
      <w:sz w:val="20"/>
      <w:szCs w:val="20"/>
    </w:rPr>
  </w:style>
  <w:style w:type="character" w:customStyle="1" w:styleId="CommentTextChar">
    <w:name w:val="Comment Text Char"/>
    <w:basedOn w:val="DefaultParagraphFont"/>
    <w:link w:val="CommentText"/>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paragraph" w:customStyle="1" w:styleId="Headingi">
    <w:name w:val="Heading_i"/>
    <w:basedOn w:val="Normal"/>
    <w:next w:val="Normal"/>
    <w:qFormat/>
    <w:rsid w:val="00893D95"/>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lang w:val="en-GB"/>
    </w:rPr>
  </w:style>
  <w:style w:type="paragraph" w:customStyle="1" w:styleId="Figure">
    <w:name w:val="Figure"/>
    <w:basedOn w:val="Normal"/>
    <w:next w:val="Normal"/>
    <w:rsid w:val="00893D95"/>
    <w:pPr>
      <w:tabs>
        <w:tab w:val="left" w:pos="1134"/>
        <w:tab w:val="left" w:pos="1871"/>
        <w:tab w:val="left" w:pos="2268"/>
      </w:tabs>
      <w:overflowPunct w:val="0"/>
      <w:autoSpaceDE w:val="0"/>
      <w:autoSpaceDN w:val="0"/>
      <w:adjustRightInd w:val="0"/>
      <w:spacing w:before="120" w:after="240"/>
      <w:jc w:val="center"/>
      <w:textAlignment w:val="baseline"/>
    </w:pPr>
    <w:rPr>
      <w:noProof/>
      <w:sz w:val="24"/>
      <w:szCs w:val="20"/>
      <w:lang w:val="en-GB" w:eastAsia="zh-CN"/>
    </w:rPr>
  </w:style>
  <w:style w:type="table" w:customStyle="1" w:styleId="TableGrid1">
    <w:name w:val="Table Grid1"/>
    <w:basedOn w:val="TableNormal"/>
    <w:next w:val="TableGrid"/>
    <w:rsid w:val="00893D95"/>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
    <w:name w:val="Heading_b"/>
    <w:basedOn w:val="Normal"/>
    <w:next w:val="Normal"/>
    <w:qFormat/>
    <w:rsid w:val="000464FF"/>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val="en-GB" w:eastAsia="zh-CN"/>
    </w:rPr>
  </w:style>
  <w:style w:type="character" w:customStyle="1" w:styleId="ListParagraphChar">
    <w:name w:val="List Paragraph Char"/>
    <w:basedOn w:val="DefaultParagraphFont"/>
    <w:link w:val="ListParagraph"/>
    <w:uiPriority w:val="34"/>
    <w:locked/>
    <w:rsid w:val="0020631D"/>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939793748">
      <w:bodyDiv w:val="1"/>
      <w:marLeft w:val="0"/>
      <w:marRight w:val="0"/>
      <w:marTop w:val="0"/>
      <w:marBottom w:val="0"/>
      <w:divBdr>
        <w:top w:val="none" w:sz="0" w:space="0" w:color="auto"/>
        <w:left w:val="none" w:sz="0" w:space="0" w:color="auto"/>
        <w:bottom w:val="none" w:sz="0" w:space="0" w:color="auto"/>
        <w:right w:val="none" w:sz="0" w:space="0" w:color="auto"/>
      </w:divBdr>
    </w:div>
    <w:div w:id="1577861944">
      <w:bodyDiv w:val="1"/>
      <w:marLeft w:val="0"/>
      <w:marRight w:val="0"/>
      <w:marTop w:val="0"/>
      <w:marBottom w:val="0"/>
      <w:divBdr>
        <w:top w:val="none" w:sz="0" w:space="0" w:color="auto"/>
        <w:left w:val="none" w:sz="0" w:space="0" w:color="auto"/>
        <w:bottom w:val="none" w:sz="0" w:space="0" w:color="auto"/>
        <w:right w:val="none" w:sz="0" w:space="0" w:color="auto"/>
      </w:divBdr>
    </w:div>
    <w:div w:id="1953318376">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2.xml><?xml version="1.0" encoding="utf-8"?>
<ds:datastoreItem xmlns:ds="http://schemas.openxmlformats.org/officeDocument/2006/customXml" ds:itemID="{BC345678-E1B4-4AAE-A86D-5C0826B69160}"/>
</file>

<file path=customXml/itemProps3.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 ds:uri="http://schemas.microsoft.com/sharepoint/v3"/>
    <ds:schemaRef ds:uri="5cbc898d-1575-4083-b8fa-134b7505b6c5"/>
    <ds:schemaRef ds:uri="2743cc66-7ff5-41e5-9683-1d4a483ea424"/>
  </ds:schemaRefs>
</ds:datastoreItem>
</file>

<file path=customXml/itemProps4.xml><?xml version="1.0" encoding="utf-8"?>
<ds:datastoreItem xmlns:ds="http://schemas.openxmlformats.org/officeDocument/2006/customXml" ds:itemID="{5ED23A27-4CDE-401C-B263-6F1AC89E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1367</Words>
  <Characters>7796</Characters>
  <Application>Microsoft Office Word</Application>
  <DocSecurity>0</DocSecurity>
  <Lines>64</Lines>
  <Paragraphs>18</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2022-08-14T20:03:00Z</dcterms:created>
  <dcterms:modified xsi:type="dcterms:W3CDTF">2022-08-15T17:27:00Z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Order">
    <vt:r8>187600</vt:r8>
  </property>
  <property fmtid="{D5CDD505-2E9C-101B-9397-08002B2CF9AE}" pid="4" name="MediaServiceImageTags">
    <vt:lpwstr/>
  </property>
</Properties>
</file>