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713A62A3" w14:textId="77777777" w:rsidTr="00780DED">
        <w:trPr>
          <w:cantSplit/>
        </w:trPr>
        <w:tc>
          <w:tcPr>
            <w:tcW w:w="6487" w:type="dxa"/>
            <w:vAlign w:val="center"/>
          </w:tcPr>
          <w:p w14:paraId="58543544" w14:textId="4B59B314"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18C5F8D" w14:textId="77777777" w:rsidR="00612E76" w:rsidRDefault="00612E76" w:rsidP="009F7D3E">
            <w:pPr>
              <w:shd w:val="solid" w:color="FFFFFF" w:fill="FFFFFF"/>
              <w:spacing w:line="240" w:lineRule="atLeast"/>
            </w:pPr>
            <w:bookmarkStart w:id="0" w:name="ditulogo"/>
            <w:bookmarkEnd w:id="0"/>
            <w:r>
              <w:rPr>
                <w:noProof/>
                <w:lang w:val="en-CA" w:eastAsia="zh-CN"/>
              </w:rPr>
              <w:drawing>
                <wp:inline distT="0" distB="0" distL="0" distR="0" wp14:anchorId="06D52C02" wp14:editId="37B7E79C">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EE387B4" w14:textId="77777777" w:rsidTr="00780DED">
        <w:trPr>
          <w:cantSplit/>
        </w:trPr>
        <w:tc>
          <w:tcPr>
            <w:tcW w:w="6487" w:type="dxa"/>
            <w:tcBorders>
              <w:bottom w:val="single" w:sz="12" w:space="0" w:color="auto"/>
            </w:tcBorders>
          </w:tcPr>
          <w:p w14:paraId="67E6ECD1"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2117F375" w14:textId="77777777" w:rsidR="00612E76" w:rsidRPr="0051782D" w:rsidRDefault="00612E76" w:rsidP="00A5173C">
            <w:pPr>
              <w:shd w:val="solid" w:color="FFFFFF" w:fill="FFFFFF"/>
              <w:spacing w:after="48" w:line="240" w:lineRule="atLeast"/>
            </w:pPr>
          </w:p>
        </w:tc>
      </w:tr>
      <w:tr w:rsidR="00612E76" w14:paraId="079B9F48" w14:textId="77777777" w:rsidTr="00780DED">
        <w:trPr>
          <w:cantSplit/>
        </w:trPr>
        <w:tc>
          <w:tcPr>
            <w:tcW w:w="6487" w:type="dxa"/>
            <w:tcBorders>
              <w:top w:val="single" w:sz="12" w:space="0" w:color="auto"/>
            </w:tcBorders>
          </w:tcPr>
          <w:p w14:paraId="69D9C0B5"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61C2C20F" w14:textId="77777777" w:rsidR="00612E76" w:rsidRPr="00710D66" w:rsidRDefault="00612E76" w:rsidP="00A5173C">
            <w:pPr>
              <w:shd w:val="solid" w:color="FFFFFF" w:fill="FFFFFF"/>
              <w:spacing w:after="48" w:line="240" w:lineRule="atLeast"/>
            </w:pPr>
          </w:p>
        </w:tc>
      </w:tr>
      <w:tr w:rsidR="000464FF" w:rsidRPr="001C2FBD" w14:paraId="1163CF1A" w14:textId="77777777" w:rsidTr="00780DED">
        <w:trPr>
          <w:cantSplit/>
        </w:trPr>
        <w:tc>
          <w:tcPr>
            <w:tcW w:w="6487" w:type="dxa"/>
            <w:vMerge w:val="restart"/>
          </w:tcPr>
          <w:p w14:paraId="783A3ADC" w14:textId="77777777" w:rsidR="000464FF" w:rsidRDefault="000464FF" w:rsidP="000464FF">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00AE19D1" w:rsidRPr="00AE19D1">
              <w:rPr>
                <w:rFonts w:ascii="Verdana" w:hAnsi="Verdana"/>
                <w:sz w:val="20"/>
                <w:highlight w:val="yellow"/>
              </w:rPr>
              <w:t>XX</w:t>
            </w:r>
          </w:p>
          <w:p w14:paraId="6CF1027B" w14:textId="77777777" w:rsidR="000464FF" w:rsidRPr="00982084" w:rsidRDefault="000464FF" w:rsidP="000464FF">
            <w:pPr>
              <w:shd w:val="solid" w:color="FFFFFF" w:fill="FFFFFF"/>
              <w:spacing w:after="240"/>
              <w:ind w:left="1134" w:hanging="1134"/>
              <w:rPr>
                <w:rFonts w:ascii="Verdana" w:hAnsi="Verdana"/>
                <w:sz w:val="20"/>
              </w:rPr>
            </w:pPr>
          </w:p>
        </w:tc>
        <w:tc>
          <w:tcPr>
            <w:tcW w:w="3402" w:type="dxa"/>
          </w:tcPr>
          <w:p w14:paraId="74F90C8F" w14:textId="7FD1530B" w:rsidR="000464FF" w:rsidRPr="00780DED" w:rsidRDefault="000464FF" w:rsidP="000464FF">
            <w:pPr>
              <w:shd w:val="solid" w:color="FFFFFF" w:fill="FFFFFF"/>
              <w:spacing w:line="240" w:lineRule="atLeast"/>
              <w:rPr>
                <w:rFonts w:ascii="Verdana" w:hAnsi="Verdana"/>
                <w:sz w:val="20"/>
                <w:lang w:val="es-ES_tradnl" w:eastAsia="zh-CN"/>
              </w:rPr>
            </w:pPr>
            <w:proofErr w:type="spellStart"/>
            <w:r w:rsidRPr="00780DED">
              <w:rPr>
                <w:rFonts w:ascii="Verdana" w:hAnsi="Verdana"/>
                <w:b/>
                <w:sz w:val="20"/>
                <w:lang w:val="es-ES_tradnl" w:eastAsia="zh-CN"/>
              </w:rPr>
              <w:t>Document</w:t>
            </w:r>
            <w:proofErr w:type="spellEnd"/>
            <w:r w:rsidRPr="00780DED">
              <w:rPr>
                <w:rFonts w:ascii="Verdana" w:hAnsi="Verdana"/>
                <w:b/>
                <w:sz w:val="20"/>
                <w:lang w:val="es-ES_tradnl" w:eastAsia="zh-CN"/>
              </w:rPr>
              <w:t xml:space="preserve"> </w:t>
            </w:r>
            <w:r w:rsidRPr="00780DED">
              <w:rPr>
                <w:rFonts w:ascii="Verdana" w:hAnsi="Verdana"/>
                <w:b/>
                <w:sz w:val="20"/>
                <w:highlight w:val="yellow"/>
                <w:lang w:val="es-ES_tradnl" w:eastAsia="zh-CN"/>
              </w:rPr>
              <w:t>5B</w:t>
            </w:r>
            <w:r w:rsidR="00780DED" w:rsidRPr="00780DED">
              <w:rPr>
                <w:rFonts w:ascii="Verdana" w:hAnsi="Verdana"/>
                <w:b/>
                <w:sz w:val="20"/>
                <w:highlight w:val="yellow"/>
                <w:lang w:val="es-ES_tradnl" w:eastAsia="zh-CN"/>
              </w:rPr>
              <w:t>/5D</w:t>
            </w:r>
            <w:r w:rsidRPr="00780DED">
              <w:rPr>
                <w:rFonts w:ascii="Verdana" w:hAnsi="Verdana"/>
                <w:b/>
                <w:sz w:val="20"/>
                <w:highlight w:val="yellow"/>
                <w:lang w:val="es-ES_tradnl" w:eastAsia="zh-CN"/>
              </w:rPr>
              <w:t>/</w:t>
            </w:r>
            <w:r w:rsidR="00AE19D1" w:rsidRPr="00780DED">
              <w:rPr>
                <w:rFonts w:ascii="Verdana" w:hAnsi="Verdana"/>
                <w:b/>
                <w:sz w:val="20"/>
                <w:highlight w:val="yellow"/>
                <w:lang w:val="es-ES_tradnl" w:eastAsia="zh-CN"/>
              </w:rPr>
              <w:t>XX</w:t>
            </w:r>
            <w:r w:rsidRPr="00780DED">
              <w:rPr>
                <w:rFonts w:ascii="Verdana" w:hAnsi="Verdana"/>
                <w:b/>
                <w:sz w:val="20"/>
                <w:highlight w:val="yellow"/>
                <w:lang w:val="es-ES_tradnl" w:eastAsia="zh-CN"/>
              </w:rPr>
              <w:t>-E</w:t>
            </w:r>
          </w:p>
        </w:tc>
      </w:tr>
      <w:tr w:rsidR="000464FF" w14:paraId="5D26BDA2" w14:textId="77777777" w:rsidTr="00780DED">
        <w:trPr>
          <w:cantSplit/>
        </w:trPr>
        <w:tc>
          <w:tcPr>
            <w:tcW w:w="6487" w:type="dxa"/>
            <w:vMerge/>
          </w:tcPr>
          <w:p w14:paraId="3D0CC361" w14:textId="77777777" w:rsidR="000464FF" w:rsidRPr="00780DED" w:rsidRDefault="000464FF" w:rsidP="000464FF">
            <w:pPr>
              <w:spacing w:before="60"/>
              <w:jc w:val="center"/>
              <w:rPr>
                <w:b/>
                <w:smallCaps/>
                <w:sz w:val="32"/>
                <w:lang w:val="es-ES_tradnl" w:eastAsia="zh-CN"/>
              </w:rPr>
            </w:pPr>
            <w:bookmarkStart w:id="3" w:name="ddate" w:colFirst="1" w:colLast="1"/>
            <w:bookmarkEnd w:id="2"/>
          </w:p>
        </w:tc>
        <w:tc>
          <w:tcPr>
            <w:tcW w:w="3402" w:type="dxa"/>
          </w:tcPr>
          <w:p w14:paraId="2DB03D27" w14:textId="6F7AE5F6" w:rsidR="000464FF" w:rsidRPr="004C5192" w:rsidRDefault="00AE19D1" w:rsidP="000464FF">
            <w:pPr>
              <w:shd w:val="solid" w:color="FFFFFF" w:fill="FFFFFF"/>
              <w:spacing w:line="240" w:lineRule="atLeast"/>
              <w:rPr>
                <w:rFonts w:ascii="Verdana" w:hAnsi="Verdana"/>
                <w:sz w:val="20"/>
                <w:lang w:eastAsia="zh-CN"/>
              </w:rPr>
            </w:pPr>
            <w:r>
              <w:rPr>
                <w:rFonts w:ascii="Verdana" w:hAnsi="Verdana"/>
                <w:b/>
                <w:sz w:val="20"/>
                <w:highlight w:val="yellow"/>
                <w:lang w:eastAsia="zh-CN"/>
              </w:rPr>
              <w:t xml:space="preserve">XX </w:t>
            </w:r>
            <w:r w:rsidR="000464FF" w:rsidRPr="00F83625">
              <w:rPr>
                <w:rFonts w:ascii="Verdana" w:hAnsi="Verdana"/>
                <w:b/>
                <w:sz w:val="20"/>
                <w:highlight w:val="yellow"/>
                <w:lang w:eastAsia="zh-CN"/>
              </w:rPr>
              <w:t>202</w:t>
            </w:r>
            <w:r w:rsidR="00780DED">
              <w:rPr>
                <w:rFonts w:ascii="Verdana" w:hAnsi="Verdana"/>
                <w:b/>
                <w:sz w:val="20"/>
                <w:lang w:eastAsia="zh-CN"/>
              </w:rPr>
              <w:t>4</w:t>
            </w:r>
          </w:p>
        </w:tc>
      </w:tr>
      <w:tr w:rsidR="000464FF" w14:paraId="10D44328" w14:textId="77777777" w:rsidTr="00780DED">
        <w:trPr>
          <w:cantSplit/>
        </w:trPr>
        <w:tc>
          <w:tcPr>
            <w:tcW w:w="6487" w:type="dxa"/>
            <w:vMerge/>
          </w:tcPr>
          <w:p w14:paraId="3245E018" w14:textId="77777777" w:rsidR="000464FF" w:rsidRDefault="000464FF" w:rsidP="000464FF">
            <w:pPr>
              <w:spacing w:before="60"/>
              <w:jc w:val="center"/>
              <w:rPr>
                <w:b/>
                <w:smallCaps/>
                <w:sz w:val="32"/>
                <w:lang w:eastAsia="zh-CN"/>
              </w:rPr>
            </w:pPr>
            <w:bookmarkStart w:id="4" w:name="dorlang" w:colFirst="1" w:colLast="1"/>
            <w:bookmarkEnd w:id="3"/>
          </w:p>
        </w:tc>
        <w:tc>
          <w:tcPr>
            <w:tcW w:w="3402" w:type="dxa"/>
          </w:tcPr>
          <w:p w14:paraId="3DB2D64E" w14:textId="77777777" w:rsidR="000464FF" w:rsidRPr="004C5192" w:rsidRDefault="000464FF" w:rsidP="000464FF">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64FF" w14:paraId="23EFBA89" w14:textId="77777777" w:rsidTr="00780DED">
        <w:trPr>
          <w:cantSplit/>
        </w:trPr>
        <w:tc>
          <w:tcPr>
            <w:tcW w:w="9889" w:type="dxa"/>
            <w:gridSpan w:val="2"/>
          </w:tcPr>
          <w:p w14:paraId="3A2120AF" w14:textId="77777777" w:rsidR="000464FF" w:rsidRDefault="000464FF" w:rsidP="000464FF">
            <w:pPr>
              <w:pStyle w:val="Source"/>
              <w:rPr>
                <w:lang w:eastAsia="zh-CN"/>
              </w:rPr>
            </w:pPr>
            <w:bookmarkStart w:id="5" w:name="dsource" w:colFirst="0" w:colLast="0"/>
            <w:bookmarkEnd w:id="4"/>
            <w:r>
              <w:rPr>
                <w:lang w:val="en-US"/>
              </w:rPr>
              <w:t>International Civil Aviation Organization</w:t>
            </w:r>
          </w:p>
        </w:tc>
      </w:tr>
      <w:tr w:rsidR="000464FF" w14:paraId="5EB4F8B6" w14:textId="77777777" w:rsidTr="00780DED">
        <w:trPr>
          <w:cantSplit/>
        </w:trPr>
        <w:tc>
          <w:tcPr>
            <w:tcW w:w="9889" w:type="dxa"/>
            <w:gridSpan w:val="2"/>
          </w:tcPr>
          <w:p w14:paraId="3ED3CEE5" w14:textId="28DB489C" w:rsidR="000464FF" w:rsidRDefault="00A91E63" w:rsidP="000464FF">
            <w:pPr>
              <w:pStyle w:val="Title1"/>
              <w:rPr>
                <w:lang w:eastAsia="zh-CN"/>
              </w:rPr>
            </w:pPr>
            <w:bookmarkStart w:id="6" w:name="drec" w:colFirst="0" w:colLast="0"/>
            <w:bookmarkEnd w:id="5"/>
            <w:r w:rsidRPr="00A91E63">
              <w:t xml:space="preserve">LIAISON STATEMENT TO ITU-R WORKING PARTIES </w:t>
            </w:r>
            <w:r w:rsidR="00780DED">
              <w:t>5B</w:t>
            </w:r>
            <w:r w:rsidRPr="00A91E63">
              <w:t xml:space="preserve"> AND 5</w:t>
            </w:r>
            <w:r w:rsidR="00780DED">
              <w:t>D</w:t>
            </w:r>
          </w:p>
        </w:tc>
      </w:tr>
      <w:bookmarkEnd w:id="6"/>
      <w:tr w:rsidR="000464FF" w14:paraId="70255A4A" w14:textId="77777777" w:rsidTr="00780DED">
        <w:trPr>
          <w:cantSplit/>
        </w:trPr>
        <w:tc>
          <w:tcPr>
            <w:tcW w:w="9889" w:type="dxa"/>
            <w:gridSpan w:val="2"/>
          </w:tcPr>
          <w:p w14:paraId="5FB64FEF" w14:textId="278A3681" w:rsidR="000464FF" w:rsidRDefault="00A91E63" w:rsidP="000464FF">
            <w:pPr>
              <w:pStyle w:val="Title1"/>
              <w:rPr>
                <w:lang w:eastAsia="zh-CN"/>
              </w:rPr>
            </w:pPr>
            <w:r w:rsidRPr="00A91E63">
              <w:t>WRC-27 AGENDA ITEM 1.</w:t>
            </w:r>
            <w:r w:rsidR="00780DED">
              <w:t>7</w:t>
            </w:r>
          </w:p>
        </w:tc>
      </w:tr>
      <w:tr w:rsidR="000464FF" w14:paraId="4AC6FC58" w14:textId="77777777" w:rsidTr="00780DED">
        <w:trPr>
          <w:cantSplit/>
        </w:trPr>
        <w:tc>
          <w:tcPr>
            <w:tcW w:w="9889" w:type="dxa"/>
            <w:gridSpan w:val="2"/>
          </w:tcPr>
          <w:p w14:paraId="18025117" w14:textId="77777777" w:rsidR="000464FF" w:rsidRDefault="00780DED" w:rsidP="000464FF">
            <w:pPr>
              <w:pStyle w:val="Title4"/>
              <w:rPr>
                <w:szCs w:val="28"/>
              </w:rPr>
            </w:pPr>
            <w:bookmarkStart w:id="7" w:name="_Hlk87517208"/>
            <w:bookmarkStart w:id="8" w:name="dtitle1" w:colFirst="0" w:colLast="0"/>
            <w:r w:rsidRPr="00780DED">
              <w:rPr>
                <w:szCs w:val="28"/>
              </w:rPr>
              <w:t>Proposed Technical Parameters and Operating Scenarios to Consider in Adjacent Band Studies Involving Radio Altimeters and Wireless Avionics Intra Communications Operating in the 4 200 – 4 400 MHz Frequency Band</w:t>
            </w:r>
            <w:bookmarkEnd w:id="7"/>
          </w:p>
          <w:p w14:paraId="6405BA3F" w14:textId="731BE0E6" w:rsidR="00780DED" w:rsidRPr="00780DED" w:rsidRDefault="00780DED" w:rsidP="00780DED">
            <w:pPr>
              <w:pStyle w:val="Heading1"/>
              <w:rPr>
                <w:lang w:val="en-GB"/>
              </w:rPr>
            </w:pPr>
          </w:p>
        </w:tc>
      </w:tr>
      <w:bookmarkEnd w:id="8"/>
      <w:tr w:rsidR="00780DED" w:rsidRPr="00780DED" w14:paraId="3B1A405E" w14:textId="77777777" w:rsidTr="00780DED">
        <w:tblPrEx>
          <w:tblLook w:val="04A0" w:firstRow="1" w:lastRow="0" w:firstColumn="1" w:lastColumn="0" w:noHBand="0" w:noVBand="1"/>
        </w:tblPrEx>
        <w:trPr>
          <w:cantSplit/>
        </w:trPr>
        <w:tc>
          <w:tcPr>
            <w:tcW w:w="9889" w:type="dxa"/>
            <w:gridSpan w:val="2"/>
            <w:hideMark/>
          </w:tcPr>
          <w:p w14:paraId="2453BA2E" w14:textId="10E54D90" w:rsidR="00780DED" w:rsidRPr="00780DED" w:rsidRDefault="00780DED" w:rsidP="00780DED">
            <w:pPr>
              <w:rPr>
                <w:b/>
                <w:sz w:val="28"/>
                <w:szCs w:val="28"/>
                <w:lang w:val="en-GB"/>
              </w:rPr>
            </w:pPr>
          </w:p>
        </w:tc>
      </w:tr>
    </w:tbl>
    <w:p w14:paraId="79241ED3" w14:textId="2FB5784C" w:rsidR="00780DED" w:rsidRPr="00780DED" w:rsidRDefault="00780DED" w:rsidP="00780DED">
      <w:pPr>
        <w:rPr>
          <w:lang w:val="en-GB"/>
        </w:rPr>
      </w:pPr>
      <w:r w:rsidRPr="00780DED">
        <w:rPr>
          <w:lang w:val="en-GB"/>
        </w:rPr>
        <w:t xml:space="preserve">With the creation of WRC-27 Agenda Item 1.7, </w:t>
      </w:r>
      <w:r w:rsidR="009332DA">
        <w:rPr>
          <w:lang w:val="en-GB"/>
        </w:rPr>
        <w:t xml:space="preserve">the </w:t>
      </w:r>
      <w:r w:rsidR="004D5A80" w:rsidRPr="004D5A80">
        <w:rPr>
          <w:lang w:val="en-GB"/>
        </w:rPr>
        <w:t xml:space="preserve">International Civil Aviation Organization </w:t>
      </w:r>
      <w:r w:rsidR="004D5A80">
        <w:rPr>
          <w:lang w:val="en-GB"/>
        </w:rPr>
        <w:t>(</w:t>
      </w:r>
      <w:r w:rsidRPr="00780DED">
        <w:rPr>
          <w:lang w:val="en-GB"/>
        </w:rPr>
        <w:t>ICAO</w:t>
      </w:r>
      <w:r w:rsidR="004D5A80">
        <w:rPr>
          <w:lang w:val="en-GB"/>
        </w:rPr>
        <w:t>)</w:t>
      </w:r>
      <w:r w:rsidRPr="00780DED">
        <w:rPr>
          <w:lang w:val="en-GB"/>
        </w:rPr>
        <w:t xml:space="preserve"> has a strong interest in adjacent band studies being conducted by Working Party 5D for potential new IMT systems in the </w:t>
      </w:r>
      <w:r w:rsidR="002D552D">
        <w:rPr>
          <w:lang w:val="en-GB"/>
        </w:rPr>
        <w:t>frequency range</w:t>
      </w:r>
      <w:r w:rsidRPr="00780DED">
        <w:rPr>
          <w:lang w:val="en-GB"/>
        </w:rPr>
        <w:t xml:space="preserve"> 4 400 – 4 800 MHz and the radio altimeters and Wireless Avionics Intra Communications (“WAIC”) systems operating in the </w:t>
      </w:r>
      <w:r w:rsidR="002D552D">
        <w:rPr>
          <w:lang w:val="en-GB"/>
        </w:rPr>
        <w:t xml:space="preserve">frequency band </w:t>
      </w:r>
      <w:r w:rsidRPr="00780DED">
        <w:rPr>
          <w:lang w:val="en-GB"/>
        </w:rPr>
        <w:t xml:space="preserve">4 200 – 4 400 </w:t>
      </w:r>
      <w:proofErr w:type="spellStart"/>
      <w:r w:rsidRPr="00780DED">
        <w:rPr>
          <w:lang w:val="en-GB"/>
        </w:rPr>
        <w:t>MHz.</w:t>
      </w:r>
      <w:proofErr w:type="spellEnd"/>
      <w:r w:rsidRPr="00780DED">
        <w:rPr>
          <w:lang w:val="en-GB"/>
        </w:rPr>
        <w:t xml:space="preserve">  Both radio altimeter and WAIC systems are standardized by ICAO to ensure their continued operation in a safe and regulated manner, being protected from harmful interference.</w:t>
      </w:r>
      <w:r w:rsidRPr="00780DED">
        <w:rPr>
          <w:vertAlign w:val="superscript"/>
          <w:lang w:val="en-GB"/>
        </w:rPr>
        <w:footnoteReference w:id="2"/>
      </w:r>
    </w:p>
    <w:p w14:paraId="79BF8C32" w14:textId="77777777" w:rsidR="00780DED" w:rsidRPr="00780DED" w:rsidRDefault="00780DED" w:rsidP="00780DED">
      <w:pPr>
        <w:rPr>
          <w:lang w:val="en-GB"/>
        </w:rPr>
      </w:pPr>
    </w:p>
    <w:p w14:paraId="44724AA2" w14:textId="77777777" w:rsidR="00780DED" w:rsidRPr="00780DED" w:rsidRDefault="00780DED" w:rsidP="00780DED">
      <w:pPr>
        <w:rPr>
          <w:lang w:val="en-GB"/>
        </w:rPr>
      </w:pPr>
      <w:r w:rsidRPr="00780DED">
        <w:rPr>
          <w:lang w:val="en-GB"/>
        </w:rPr>
        <w:t>The following radio altimeter and WAIC background details, technical parameters, and operational scenarios are provided for consideration in ITU</w:t>
      </w:r>
      <w:r w:rsidRPr="00780DED">
        <w:rPr>
          <w:lang w:val="en-GB"/>
        </w:rPr>
        <w:noBreakHyphen/>
        <w:t xml:space="preserve">R sharing and compatibility studies in accordance with </w:t>
      </w:r>
      <w:r w:rsidRPr="00780DED">
        <w:rPr>
          <w:i/>
          <w:iCs/>
          <w:lang w:val="en-GB"/>
        </w:rPr>
        <w:t xml:space="preserve">resolves 2 </w:t>
      </w:r>
      <w:r w:rsidRPr="00780DED">
        <w:rPr>
          <w:lang w:val="en-GB"/>
        </w:rPr>
        <w:t xml:space="preserve">of WRC-27 agenda item 1.7. ICAO is continuing consideration of additional or clarifying technical parameters, protection criteria, and/or operational scenarios, and will provide ITU-R with an update, if necessary, in a follow-on liaison statement. </w:t>
      </w:r>
    </w:p>
    <w:p w14:paraId="6FA5F50D" w14:textId="77777777" w:rsidR="00780DED" w:rsidRPr="00780DED" w:rsidRDefault="00780DED" w:rsidP="00780DED">
      <w:pPr>
        <w:rPr>
          <w:lang w:val="en-GB"/>
        </w:rPr>
      </w:pPr>
    </w:p>
    <w:p w14:paraId="4CB6E982" w14:textId="77777777" w:rsidR="00780DED" w:rsidRPr="00780DED" w:rsidRDefault="00780DED" w:rsidP="00780DED">
      <w:pPr>
        <w:rPr>
          <w:b/>
          <w:lang w:val="en-GB"/>
        </w:rPr>
      </w:pPr>
      <w:r w:rsidRPr="00780DED">
        <w:rPr>
          <w:b/>
          <w:lang w:val="en-GB"/>
        </w:rPr>
        <w:t>ITU-R STUDIES INVOLVING RADIO ALTIMETERS</w:t>
      </w:r>
    </w:p>
    <w:p w14:paraId="20290EC0" w14:textId="77777777" w:rsidR="00780DED" w:rsidRPr="00780DED" w:rsidRDefault="00780DED" w:rsidP="00780DED">
      <w:pPr>
        <w:rPr>
          <w:lang w:val="en-GB"/>
        </w:rPr>
      </w:pPr>
    </w:p>
    <w:p w14:paraId="62278C27" w14:textId="77777777" w:rsidR="00780DED" w:rsidRPr="00780DED" w:rsidRDefault="00780DED" w:rsidP="00780DED">
      <w:pPr>
        <w:rPr>
          <w:b/>
          <w:bCs/>
          <w:lang w:val="en-GB"/>
        </w:rPr>
      </w:pPr>
      <w:r w:rsidRPr="00780DED">
        <w:rPr>
          <w:b/>
          <w:bCs/>
          <w:lang w:val="en-GB"/>
        </w:rPr>
        <w:t>Radio Altimeter Background</w:t>
      </w:r>
    </w:p>
    <w:p w14:paraId="22389B0C" w14:textId="77777777" w:rsidR="00780DED" w:rsidRPr="00780DED" w:rsidRDefault="00780DED" w:rsidP="00780DED">
      <w:pPr>
        <w:rPr>
          <w:lang w:val="en-GB"/>
        </w:rPr>
      </w:pPr>
    </w:p>
    <w:p w14:paraId="70A0DDE5" w14:textId="77777777" w:rsidR="00780DED" w:rsidRPr="00780DED" w:rsidRDefault="00780DED" w:rsidP="00780DED">
      <w:pPr>
        <w:rPr>
          <w:lang w:val="en-GB"/>
        </w:rPr>
      </w:pPr>
      <w:r w:rsidRPr="00780DED">
        <w:rPr>
          <w:lang w:val="en-GB"/>
        </w:rPr>
        <w:t xml:space="preserve">A radio altimeter 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 altimeters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 </w:t>
      </w:r>
    </w:p>
    <w:p w14:paraId="666D7F6B" w14:textId="77777777" w:rsidR="00780DED" w:rsidRPr="00780DED" w:rsidRDefault="00780DED" w:rsidP="00780DED">
      <w:pPr>
        <w:rPr>
          <w:lang w:val="en-GB"/>
        </w:rPr>
      </w:pPr>
    </w:p>
    <w:p w14:paraId="11BE1500" w14:textId="77777777" w:rsidR="00780DED" w:rsidRPr="00780DED" w:rsidRDefault="00780DED" w:rsidP="004D5A80">
      <w:pPr>
        <w:keepNext/>
        <w:rPr>
          <w:b/>
          <w:bCs/>
          <w:lang w:val="en-GB"/>
        </w:rPr>
      </w:pPr>
      <w:r w:rsidRPr="00780DED">
        <w:rPr>
          <w:b/>
          <w:bCs/>
          <w:lang w:val="en-GB"/>
        </w:rPr>
        <w:lastRenderedPageBreak/>
        <w:t>Radio Altimeter Technical Parameters</w:t>
      </w:r>
    </w:p>
    <w:p w14:paraId="44384E68" w14:textId="77777777" w:rsidR="00780DED" w:rsidRPr="00780DED" w:rsidRDefault="00780DED" w:rsidP="00780DED">
      <w:pPr>
        <w:rPr>
          <w:lang w:val="en-GB"/>
        </w:rPr>
      </w:pPr>
    </w:p>
    <w:p w14:paraId="3F24C878" w14:textId="115580D3" w:rsidR="00780DED" w:rsidRPr="00780DED" w:rsidRDefault="00780DED" w:rsidP="00780DED">
      <w:pPr>
        <w:rPr>
          <w:lang w:val="en-GB"/>
        </w:rPr>
      </w:pPr>
      <w:r w:rsidRPr="00780DED">
        <w:t>The transceiver technical parameters and protection criteria provided in Recommendation ITU</w:t>
      </w:r>
      <w:r w:rsidRPr="00780DED">
        <w:noBreakHyphen/>
        <w:t>R M.2059</w:t>
      </w:r>
      <w:r w:rsidRPr="00780DED">
        <w:noBreakHyphen/>
        <w:t xml:space="preserve">0 are accurate for </w:t>
      </w:r>
      <w:r w:rsidR="004D5A80">
        <w:t xml:space="preserve">radio </w:t>
      </w:r>
      <w:r w:rsidRPr="00780DED">
        <w:t>altimeters used worldwide that will continue to be in service for the foreseeable future.</w:t>
      </w:r>
      <w:r w:rsidRPr="00780DED">
        <w:rPr>
          <w:vertAlign w:val="superscript"/>
        </w:rPr>
        <w:footnoteReference w:id="3"/>
      </w:r>
      <w:r w:rsidRPr="00780DED">
        <w:t xml:space="preserve"> </w:t>
      </w:r>
    </w:p>
    <w:p w14:paraId="012B7186" w14:textId="77777777" w:rsidR="00780DED" w:rsidRPr="00780DED" w:rsidRDefault="00780DED" w:rsidP="00780DED">
      <w:pPr>
        <w:rPr>
          <w:lang w:val="en-GB"/>
        </w:rPr>
      </w:pPr>
    </w:p>
    <w:p w14:paraId="7AAED18E" w14:textId="77777777" w:rsidR="00780DED" w:rsidRPr="00780DED" w:rsidRDefault="00780DED" w:rsidP="00780DED">
      <w:pPr>
        <w:rPr>
          <w:lang w:val="en-CA"/>
        </w:rPr>
      </w:pPr>
      <w:r w:rsidRPr="00780DED">
        <w:t xml:space="preserve">For ITU-R studies involving radio altimeters operating in the frequency band 4 200 – 4 400 MHz, </w:t>
      </w:r>
      <w:bookmarkStart w:id="9" w:name="_Hlk172706143"/>
      <w:r w:rsidRPr="00780DED">
        <w:t>Recommendation</w:t>
      </w:r>
      <w:bookmarkEnd w:id="9"/>
      <w:r w:rsidRPr="00780DED">
        <w:t xml:space="preserve"> ITU</w:t>
      </w:r>
      <w:r w:rsidRPr="00780DED">
        <w:noBreakHyphen/>
        <w:t>R M.2059</w:t>
      </w:r>
      <w:r w:rsidRPr="00780DED">
        <w:noBreakHyphen/>
        <w:t xml:space="preserve">0 provides the most appropriate operational and technical characteristics and protection criteria of radio altimeters.  </w:t>
      </w:r>
      <w:r w:rsidRPr="00780DED">
        <w:rPr>
          <w:lang w:val="en-CA"/>
        </w:rPr>
        <w:t>Annex 3 of the Recommendation provides protection criteria of radio altimeters via three different radio altimeter failure modes: receiver front-end overload, receiver desensitization, and false altitude generation. All three protection criteria should be considered in ITU-R studies.</w:t>
      </w:r>
    </w:p>
    <w:p w14:paraId="1FAA376A" w14:textId="77777777" w:rsidR="00780DED" w:rsidRPr="00780DED" w:rsidRDefault="00780DED" w:rsidP="00780DED">
      <w:pPr>
        <w:rPr>
          <w:lang w:val="en-CA"/>
        </w:rPr>
      </w:pPr>
    </w:p>
    <w:p w14:paraId="601CA211" w14:textId="77777777" w:rsidR="00780DED" w:rsidRPr="00780DED" w:rsidRDefault="00780DED" w:rsidP="00780DED">
      <w:r w:rsidRPr="00780DED">
        <w:t xml:space="preserve">Additionally, ITU-R studies involving radio altimeters should consider the RF selectivity specified in Table 3 of ITU-R Recommendation M.2059 as following a slope of 24 dB of attenuation per octave from the band edges of the allocation up to a maximum of 40 </w:t>
      </w:r>
      <w:proofErr w:type="spellStart"/>
      <w:r w:rsidRPr="00780DED">
        <w:t>dB.</w:t>
      </w:r>
      <w:proofErr w:type="spellEnd"/>
    </w:p>
    <w:p w14:paraId="458247BB" w14:textId="77777777" w:rsidR="00780DED" w:rsidRPr="00780DED" w:rsidRDefault="00780DED" w:rsidP="00780DED"/>
    <w:p w14:paraId="3206BDCE" w14:textId="28A40A28" w:rsidR="00780DED" w:rsidRPr="00780DED" w:rsidRDefault="00780DED" w:rsidP="00780DED">
      <w:r w:rsidRPr="00780DED">
        <w:t xml:space="preserve">The radio altimeter antenna parameters in ITU-R Recommendation M.2059 are appropriate to use in the frequency </w:t>
      </w:r>
      <w:r w:rsidR="00751562">
        <w:t>range</w:t>
      </w:r>
      <w:r w:rsidR="00751562" w:rsidRPr="00780DED">
        <w:t xml:space="preserve"> </w:t>
      </w:r>
      <w:r w:rsidRPr="00780DED">
        <w:t xml:space="preserve">4 400 – 4 800 </w:t>
      </w:r>
      <w:proofErr w:type="spellStart"/>
      <w:r w:rsidRPr="00780DED">
        <w:t>MHz.</w:t>
      </w:r>
      <w:proofErr w:type="spellEnd"/>
    </w:p>
    <w:p w14:paraId="47AC5EC1" w14:textId="77777777" w:rsidR="00780DED" w:rsidRPr="00780DED" w:rsidRDefault="00780DED" w:rsidP="00780DED"/>
    <w:p w14:paraId="3ABBE090" w14:textId="77777777" w:rsidR="00780DED" w:rsidRPr="00780DED" w:rsidRDefault="00780DED" w:rsidP="00780DED">
      <w:pPr>
        <w:rPr>
          <w:b/>
          <w:bCs/>
          <w:lang w:val="en-GB"/>
        </w:rPr>
      </w:pPr>
      <w:r w:rsidRPr="00780DED">
        <w:rPr>
          <w:b/>
          <w:bCs/>
          <w:lang w:val="en-GB"/>
        </w:rPr>
        <w:t>Operational Scenarios</w:t>
      </w:r>
    </w:p>
    <w:p w14:paraId="54A2D4F8" w14:textId="77777777" w:rsidR="00780DED" w:rsidRPr="00780DED" w:rsidRDefault="00780DED" w:rsidP="00780DED">
      <w:pPr>
        <w:rPr>
          <w:lang w:val="en-GB"/>
        </w:rPr>
      </w:pPr>
    </w:p>
    <w:p w14:paraId="05D11413" w14:textId="77777777" w:rsidR="00780DED" w:rsidRPr="00780DED" w:rsidRDefault="00780DED" w:rsidP="00780DED">
      <w:r w:rsidRPr="00780DED">
        <w:t xml:space="preserve">The most critical operations are takeoff and landing where aircraft use many </w:t>
      </w:r>
      <w:proofErr w:type="gramStart"/>
      <w:r w:rsidRPr="00780DED">
        <w:t>radio</w:t>
      </w:r>
      <w:proofErr w:type="gramEnd"/>
      <w:r w:rsidRPr="00780DED">
        <w:t xml:space="preserve"> altimeter supported safety systems to assist with nominal operations and off-nominal operations (unintentional terrain closure due to wind shear</w:t>
      </w:r>
      <w:r w:rsidRPr="00780DED">
        <w:rPr>
          <w:vertAlign w:val="superscript"/>
        </w:rPr>
        <w:footnoteReference w:id="4"/>
      </w:r>
      <w:r w:rsidRPr="00780DED">
        <w:t xml:space="preserve"> events associated with convective weather or the loss of an engine)</w:t>
      </w:r>
      <w:r w:rsidRPr="00780DED">
        <w:rPr>
          <w:vertAlign w:val="superscript"/>
        </w:rPr>
        <w:footnoteReference w:id="5"/>
      </w:r>
      <w:r w:rsidRPr="00780DED">
        <w:t>.</w:t>
      </w:r>
    </w:p>
    <w:p w14:paraId="40FBD88C" w14:textId="77777777" w:rsidR="00780DED" w:rsidRPr="00780DED" w:rsidRDefault="00780DED" w:rsidP="00780DED">
      <w:pPr>
        <w:rPr>
          <w:lang w:val="en-GB"/>
        </w:rPr>
      </w:pPr>
    </w:p>
    <w:p w14:paraId="18AF3CD1" w14:textId="77777777" w:rsidR="00780DED" w:rsidRPr="00780DED" w:rsidRDefault="00780DED" w:rsidP="00780DED">
      <w:pPr>
        <w:rPr>
          <w:lang w:val="en-GB"/>
        </w:rPr>
      </w:pPr>
      <w:r w:rsidRPr="00780DED">
        <w:rPr>
          <w:lang w:val="en-GB"/>
        </w:rPr>
        <w:t xml:space="preserve">ITU-R studies should consider, among others, worst-case off-nominal approach and departure flight conditions with a minimum separation distance (MSD) scenario from an IMT base station. </w:t>
      </w:r>
    </w:p>
    <w:p w14:paraId="15BCDC1F" w14:textId="77777777" w:rsidR="00780DED" w:rsidRPr="00780DED" w:rsidRDefault="00780DED" w:rsidP="00780DED">
      <w:pPr>
        <w:rPr>
          <w:lang w:val="en-GB"/>
        </w:rPr>
      </w:pPr>
    </w:p>
    <w:p w14:paraId="09553B9A" w14:textId="77777777" w:rsidR="00780DED" w:rsidRPr="00780DED" w:rsidRDefault="00780DED" w:rsidP="00780DED">
      <w:pPr>
        <w:numPr>
          <w:ilvl w:val="0"/>
          <w:numId w:val="38"/>
        </w:numPr>
        <w:rPr>
          <w:lang w:val="en-GB"/>
        </w:rPr>
      </w:pPr>
      <w:r w:rsidRPr="00780DED">
        <w:rPr>
          <w:lang w:val="en-GB"/>
        </w:rPr>
        <w:t>The MSD is 11 m (35 ft) when the aircraft altitude is less than or equal to 153 m (500 ft).</w:t>
      </w:r>
    </w:p>
    <w:p w14:paraId="25DC281D" w14:textId="77777777" w:rsidR="00780DED" w:rsidRPr="00780DED" w:rsidRDefault="00780DED" w:rsidP="00780DED">
      <w:pPr>
        <w:numPr>
          <w:ilvl w:val="0"/>
          <w:numId w:val="38"/>
        </w:numPr>
        <w:rPr>
          <w:lang w:val="en-GB"/>
        </w:rPr>
      </w:pPr>
      <w:r w:rsidRPr="00780DED">
        <w:rPr>
          <w:lang w:val="en-GB"/>
        </w:rPr>
        <w:t xml:space="preserve">The MSD follows a linear expansion from 11 to 17 m (35 to 55 ft) when the aircraft altitude is between 153 </w:t>
      </w:r>
      <w:r w:rsidRPr="00780DED">
        <w:t xml:space="preserve">and 305 m (500 and </w:t>
      </w:r>
      <w:r w:rsidRPr="00780DED">
        <w:rPr>
          <w:lang w:val="en-GB"/>
        </w:rPr>
        <w:t xml:space="preserve">1000 ft). </w:t>
      </w:r>
    </w:p>
    <w:p w14:paraId="09FB979C" w14:textId="77777777" w:rsidR="00780DED" w:rsidRPr="00780DED" w:rsidRDefault="00780DED" w:rsidP="00780DED">
      <w:pPr>
        <w:numPr>
          <w:ilvl w:val="0"/>
          <w:numId w:val="38"/>
        </w:numPr>
        <w:rPr>
          <w:lang w:val="en-GB"/>
        </w:rPr>
      </w:pPr>
      <w:r w:rsidRPr="00780DED">
        <w:rPr>
          <w:lang w:val="en-GB"/>
        </w:rPr>
        <w:t>The MSD is 5.5% of the aircraft altitude when the aircraft altitude is greater than or equal to</w:t>
      </w:r>
      <w:r w:rsidRPr="00780DED">
        <w:t xml:space="preserve"> 305 m (</w:t>
      </w:r>
      <w:r w:rsidRPr="00780DED">
        <w:rPr>
          <w:lang w:val="en-GB"/>
        </w:rPr>
        <w:t>1000 ft).</w:t>
      </w:r>
    </w:p>
    <w:p w14:paraId="13F4028F" w14:textId="77777777" w:rsidR="00780DED" w:rsidRPr="00780DED" w:rsidRDefault="00780DED" w:rsidP="00780DED"/>
    <w:p w14:paraId="1312D4FC" w14:textId="77777777" w:rsidR="00780DED" w:rsidRPr="00780DED" w:rsidRDefault="00780DED" w:rsidP="00780DED">
      <w:r w:rsidRPr="00780DED">
        <w:t>ITU-R studies involving radio altimeters should consider scenarios that include all altitudes that aircraft operate, from ground level up through the operational altitudes</w:t>
      </w:r>
      <w:r w:rsidRPr="00780DED">
        <w:rPr>
          <w:vertAlign w:val="superscript"/>
        </w:rPr>
        <w:footnoteReference w:id="6"/>
      </w:r>
      <w:r w:rsidRPr="00780DED">
        <w:t xml:space="preserve"> listed in ITU-R Recommendation M.2059-0, Annex 3, Tables 1 and 2.  For nominal scenarios the aircraft altitudes 0, 31, 61, 153, 305, 610, 1524, 4877, and 12000 m (0, 100, 200, 500, 1000, 2000, 5000, 16000, and 39370 ft) should be considered.</w:t>
      </w:r>
    </w:p>
    <w:p w14:paraId="54818164" w14:textId="77777777" w:rsidR="00780DED" w:rsidRPr="00780DED" w:rsidRDefault="00780DED" w:rsidP="00780DED"/>
    <w:p w14:paraId="074DBBDD" w14:textId="77777777" w:rsidR="00780DED" w:rsidRPr="00780DED" w:rsidRDefault="00780DED" w:rsidP="00780DED">
      <w:pPr>
        <w:rPr>
          <w:lang w:val="en-GB"/>
        </w:rPr>
      </w:pPr>
      <w:r w:rsidRPr="00780DED">
        <w:rPr>
          <w:lang w:val="en-GB"/>
        </w:rPr>
        <w:t>ITU-R studies should also consider the separation distance(s) from an IMT base station where the protection criteria of M.2059 is exceed for representative IMT deployment characteristics.</w:t>
      </w:r>
    </w:p>
    <w:p w14:paraId="4C2CBB4A" w14:textId="77777777" w:rsidR="00780DED" w:rsidRPr="00780DED" w:rsidRDefault="00780DED" w:rsidP="00780DED">
      <w:pPr>
        <w:rPr>
          <w:lang w:val="en-GB"/>
        </w:rPr>
      </w:pPr>
    </w:p>
    <w:p w14:paraId="6B19F3F3" w14:textId="754EF410" w:rsidR="00780DED" w:rsidRPr="00780DED" w:rsidRDefault="00780DED" w:rsidP="004D5A80">
      <w:pPr>
        <w:keepNext/>
        <w:rPr>
          <w:b/>
          <w:lang w:val="en-GB"/>
        </w:rPr>
      </w:pPr>
      <w:r w:rsidRPr="00780DED">
        <w:rPr>
          <w:b/>
          <w:lang w:val="en-GB"/>
        </w:rPr>
        <w:t>ITU-R STUDIES INVOLVING WIRELESS AVIONICS INTRA COMMUNICATIONS</w:t>
      </w:r>
      <w:r w:rsidR="004D5A80">
        <w:rPr>
          <w:b/>
          <w:lang w:val="en-GB"/>
        </w:rPr>
        <w:t xml:space="preserve"> (WAIC)</w:t>
      </w:r>
    </w:p>
    <w:p w14:paraId="5DB0AAF6" w14:textId="77777777" w:rsidR="00780DED" w:rsidRPr="00780DED" w:rsidRDefault="00780DED" w:rsidP="004D5A80">
      <w:pPr>
        <w:keepNext/>
        <w:rPr>
          <w:lang w:val="en-GB"/>
        </w:rPr>
      </w:pPr>
    </w:p>
    <w:p w14:paraId="5D9B789B" w14:textId="77777777" w:rsidR="00780DED" w:rsidRPr="00780DED" w:rsidRDefault="00780DED" w:rsidP="004D5A80">
      <w:pPr>
        <w:keepNext/>
        <w:rPr>
          <w:b/>
          <w:bCs/>
          <w:lang w:val="en-GB"/>
        </w:rPr>
      </w:pPr>
      <w:r w:rsidRPr="00780DED">
        <w:rPr>
          <w:b/>
          <w:bCs/>
          <w:lang w:val="en-GB"/>
        </w:rPr>
        <w:t>WAIC Background</w:t>
      </w:r>
    </w:p>
    <w:p w14:paraId="306EB8F6" w14:textId="77777777" w:rsidR="00780DED" w:rsidRPr="00780DED" w:rsidRDefault="00780DED" w:rsidP="00780DED">
      <w:pPr>
        <w:rPr>
          <w:lang w:val="en-GB"/>
        </w:rPr>
      </w:pPr>
    </w:p>
    <w:p w14:paraId="22BA895D" w14:textId="77777777" w:rsidR="00780DED" w:rsidRPr="00780DED" w:rsidRDefault="00780DED" w:rsidP="00780DED">
      <w:pPr>
        <w:rPr>
          <w:lang w:val="en-GB"/>
        </w:rPr>
      </w:pPr>
      <w:r w:rsidRPr="00780DED">
        <w:rPr>
          <w:lang w:val="en-GB"/>
        </w:rPr>
        <w:t xml:space="preserve">WAIC systems provide safety related wireless communication between two points onboard a single aircraft.  WAIC systems do not provide air-to-ground, air-to-satellite or air-to-air communications and are only used for aircraft communications involving safety and regularity of flight,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  </w:t>
      </w:r>
    </w:p>
    <w:p w14:paraId="69348003" w14:textId="77777777" w:rsidR="00780DED" w:rsidRPr="00780DED" w:rsidRDefault="00780DED" w:rsidP="00780DED">
      <w:pPr>
        <w:rPr>
          <w:lang w:val="en-GB"/>
        </w:rPr>
      </w:pPr>
    </w:p>
    <w:p w14:paraId="1E1FDB05" w14:textId="4F4B5FBE" w:rsidR="00780DED" w:rsidRPr="00780DED" w:rsidRDefault="00780DED" w:rsidP="00780DED">
      <w:pPr>
        <w:rPr>
          <w:b/>
          <w:bCs/>
          <w:lang w:val="en-GB"/>
        </w:rPr>
      </w:pPr>
      <w:r w:rsidRPr="00780DED">
        <w:rPr>
          <w:b/>
          <w:bCs/>
          <w:lang w:val="en-GB"/>
        </w:rPr>
        <w:t>W</w:t>
      </w:r>
      <w:r w:rsidR="004D5A80">
        <w:rPr>
          <w:b/>
          <w:bCs/>
          <w:lang w:val="en-GB"/>
        </w:rPr>
        <w:t>AIC</w:t>
      </w:r>
      <w:r w:rsidRPr="00780DED">
        <w:rPr>
          <w:b/>
          <w:bCs/>
          <w:lang w:val="en-GB"/>
        </w:rPr>
        <w:t xml:space="preserve"> Technical Parameters</w:t>
      </w:r>
    </w:p>
    <w:p w14:paraId="4721FFD2" w14:textId="77777777" w:rsidR="00780DED" w:rsidRPr="00780DED" w:rsidRDefault="00780DED" w:rsidP="00780DED">
      <w:pPr>
        <w:rPr>
          <w:lang w:val="en-GB"/>
        </w:rPr>
      </w:pPr>
    </w:p>
    <w:p w14:paraId="7E5FED2F" w14:textId="77777777" w:rsidR="00780DED" w:rsidRPr="00780DED" w:rsidRDefault="00780DED" w:rsidP="00780DED">
      <w:pPr>
        <w:rPr>
          <w:lang w:val="en-GB"/>
        </w:rPr>
      </w:pPr>
      <w:r w:rsidRPr="00780DED">
        <w:rPr>
          <w:lang w:val="en-GB"/>
        </w:rPr>
        <w:t>ICAO is in the process of publishing WAIC standards and recommended practices (SARPS) to be contained in ICAO Annex 10 to the Convention on International Civil Aviation. The draft WAIC SARPs specify that WAIC receivers shall tolerate interference from sources operating outside of the frequency band 4 200 – 4 400 MHz whose total combined emitted power falling within the frequency band 4 200 – 4 400 MHz does not exceed a power spectral density of ‐120 dBm/MHz as measured at the receiver input port. The draft WAIC SARPs also specify that WAIC receivers shall tolerate interference from sources operating outside of the frequency band 4 200 – 4 400 MHz whose total combined power as measured at the receiver does not exceed -20 dBm.</w:t>
      </w:r>
    </w:p>
    <w:p w14:paraId="411B125E" w14:textId="77777777" w:rsidR="00780DED" w:rsidRPr="00780DED" w:rsidRDefault="00780DED" w:rsidP="00780DED">
      <w:pPr>
        <w:rPr>
          <w:lang w:val="en-GB"/>
        </w:rPr>
      </w:pPr>
    </w:p>
    <w:p w14:paraId="469C8860" w14:textId="214FFC60" w:rsidR="00780DED" w:rsidRPr="00780DED" w:rsidRDefault="004D5A80" w:rsidP="00780DED">
      <w:pPr>
        <w:rPr>
          <w:b/>
          <w:bCs/>
          <w:lang w:val="en-GB"/>
        </w:rPr>
      </w:pPr>
      <w:r>
        <w:rPr>
          <w:b/>
          <w:bCs/>
          <w:lang w:val="en-GB"/>
        </w:rPr>
        <w:t>WAIC</w:t>
      </w:r>
      <w:r w:rsidR="00780DED" w:rsidRPr="00780DED">
        <w:rPr>
          <w:b/>
          <w:bCs/>
          <w:lang w:val="en-GB"/>
        </w:rPr>
        <w:t xml:space="preserve"> Operational Scenarios</w:t>
      </w:r>
    </w:p>
    <w:p w14:paraId="7E2897BF" w14:textId="77777777" w:rsidR="00780DED" w:rsidRPr="00780DED" w:rsidRDefault="00780DED" w:rsidP="00780DED">
      <w:pPr>
        <w:rPr>
          <w:lang w:val="en-GB"/>
        </w:rPr>
      </w:pPr>
    </w:p>
    <w:p w14:paraId="76528886" w14:textId="77777777" w:rsidR="00780DED" w:rsidRPr="00780DED" w:rsidRDefault="00780DED" w:rsidP="00780DED">
      <w:pPr>
        <w:rPr>
          <w:lang w:val="en-GB"/>
        </w:rPr>
      </w:pPr>
      <w:r w:rsidRPr="00780DED">
        <w:rPr>
          <w:lang w:val="en-GB"/>
        </w:rPr>
        <w:t>The operational scenarios specified for radio altimeters should also be considered for WAIC.</w:t>
      </w:r>
    </w:p>
    <w:p w14:paraId="574C6C8C" w14:textId="77777777" w:rsidR="00780DED" w:rsidRPr="00780DED" w:rsidRDefault="00780DED" w:rsidP="00780DED">
      <w:pPr>
        <w:rPr>
          <w:lang w:val="en-GB"/>
        </w:rPr>
      </w:pPr>
    </w:p>
    <w:p w14:paraId="29ED180B" w14:textId="77777777" w:rsidR="00780DED" w:rsidRPr="00780DED" w:rsidRDefault="00780DED" w:rsidP="00780DED">
      <w:pPr>
        <w:rPr>
          <w:b/>
          <w:lang w:val="en-GB"/>
        </w:rPr>
      </w:pPr>
      <w:r w:rsidRPr="00780DED">
        <w:rPr>
          <w:b/>
          <w:lang w:val="en-GB"/>
        </w:rPr>
        <w:t>STUDIES WITH AERONAUTICAL SAFETY OF LIFE SYSTEMS</w:t>
      </w:r>
    </w:p>
    <w:p w14:paraId="07C02807" w14:textId="77777777" w:rsidR="00780DED" w:rsidRPr="00780DED" w:rsidRDefault="00780DED" w:rsidP="00780DED">
      <w:pPr>
        <w:rPr>
          <w:b/>
          <w:lang w:val="en-GB"/>
        </w:rPr>
      </w:pPr>
    </w:p>
    <w:p w14:paraId="71CC59B3" w14:textId="77777777" w:rsidR="00780DED" w:rsidRPr="00780DED" w:rsidRDefault="00780DED" w:rsidP="00780DED">
      <w:pPr>
        <w:rPr>
          <w:b/>
          <w:bCs/>
          <w:lang w:val="en-GB"/>
        </w:rPr>
      </w:pPr>
      <w:r w:rsidRPr="00780DED">
        <w:rPr>
          <w:b/>
          <w:bCs/>
          <w:lang w:val="en-GB"/>
        </w:rPr>
        <w:t>Aviation Safety Margin</w:t>
      </w:r>
    </w:p>
    <w:p w14:paraId="479A1AF8" w14:textId="77777777" w:rsidR="00780DED" w:rsidRPr="00780DED" w:rsidRDefault="00780DED" w:rsidP="00780DED">
      <w:pPr>
        <w:rPr>
          <w:lang w:val="en-GB"/>
        </w:rPr>
      </w:pPr>
    </w:p>
    <w:p w14:paraId="7E096824" w14:textId="77777777" w:rsidR="00780DED" w:rsidRPr="00780DED" w:rsidRDefault="00780DED" w:rsidP="00780DED">
      <w:pPr>
        <w:rPr>
          <w:lang w:val="en-GB"/>
        </w:rPr>
      </w:pPr>
      <w:r w:rsidRPr="00780DED">
        <w:rPr>
          <w:lang w:val="en-GB"/>
        </w:rPr>
        <w:t>ICAO recommends an aviation safety margin of not less than 6 dB to be included in ITU-R studies.</w:t>
      </w:r>
    </w:p>
    <w:p w14:paraId="49ED3B4B" w14:textId="77777777" w:rsidR="00780DED" w:rsidRPr="00780DED" w:rsidRDefault="00780DED" w:rsidP="00780DED">
      <w:pPr>
        <w:rPr>
          <w:lang w:val="en-GB"/>
        </w:rPr>
      </w:pPr>
    </w:p>
    <w:p w14:paraId="2D087CCC" w14:textId="77777777" w:rsidR="00780DED" w:rsidRPr="00780DED" w:rsidRDefault="00780DED" w:rsidP="00780DED">
      <w:pPr>
        <w:rPr>
          <w:lang w:val="en-GB"/>
        </w:rPr>
      </w:pPr>
      <w:r w:rsidRPr="00780DED">
        <w:rPr>
          <w:lang w:val="en-GB"/>
        </w:rPr>
        <w:t xml:space="preserve"> “</w:t>
      </w:r>
      <w:r w:rsidRPr="00780DED">
        <w:rPr>
          <w:i/>
          <w:iCs/>
          <w:lang w:val="en-GB"/>
        </w:rPr>
        <w:t xml:space="preserve">Aeronautical safety applications are required to have continued operation through worst case interference, so all factors which contribute to harmful interference should be considered in analyses involving those applications. An aviation safety margin is included </w:t>
      </w:r>
      <w:proofErr w:type="gramStart"/>
      <w:r w:rsidRPr="00780DED">
        <w:rPr>
          <w:i/>
          <w:iCs/>
          <w:lang w:val="en-GB"/>
        </w:rPr>
        <w:t>in order to</w:t>
      </w:r>
      <w:proofErr w:type="gramEnd"/>
      <w:r w:rsidRPr="00780DED">
        <w:rPr>
          <w:i/>
          <w:iCs/>
          <w:lang w:val="en-GB"/>
        </w:rPr>
        <w:t xml:space="preserve"> address the risk that some such factors cannot be foreseen</w:t>
      </w:r>
      <w:r w:rsidRPr="00780DED">
        <w:rPr>
          <w:i/>
          <w:lang w:val="en-GB"/>
        </w:rPr>
        <w:t xml:space="preserve"> (for example impacts of differing modulation schemes). This margin is applied to the system protection criteria to increase the operational assurances to the required level. Traditionally for aviation systems/scenarios an aviation safety margin of 6–10 dB is applied. Until established </w:t>
      </w:r>
      <w:proofErr w:type="gramStart"/>
      <w:r w:rsidRPr="00780DED">
        <w:rPr>
          <w:i/>
          <w:lang w:val="en-GB"/>
        </w:rPr>
        <w:t>on the basis of</w:t>
      </w:r>
      <w:proofErr w:type="gramEnd"/>
      <w:r w:rsidRPr="00780DED">
        <w:rPr>
          <w:i/>
          <w:lang w:val="en-GB"/>
        </w:rPr>
        <w:t xml:space="preserve"> further study on a case-by-case basis, an aviation safety margin of not less than 6 dB should be applied.”</w:t>
      </w:r>
      <w:r w:rsidRPr="00780DED">
        <w:rPr>
          <w:lang w:val="en-GB"/>
        </w:rPr>
        <w:t xml:space="preserve">  </w:t>
      </w:r>
      <w:r w:rsidRPr="00780DED">
        <w:rPr>
          <w:vertAlign w:val="superscript"/>
          <w:lang w:val="en-GB"/>
        </w:rPr>
        <w:footnoteReference w:id="7"/>
      </w:r>
    </w:p>
    <w:p w14:paraId="39A85BB3" w14:textId="77777777" w:rsidR="00780DED" w:rsidRPr="00780DED" w:rsidRDefault="00780DED" w:rsidP="00780DED">
      <w:pPr>
        <w:rPr>
          <w:lang w:val="en-GB"/>
        </w:rPr>
      </w:pPr>
    </w:p>
    <w:p w14:paraId="0AD2C7B5" w14:textId="77777777" w:rsidR="00780DED" w:rsidRPr="00780DED" w:rsidRDefault="00780DED" w:rsidP="00780DED">
      <w:pPr>
        <w:rPr>
          <w:lang w:val="en-GB"/>
        </w:rPr>
      </w:pPr>
    </w:p>
    <w:p w14:paraId="2F783106" w14:textId="77777777" w:rsidR="00A91E63" w:rsidRPr="008359B3" w:rsidRDefault="00A91E63" w:rsidP="00A91E6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025"/>
      </w:tblGrid>
      <w:tr w:rsidR="000464FF" w:rsidRPr="008B6F83" w14:paraId="6EE745CC" w14:textId="77777777" w:rsidTr="002A32D0">
        <w:tc>
          <w:tcPr>
            <w:tcW w:w="2862" w:type="pct"/>
            <w:shd w:val="clear" w:color="auto" w:fill="FFFFFF" w:themeFill="background1"/>
          </w:tcPr>
          <w:p w14:paraId="7074AF19" w14:textId="77777777" w:rsidR="000464FF" w:rsidRPr="008F3EB5" w:rsidRDefault="000464FF" w:rsidP="00A91E63">
            <w:pPr>
              <w:jc w:val="both"/>
              <w:rPr>
                <w:rFonts w:ascii="Times New Roman" w:hAnsi="Times New Roman"/>
                <w:b/>
              </w:rPr>
            </w:pPr>
            <w:r w:rsidRPr="008F3EB5">
              <w:rPr>
                <w:rFonts w:ascii="Times New Roman" w:hAnsi="Times New Roman"/>
                <w:b/>
              </w:rPr>
              <w:t>Status:</w:t>
            </w:r>
            <w:r w:rsidRPr="008F3EB5">
              <w:rPr>
                <w:rFonts w:ascii="Times New Roman" w:hAnsi="Times New Roman"/>
                <w:b/>
              </w:rPr>
              <w:tab/>
            </w:r>
            <w:r w:rsidR="008B6F83" w:rsidRPr="008B6F83">
              <w:rPr>
                <w:rFonts w:ascii="Times New Roman" w:hAnsi="Times New Roman" w:cs="Times New Roman"/>
                <w:szCs w:val="24"/>
                <w:lang w:eastAsia="zh-CN"/>
              </w:rPr>
              <w:tab/>
            </w:r>
            <w:r w:rsidRPr="008F3EB5">
              <w:rPr>
                <w:rFonts w:ascii="Times New Roman" w:hAnsi="Times New Roman"/>
              </w:rPr>
              <w:t>For information and action, if any</w:t>
            </w:r>
          </w:p>
        </w:tc>
        <w:tc>
          <w:tcPr>
            <w:tcW w:w="2138" w:type="pct"/>
            <w:shd w:val="clear" w:color="auto" w:fill="FFFFFF" w:themeFill="background1"/>
          </w:tcPr>
          <w:p w14:paraId="476E5608" w14:textId="77777777" w:rsidR="000464FF" w:rsidRPr="008F3EB5" w:rsidRDefault="000464FF" w:rsidP="00A91E63">
            <w:pPr>
              <w:jc w:val="both"/>
              <w:rPr>
                <w:rFonts w:ascii="Times New Roman" w:hAnsi="Times New Roman"/>
                <w:b/>
              </w:rPr>
            </w:pPr>
          </w:p>
        </w:tc>
      </w:tr>
      <w:tr w:rsidR="000464FF" w:rsidRPr="008B6F83" w14:paraId="68D73BF2" w14:textId="77777777" w:rsidTr="002A32D0">
        <w:tc>
          <w:tcPr>
            <w:tcW w:w="2862" w:type="pct"/>
            <w:shd w:val="clear" w:color="auto" w:fill="FFFFFF" w:themeFill="background1"/>
          </w:tcPr>
          <w:p w14:paraId="396D9B98" w14:textId="2DA482CE" w:rsidR="000464FF" w:rsidRPr="008F3EB5" w:rsidRDefault="000464FF" w:rsidP="00A91E63">
            <w:pPr>
              <w:jc w:val="both"/>
              <w:rPr>
                <w:rFonts w:ascii="Times New Roman" w:hAnsi="Times New Roman"/>
              </w:rPr>
            </w:pPr>
            <w:r w:rsidRPr="008F3EB5">
              <w:rPr>
                <w:rFonts w:ascii="Times New Roman" w:hAnsi="Times New Roman"/>
                <w:b/>
              </w:rPr>
              <w:t>Contact:</w:t>
            </w:r>
            <w:r w:rsidRPr="008F3EB5">
              <w:rPr>
                <w:rFonts w:ascii="Times New Roman" w:hAnsi="Times New Roman"/>
              </w:rPr>
              <w:tab/>
              <w:t>Loftur Jonasson</w:t>
            </w:r>
          </w:p>
        </w:tc>
        <w:tc>
          <w:tcPr>
            <w:tcW w:w="2138" w:type="pct"/>
            <w:shd w:val="clear" w:color="auto" w:fill="FFFFFF" w:themeFill="background1"/>
          </w:tcPr>
          <w:p w14:paraId="3CF6F30E" w14:textId="61644A78" w:rsidR="000464FF" w:rsidRPr="008F3EB5" w:rsidRDefault="000464FF" w:rsidP="00A91E63">
            <w:pPr>
              <w:jc w:val="both"/>
              <w:rPr>
                <w:rFonts w:ascii="Times New Roman" w:hAnsi="Times New Roman"/>
              </w:rPr>
            </w:pPr>
            <w:r w:rsidRPr="008F3EB5">
              <w:rPr>
                <w:rFonts w:ascii="Times New Roman" w:hAnsi="Times New Roman"/>
                <w:b/>
              </w:rPr>
              <w:t>E-mail:</w:t>
            </w:r>
            <w:r w:rsidR="00CB45A4" w:rsidRPr="00FC788A">
              <w:rPr>
                <w:rFonts w:ascii="Times New Roman" w:hAnsi="Times New Roman"/>
              </w:rPr>
              <w:t xml:space="preserve"> </w:t>
            </w:r>
            <w:r w:rsidRPr="008F3EB5">
              <w:rPr>
                <w:rFonts w:ascii="Times New Roman" w:hAnsi="Times New Roman"/>
              </w:rPr>
              <w:tab/>
            </w:r>
            <w:hyperlink r:id="rId12" w:history="1">
              <w:r w:rsidRPr="008F3EB5">
                <w:rPr>
                  <w:rStyle w:val="Hyperlink"/>
                  <w:rFonts w:ascii="Times New Roman" w:hAnsi="Times New Roman"/>
                </w:rPr>
                <w:t>LJonasson@icao.int</w:t>
              </w:r>
            </w:hyperlink>
          </w:p>
        </w:tc>
      </w:tr>
    </w:tbl>
    <w:p w14:paraId="2423A748" w14:textId="53FA4FF6" w:rsidR="009E6FA0" w:rsidRPr="005178F9" w:rsidRDefault="00BB3C20" w:rsidP="00CB45A4">
      <w:pPr>
        <w:pStyle w:val="Figure"/>
      </w:pPr>
      <w:r>
        <w:t xml:space="preserve"> </w:t>
      </w:r>
    </w:p>
    <w:sectPr w:rsidR="009E6FA0" w:rsidRPr="005178F9" w:rsidSect="00CB45A4">
      <w:headerReference w:type="even" r:id="rId13"/>
      <w:headerReference w:type="default" r:id="rId14"/>
      <w:footerReference w:type="default" r:id="rId15"/>
      <w:headerReference w:type="first" r:id="rId16"/>
      <w:pgSz w:w="11906" w:h="16838"/>
      <w:pgMar w:top="1627" w:right="1247" w:bottom="1440" w:left="1247" w:header="10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EDE0F" w14:textId="77777777" w:rsidR="00137D71" w:rsidRDefault="00137D71">
      <w:r>
        <w:separator/>
      </w:r>
    </w:p>
  </w:endnote>
  <w:endnote w:type="continuationSeparator" w:id="0">
    <w:p w14:paraId="173270F9" w14:textId="77777777" w:rsidR="00137D71" w:rsidRDefault="00137D71">
      <w:r>
        <w:continuationSeparator/>
      </w:r>
    </w:p>
  </w:endnote>
  <w:endnote w:type="continuationNotice" w:id="1">
    <w:p w14:paraId="6DF7B3E5" w14:textId="77777777" w:rsidR="00137D71" w:rsidRDefault="00137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CA4E" w14:textId="77777777" w:rsidR="002614DD" w:rsidRDefault="0026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5C4E0" w14:textId="77777777" w:rsidR="00137D71" w:rsidRDefault="00137D71">
      <w:r>
        <w:separator/>
      </w:r>
    </w:p>
  </w:footnote>
  <w:footnote w:type="continuationSeparator" w:id="0">
    <w:p w14:paraId="787EBDD8" w14:textId="77777777" w:rsidR="00137D71" w:rsidRDefault="00137D71">
      <w:r>
        <w:continuationSeparator/>
      </w:r>
    </w:p>
  </w:footnote>
  <w:footnote w:type="continuationNotice" w:id="1">
    <w:p w14:paraId="65DDAC06" w14:textId="77777777" w:rsidR="00137D71" w:rsidRDefault="00137D71"/>
  </w:footnote>
  <w:footnote w:id="2">
    <w:p w14:paraId="48C00CFB" w14:textId="77777777" w:rsidR="00780DED" w:rsidRDefault="00780DED" w:rsidP="00780DED">
      <w:pPr>
        <w:pStyle w:val="FootnoteText"/>
      </w:pPr>
      <w:r>
        <w:rPr>
          <w:rStyle w:val="FootnoteReference"/>
        </w:rPr>
        <w:footnoteRef/>
      </w:r>
      <w:r>
        <w:t xml:space="preserve"> ICAO has expressed the need to protect radio altimeters from adjacent band signals from IMT operations. See ICAO State Letter (refer to SP 74/1-21/22) “Potential safety concerns regarding interference to radio altimeters”, published on 25 March 2021.</w:t>
      </w:r>
    </w:p>
  </w:footnote>
  <w:footnote w:id="3">
    <w:p w14:paraId="0ABEDCC4" w14:textId="77777777" w:rsidR="00780DED" w:rsidRDefault="00780DED" w:rsidP="00780DED">
      <w:pPr>
        <w:pStyle w:val="FootnoteText"/>
      </w:pPr>
      <w:r>
        <w:rPr>
          <w:rStyle w:val="FootnoteReference"/>
        </w:rPr>
        <w:footnoteRef/>
      </w:r>
      <w:r>
        <w:t xml:space="preserve"> ICAO notes that new ICAO SARPs for radio altimeters will not be approved before WRC-27, and the likely global implementation of these is expected in the late 2030s.   </w:t>
      </w:r>
    </w:p>
  </w:footnote>
  <w:footnote w:id="4">
    <w:p w14:paraId="57280E0A" w14:textId="77777777" w:rsidR="00780DED" w:rsidRDefault="00780DED" w:rsidP="00780DED">
      <w:pPr>
        <w:pStyle w:val="FootnoteText"/>
        <w:rPr>
          <w:lang w:val="en-GB"/>
        </w:rPr>
      </w:pPr>
      <w:r>
        <w:rPr>
          <w:rStyle w:val="FootnoteReference"/>
        </w:rPr>
        <w:footnoteRef/>
      </w:r>
      <w:r>
        <w:t xml:space="preserve"> Wind shear is a change in wind speed and/or direction over a short distance. </w:t>
      </w:r>
    </w:p>
  </w:footnote>
  <w:footnote w:id="5">
    <w:p w14:paraId="36AF705F" w14:textId="77777777" w:rsidR="00780DED" w:rsidRDefault="00780DED" w:rsidP="00780DED">
      <w:pPr>
        <w:pStyle w:val="FootnoteText"/>
      </w:pPr>
      <w:r>
        <w:rPr>
          <w:rStyle w:val="FootnoteReference"/>
        </w:rPr>
        <w:footnoteRef/>
      </w:r>
      <w:r>
        <w:t xml:space="preserve"> A wind shear event or engine failure may cause an aircraft to encounter a position that is not in the nominal flight path that is </w:t>
      </w:r>
      <w:r>
        <w:rPr>
          <w:rFonts w:eastAsiaTheme="minorEastAsia"/>
        </w:rPr>
        <w:t>near collision with terrain or obstacles (terrain closure)</w:t>
      </w:r>
      <w:r>
        <w:t>.</w:t>
      </w:r>
    </w:p>
  </w:footnote>
  <w:footnote w:id="6">
    <w:p w14:paraId="0376C515" w14:textId="77777777" w:rsidR="00780DED" w:rsidRDefault="00780DED" w:rsidP="00780DED">
      <w:pPr>
        <w:rPr>
          <w:rFonts w:eastAsiaTheme="minorEastAsia"/>
          <w:sz w:val="20"/>
        </w:rPr>
      </w:pPr>
      <w:r>
        <w:rPr>
          <w:rStyle w:val="FootnoteReference"/>
          <w:sz w:val="20"/>
        </w:rPr>
        <w:footnoteRef/>
      </w:r>
      <w:r>
        <w:rPr>
          <w:sz w:val="20"/>
        </w:rPr>
        <w:t xml:space="preserve"> </w:t>
      </w:r>
      <w:r>
        <w:rPr>
          <w:rFonts w:eastAsiaTheme="minorEastAsia"/>
          <w:sz w:val="20"/>
        </w:rPr>
        <w:t>Use of the operational altitude is important because all radio altimeters continually operate during all phases of flight</w:t>
      </w:r>
      <w:r>
        <w:rPr>
          <w:sz w:val="20"/>
        </w:rPr>
        <w:t xml:space="preserve"> and </w:t>
      </w:r>
      <w:r>
        <w:rPr>
          <w:rFonts w:eastAsiaTheme="minorEastAsia"/>
          <w:sz w:val="20"/>
        </w:rPr>
        <w:t>radio altimeters are vulnerable to detection of interferers as false altitudes.</w:t>
      </w:r>
    </w:p>
    <w:p w14:paraId="7E735E90" w14:textId="77777777" w:rsidR="00780DED" w:rsidRDefault="00780DED" w:rsidP="00780DED">
      <w:pPr>
        <w:pStyle w:val="FootnoteText"/>
      </w:pPr>
    </w:p>
  </w:footnote>
  <w:footnote w:id="7">
    <w:p w14:paraId="2AFFB366" w14:textId="77777777" w:rsidR="00780DED" w:rsidRDefault="00780DED" w:rsidP="00780DED">
      <w:pPr>
        <w:pStyle w:val="FootnoteText"/>
      </w:pPr>
      <w:r>
        <w:rPr>
          <w:rStyle w:val="FootnoteReference"/>
        </w:rPr>
        <w:footnoteRef/>
      </w:r>
      <w:r>
        <w:t xml:space="preserve"> ICAO Document 9718 - </w:t>
      </w:r>
      <w:r>
        <w:rPr>
          <w:lang w:eastAsia="zh-CN"/>
        </w:rPr>
        <w:t>ICAO Handbook on Radio Frequency Spectrum Requirements for Civil Aviation, Section 9.2.23 of Volume I, 2</w:t>
      </w:r>
      <w:r>
        <w:rPr>
          <w:vertAlign w:val="superscript"/>
          <w:lang w:eastAsia="zh-CN"/>
        </w:rPr>
        <w:t>nd</w:t>
      </w:r>
      <w:r>
        <w:rPr>
          <w:lang w:eastAsia="zh-CN"/>
        </w:rPr>
        <w:t xml:space="preserve">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D19E" w14:textId="77777777"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2D7C" w14:textId="77777777"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8A0B" w14:textId="77777777" w:rsidR="009851A4" w:rsidRPr="002D01A4" w:rsidRDefault="009851A4" w:rsidP="009851A4">
    <w:pPr>
      <w:pStyle w:val="Header"/>
    </w:pPr>
  </w:p>
  <w:p w14:paraId="2A6FBF49"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69202C3"/>
    <w:multiLevelType w:val="hybridMultilevel"/>
    <w:tmpl w:val="F8B00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8"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D1289"/>
    <w:multiLevelType w:val="hybridMultilevel"/>
    <w:tmpl w:val="1E0AC186"/>
    <w:lvl w:ilvl="0" w:tplc="EEDCED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B57898"/>
    <w:multiLevelType w:val="hybridMultilevel"/>
    <w:tmpl w:val="8FBA58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58C3694C"/>
    <w:multiLevelType w:val="hybridMultilevel"/>
    <w:tmpl w:val="8C0AC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874A30"/>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7"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6B3D52A9"/>
    <w:multiLevelType w:val="hybridMultilevel"/>
    <w:tmpl w:val="C9B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E47B7"/>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701227C0"/>
    <w:multiLevelType w:val="hybridMultilevel"/>
    <w:tmpl w:val="19485A8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2062BAA"/>
    <w:multiLevelType w:val="hybridMultilevel"/>
    <w:tmpl w:val="8FBA58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72F618D1"/>
    <w:multiLevelType w:val="hybridMultilevel"/>
    <w:tmpl w:val="3F8892A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73320767"/>
    <w:multiLevelType w:val="hybridMultilevel"/>
    <w:tmpl w:val="1E0AC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5"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55B7A90"/>
    <w:multiLevelType w:val="hybridMultilevel"/>
    <w:tmpl w:val="19485A86"/>
    <w:lvl w:ilvl="0" w:tplc="CE7AAF94">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1738505281">
    <w:abstractNumId w:val="37"/>
  </w:num>
  <w:num w:numId="2" w16cid:durableId="472217289">
    <w:abstractNumId w:val="17"/>
  </w:num>
  <w:num w:numId="3" w16cid:durableId="559706333">
    <w:abstractNumId w:val="0"/>
  </w:num>
  <w:num w:numId="4" w16cid:durableId="1775514428">
    <w:abstractNumId w:val="25"/>
  </w:num>
  <w:num w:numId="5" w16cid:durableId="2023621786">
    <w:abstractNumId w:val="7"/>
  </w:num>
  <w:num w:numId="6" w16cid:durableId="494301294">
    <w:abstractNumId w:val="35"/>
  </w:num>
  <w:num w:numId="7" w16cid:durableId="419646992">
    <w:abstractNumId w:val="4"/>
  </w:num>
  <w:num w:numId="8" w16cid:durableId="2065907166">
    <w:abstractNumId w:val="24"/>
  </w:num>
  <w:num w:numId="9" w16cid:durableId="1222790850">
    <w:abstractNumId w:val="34"/>
  </w:num>
  <w:num w:numId="10" w16cid:durableId="850223225">
    <w:abstractNumId w:val="1"/>
  </w:num>
  <w:num w:numId="11" w16cid:durableId="1226839226">
    <w:abstractNumId w:val="8"/>
  </w:num>
  <w:num w:numId="12" w16cid:durableId="1626810903">
    <w:abstractNumId w:val="9"/>
  </w:num>
  <w:num w:numId="13" w16cid:durableId="2112166089">
    <w:abstractNumId w:val="13"/>
  </w:num>
  <w:num w:numId="14" w16cid:durableId="489444558">
    <w:abstractNumId w:val="18"/>
  </w:num>
  <w:num w:numId="15" w16cid:durableId="2053380811">
    <w:abstractNumId w:val="26"/>
  </w:num>
  <w:num w:numId="16" w16cid:durableId="760107815">
    <w:abstractNumId w:val="12"/>
  </w:num>
  <w:num w:numId="17" w16cid:durableId="205871126">
    <w:abstractNumId w:val="16"/>
  </w:num>
  <w:num w:numId="18" w16cid:durableId="1983998842">
    <w:abstractNumId w:val="21"/>
  </w:num>
  <w:num w:numId="19" w16cid:durableId="2012295365">
    <w:abstractNumId w:val="27"/>
  </w:num>
  <w:num w:numId="20" w16cid:durableId="684551496">
    <w:abstractNumId w:val="2"/>
  </w:num>
  <w:num w:numId="21" w16cid:durableId="1549340757">
    <w:abstractNumId w:val="14"/>
  </w:num>
  <w:num w:numId="22" w16cid:durableId="772673202">
    <w:abstractNumId w:val="6"/>
  </w:num>
  <w:num w:numId="23" w16cid:durableId="784351045">
    <w:abstractNumId w:val="15"/>
  </w:num>
  <w:num w:numId="24" w16cid:durableId="1250963895">
    <w:abstractNumId w:val="10"/>
  </w:num>
  <w:num w:numId="25" w16cid:durableId="382603212">
    <w:abstractNumId w:val="3"/>
  </w:num>
  <w:num w:numId="26" w16cid:durableId="1291744684">
    <w:abstractNumId w:val="20"/>
  </w:num>
  <w:num w:numId="27" w16cid:durableId="728117608">
    <w:abstractNumId w:val="28"/>
  </w:num>
  <w:num w:numId="28" w16cid:durableId="848250540">
    <w:abstractNumId w:val="11"/>
  </w:num>
  <w:num w:numId="29" w16cid:durableId="278924465">
    <w:abstractNumId w:val="5"/>
  </w:num>
  <w:num w:numId="30" w16cid:durableId="608465768">
    <w:abstractNumId w:val="33"/>
  </w:num>
  <w:num w:numId="31" w16cid:durableId="835414445">
    <w:abstractNumId w:val="36"/>
  </w:num>
  <w:num w:numId="32" w16cid:durableId="1115249522">
    <w:abstractNumId w:val="32"/>
  </w:num>
  <w:num w:numId="33" w16cid:durableId="1322199668">
    <w:abstractNumId w:val="23"/>
  </w:num>
  <w:num w:numId="34" w16cid:durableId="432164534">
    <w:abstractNumId w:val="30"/>
  </w:num>
  <w:num w:numId="35" w16cid:durableId="694425627">
    <w:abstractNumId w:val="19"/>
  </w:num>
  <w:num w:numId="36" w16cid:durableId="1994330418">
    <w:abstractNumId w:val="29"/>
  </w:num>
  <w:num w:numId="37" w16cid:durableId="1374383629">
    <w:abstractNumId w:val="31"/>
  </w:num>
  <w:num w:numId="38" w16cid:durableId="955406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12EB"/>
    <w:rsid w:val="00023B48"/>
    <w:rsid w:val="0003325B"/>
    <w:rsid w:val="00034424"/>
    <w:rsid w:val="00040102"/>
    <w:rsid w:val="000464FF"/>
    <w:rsid w:val="0004720A"/>
    <w:rsid w:val="000472BB"/>
    <w:rsid w:val="00047F98"/>
    <w:rsid w:val="0005010F"/>
    <w:rsid w:val="0006085D"/>
    <w:rsid w:val="000660CD"/>
    <w:rsid w:val="000679C2"/>
    <w:rsid w:val="00077C74"/>
    <w:rsid w:val="00080EAD"/>
    <w:rsid w:val="000834E7"/>
    <w:rsid w:val="000A1045"/>
    <w:rsid w:val="000A1356"/>
    <w:rsid w:val="000A173F"/>
    <w:rsid w:val="000A2BCF"/>
    <w:rsid w:val="000A31B8"/>
    <w:rsid w:val="000A5779"/>
    <w:rsid w:val="000A6523"/>
    <w:rsid w:val="000A71DE"/>
    <w:rsid w:val="000B069F"/>
    <w:rsid w:val="000B60A4"/>
    <w:rsid w:val="000C2BB0"/>
    <w:rsid w:val="000C3BB5"/>
    <w:rsid w:val="000C53D9"/>
    <w:rsid w:val="000C7BB6"/>
    <w:rsid w:val="000D5160"/>
    <w:rsid w:val="000D5C02"/>
    <w:rsid w:val="000D5F0E"/>
    <w:rsid w:val="000D713E"/>
    <w:rsid w:val="000E5C36"/>
    <w:rsid w:val="000E6469"/>
    <w:rsid w:val="000E6761"/>
    <w:rsid w:val="000E757B"/>
    <w:rsid w:val="000F3301"/>
    <w:rsid w:val="000F6312"/>
    <w:rsid w:val="0010073F"/>
    <w:rsid w:val="0010432A"/>
    <w:rsid w:val="0010759A"/>
    <w:rsid w:val="00107DF8"/>
    <w:rsid w:val="0011513D"/>
    <w:rsid w:val="00122ABD"/>
    <w:rsid w:val="00123D96"/>
    <w:rsid w:val="00124484"/>
    <w:rsid w:val="00137D71"/>
    <w:rsid w:val="001405AA"/>
    <w:rsid w:val="001429CD"/>
    <w:rsid w:val="00147B9B"/>
    <w:rsid w:val="001545A4"/>
    <w:rsid w:val="00157771"/>
    <w:rsid w:val="00157B77"/>
    <w:rsid w:val="001611A6"/>
    <w:rsid w:val="00161D89"/>
    <w:rsid w:val="001648E0"/>
    <w:rsid w:val="0016539F"/>
    <w:rsid w:val="00165B41"/>
    <w:rsid w:val="00172ED1"/>
    <w:rsid w:val="00176B72"/>
    <w:rsid w:val="00187BA4"/>
    <w:rsid w:val="00193602"/>
    <w:rsid w:val="001A2D26"/>
    <w:rsid w:val="001C2FBD"/>
    <w:rsid w:val="001C41EF"/>
    <w:rsid w:val="001C721E"/>
    <w:rsid w:val="001C7C1B"/>
    <w:rsid w:val="001D1D36"/>
    <w:rsid w:val="001E2302"/>
    <w:rsid w:val="001E2F65"/>
    <w:rsid w:val="001E57D7"/>
    <w:rsid w:val="001E6577"/>
    <w:rsid w:val="001F4CC8"/>
    <w:rsid w:val="001F69AA"/>
    <w:rsid w:val="002037A3"/>
    <w:rsid w:val="0020711F"/>
    <w:rsid w:val="00216484"/>
    <w:rsid w:val="00220E09"/>
    <w:rsid w:val="0022265D"/>
    <w:rsid w:val="00223393"/>
    <w:rsid w:val="00230DAF"/>
    <w:rsid w:val="00231533"/>
    <w:rsid w:val="0023767D"/>
    <w:rsid w:val="00241AE1"/>
    <w:rsid w:val="002434E0"/>
    <w:rsid w:val="00256168"/>
    <w:rsid w:val="002614DD"/>
    <w:rsid w:val="002633EF"/>
    <w:rsid w:val="002644D9"/>
    <w:rsid w:val="00265569"/>
    <w:rsid w:val="002658FD"/>
    <w:rsid w:val="002726FD"/>
    <w:rsid w:val="00275045"/>
    <w:rsid w:val="00275885"/>
    <w:rsid w:val="00275A29"/>
    <w:rsid w:val="002774B3"/>
    <w:rsid w:val="002779EA"/>
    <w:rsid w:val="00277D3C"/>
    <w:rsid w:val="0028634A"/>
    <w:rsid w:val="0029192F"/>
    <w:rsid w:val="00296A17"/>
    <w:rsid w:val="002A1EEB"/>
    <w:rsid w:val="002A7AE4"/>
    <w:rsid w:val="002B10A6"/>
    <w:rsid w:val="002B51C3"/>
    <w:rsid w:val="002B6613"/>
    <w:rsid w:val="002B723E"/>
    <w:rsid w:val="002C3EB6"/>
    <w:rsid w:val="002D552D"/>
    <w:rsid w:val="002E099E"/>
    <w:rsid w:val="002F6038"/>
    <w:rsid w:val="00301CFA"/>
    <w:rsid w:val="0030513E"/>
    <w:rsid w:val="00306A0C"/>
    <w:rsid w:val="00314639"/>
    <w:rsid w:val="00323348"/>
    <w:rsid w:val="00324EE5"/>
    <w:rsid w:val="00328718"/>
    <w:rsid w:val="0033130E"/>
    <w:rsid w:val="0033360B"/>
    <w:rsid w:val="00333A96"/>
    <w:rsid w:val="00343CAC"/>
    <w:rsid w:val="0035250B"/>
    <w:rsid w:val="00353F36"/>
    <w:rsid w:val="00354AFE"/>
    <w:rsid w:val="0036377B"/>
    <w:rsid w:val="00371C5F"/>
    <w:rsid w:val="00373594"/>
    <w:rsid w:val="00377D67"/>
    <w:rsid w:val="003805D9"/>
    <w:rsid w:val="003839E3"/>
    <w:rsid w:val="00387835"/>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2840"/>
    <w:rsid w:val="004041BA"/>
    <w:rsid w:val="00405063"/>
    <w:rsid w:val="0040541E"/>
    <w:rsid w:val="0041092A"/>
    <w:rsid w:val="0041290E"/>
    <w:rsid w:val="00414732"/>
    <w:rsid w:val="004150CF"/>
    <w:rsid w:val="004357C4"/>
    <w:rsid w:val="00435945"/>
    <w:rsid w:val="00442FBD"/>
    <w:rsid w:val="00444530"/>
    <w:rsid w:val="00444C52"/>
    <w:rsid w:val="004465D3"/>
    <w:rsid w:val="00453196"/>
    <w:rsid w:val="004616E2"/>
    <w:rsid w:val="00475E16"/>
    <w:rsid w:val="00483A78"/>
    <w:rsid w:val="00496CA6"/>
    <w:rsid w:val="004B2ADA"/>
    <w:rsid w:val="004C7F3F"/>
    <w:rsid w:val="004D2515"/>
    <w:rsid w:val="004D2E3A"/>
    <w:rsid w:val="004D3619"/>
    <w:rsid w:val="004D5A80"/>
    <w:rsid w:val="004D5D32"/>
    <w:rsid w:val="004D6848"/>
    <w:rsid w:val="004E2338"/>
    <w:rsid w:val="004E59DD"/>
    <w:rsid w:val="004E7DA1"/>
    <w:rsid w:val="004F052D"/>
    <w:rsid w:val="004F0C1D"/>
    <w:rsid w:val="004F0CA2"/>
    <w:rsid w:val="004F1E1B"/>
    <w:rsid w:val="004F6055"/>
    <w:rsid w:val="004F72D8"/>
    <w:rsid w:val="00500164"/>
    <w:rsid w:val="005039D9"/>
    <w:rsid w:val="00510812"/>
    <w:rsid w:val="005178F9"/>
    <w:rsid w:val="0052549B"/>
    <w:rsid w:val="00530F59"/>
    <w:rsid w:val="005318C0"/>
    <w:rsid w:val="00532404"/>
    <w:rsid w:val="00534917"/>
    <w:rsid w:val="00535141"/>
    <w:rsid w:val="0053573C"/>
    <w:rsid w:val="005364D1"/>
    <w:rsid w:val="00537F50"/>
    <w:rsid w:val="0054433A"/>
    <w:rsid w:val="00553D00"/>
    <w:rsid w:val="00553FBB"/>
    <w:rsid w:val="00555838"/>
    <w:rsid w:val="0055770F"/>
    <w:rsid w:val="005654A9"/>
    <w:rsid w:val="00567283"/>
    <w:rsid w:val="00570985"/>
    <w:rsid w:val="005711A5"/>
    <w:rsid w:val="00585DFF"/>
    <w:rsid w:val="0059049B"/>
    <w:rsid w:val="00596631"/>
    <w:rsid w:val="005A0D6E"/>
    <w:rsid w:val="005A0DCF"/>
    <w:rsid w:val="005A45E1"/>
    <w:rsid w:val="005A7531"/>
    <w:rsid w:val="005B1D10"/>
    <w:rsid w:val="005B4142"/>
    <w:rsid w:val="005B5777"/>
    <w:rsid w:val="005C0F00"/>
    <w:rsid w:val="005C391D"/>
    <w:rsid w:val="005C55E4"/>
    <w:rsid w:val="005D10ED"/>
    <w:rsid w:val="005D3860"/>
    <w:rsid w:val="005D6DC2"/>
    <w:rsid w:val="005E7881"/>
    <w:rsid w:val="005F685D"/>
    <w:rsid w:val="00606AB4"/>
    <w:rsid w:val="00612E76"/>
    <w:rsid w:val="00615659"/>
    <w:rsid w:val="006164E3"/>
    <w:rsid w:val="00625D96"/>
    <w:rsid w:val="006342E4"/>
    <w:rsid w:val="0064097D"/>
    <w:rsid w:val="0064519E"/>
    <w:rsid w:val="00653145"/>
    <w:rsid w:val="006535B1"/>
    <w:rsid w:val="00656333"/>
    <w:rsid w:val="00660B51"/>
    <w:rsid w:val="00660DCC"/>
    <w:rsid w:val="006634B1"/>
    <w:rsid w:val="006828EF"/>
    <w:rsid w:val="0069333D"/>
    <w:rsid w:val="006A2675"/>
    <w:rsid w:val="006A3892"/>
    <w:rsid w:val="006B1A1A"/>
    <w:rsid w:val="006B3671"/>
    <w:rsid w:val="006C169F"/>
    <w:rsid w:val="006C548A"/>
    <w:rsid w:val="006C7201"/>
    <w:rsid w:val="006C7253"/>
    <w:rsid w:val="006D5CE2"/>
    <w:rsid w:val="006E6DE7"/>
    <w:rsid w:val="006E7463"/>
    <w:rsid w:val="006F0D09"/>
    <w:rsid w:val="006F1C75"/>
    <w:rsid w:val="0070111E"/>
    <w:rsid w:val="00701CBF"/>
    <w:rsid w:val="007044EF"/>
    <w:rsid w:val="007070D3"/>
    <w:rsid w:val="00722303"/>
    <w:rsid w:val="00722418"/>
    <w:rsid w:val="007267CA"/>
    <w:rsid w:val="00740778"/>
    <w:rsid w:val="00740F7F"/>
    <w:rsid w:val="0074384E"/>
    <w:rsid w:val="00743E8B"/>
    <w:rsid w:val="00745973"/>
    <w:rsid w:val="00747E70"/>
    <w:rsid w:val="00751562"/>
    <w:rsid w:val="00754760"/>
    <w:rsid w:val="00756FAC"/>
    <w:rsid w:val="00757682"/>
    <w:rsid w:val="007642DF"/>
    <w:rsid w:val="0076431D"/>
    <w:rsid w:val="00770A1C"/>
    <w:rsid w:val="00777B3D"/>
    <w:rsid w:val="00780DED"/>
    <w:rsid w:val="0078595E"/>
    <w:rsid w:val="00787EF2"/>
    <w:rsid w:val="00794997"/>
    <w:rsid w:val="007A03E5"/>
    <w:rsid w:val="007A5C80"/>
    <w:rsid w:val="007A62DB"/>
    <w:rsid w:val="007B0B81"/>
    <w:rsid w:val="007B2955"/>
    <w:rsid w:val="007B3500"/>
    <w:rsid w:val="007B5A77"/>
    <w:rsid w:val="007B7610"/>
    <w:rsid w:val="007D269B"/>
    <w:rsid w:val="007D3959"/>
    <w:rsid w:val="007E6996"/>
    <w:rsid w:val="007E7079"/>
    <w:rsid w:val="007F43E7"/>
    <w:rsid w:val="007F5ACB"/>
    <w:rsid w:val="007F6562"/>
    <w:rsid w:val="008036D7"/>
    <w:rsid w:val="0080381E"/>
    <w:rsid w:val="00803C59"/>
    <w:rsid w:val="0080619C"/>
    <w:rsid w:val="008236C7"/>
    <w:rsid w:val="008317A1"/>
    <w:rsid w:val="00835B8A"/>
    <w:rsid w:val="008465B8"/>
    <w:rsid w:val="0085086E"/>
    <w:rsid w:val="008524A2"/>
    <w:rsid w:val="00855EBA"/>
    <w:rsid w:val="00873E6A"/>
    <w:rsid w:val="0088122B"/>
    <w:rsid w:val="00886191"/>
    <w:rsid w:val="00893D95"/>
    <w:rsid w:val="008B17E8"/>
    <w:rsid w:val="008B534B"/>
    <w:rsid w:val="008B6F83"/>
    <w:rsid w:val="008C0731"/>
    <w:rsid w:val="008C0E02"/>
    <w:rsid w:val="008C189D"/>
    <w:rsid w:val="008C5CA3"/>
    <w:rsid w:val="008C7AEA"/>
    <w:rsid w:val="008D1AEE"/>
    <w:rsid w:val="008F3EB5"/>
    <w:rsid w:val="008F454A"/>
    <w:rsid w:val="008F56D1"/>
    <w:rsid w:val="008F57DE"/>
    <w:rsid w:val="0090063F"/>
    <w:rsid w:val="009015CC"/>
    <w:rsid w:val="00902C1A"/>
    <w:rsid w:val="00903FA2"/>
    <w:rsid w:val="009049F3"/>
    <w:rsid w:val="00914BB3"/>
    <w:rsid w:val="009162C1"/>
    <w:rsid w:val="00924DCE"/>
    <w:rsid w:val="0092758A"/>
    <w:rsid w:val="009332DA"/>
    <w:rsid w:val="009418C5"/>
    <w:rsid w:val="009456EC"/>
    <w:rsid w:val="00952CDC"/>
    <w:rsid w:val="00954DB2"/>
    <w:rsid w:val="009557C4"/>
    <w:rsid w:val="0096314D"/>
    <w:rsid w:val="00974973"/>
    <w:rsid w:val="009769FF"/>
    <w:rsid w:val="0098221E"/>
    <w:rsid w:val="00983F46"/>
    <w:rsid w:val="00984CA7"/>
    <w:rsid w:val="009851A4"/>
    <w:rsid w:val="00991E69"/>
    <w:rsid w:val="0099394E"/>
    <w:rsid w:val="009B22A9"/>
    <w:rsid w:val="009B4B75"/>
    <w:rsid w:val="009D1D2A"/>
    <w:rsid w:val="009D710A"/>
    <w:rsid w:val="009E3931"/>
    <w:rsid w:val="009E4A05"/>
    <w:rsid w:val="009E6FA0"/>
    <w:rsid w:val="009F0404"/>
    <w:rsid w:val="009F18ED"/>
    <w:rsid w:val="00A0403F"/>
    <w:rsid w:val="00A068C1"/>
    <w:rsid w:val="00A0741E"/>
    <w:rsid w:val="00A11540"/>
    <w:rsid w:val="00A2546C"/>
    <w:rsid w:val="00A27939"/>
    <w:rsid w:val="00A30E2D"/>
    <w:rsid w:val="00A326BC"/>
    <w:rsid w:val="00A35292"/>
    <w:rsid w:val="00A35ABA"/>
    <w:rsid w:val="00A454E6"/>
    <w:rsid w:val="00A5061E"/>
    <w:rsid w:val="00A52525"/>
    <w:rsid w:val="00A55504"/>
    <w:rsid w:val="00A608C6"/>
    <w:rsid w:val="00A6324B"/>
    <w:rsid w:val="00A84E3A"/>
    <w:rsid w:val="00A85EB8"/>
    <w:rsid w:val="00A870C3"/>
    <w:rsid w:val="00A90FB2"/>
    <w:rsid w:val="00A91E63"/>
    <w:rsid w:val="00A93747"/>
    <w:rsid w:val="00A945BD"/>
    <w:rsid w:val="00A94774"/>
    <w:rsid w:val="00A94FC9"/>
    <w:rsid w:val="00A974D8"/>
    <w:rsid w:val="00AA3069"/>
    <w:rsid w:val="00AA3644"/>
    <w:rsid w:val="00AA3C43"/>
    <w:rsid w:val="00AA58F2"/>
    <w:rsid w:val="00AB19DD"/>
    <w:rsid w:val="00AB29CB"/>
    <w:rsid w:val="00AB390A"/>
    <w:rsid w:val="00AB44F9"/>
    <w:rsid w:val="00AB6E2D"/>
    <w:rsid w:val="00AC166F"/>
    <w:rsid w:val="00AC4657"/>
    <w:rsid w:val="00AC571B"/>
    <w:rsid w:val="00AD2184"/>
    <w:rsid w:val="00AD37E8"/>
    <w:rsid w:val="00AE19D1"/>
    <w:rsid w:val="00AE46DA"/>
    <w:rsid w:val="00AE6522"/>
    <w:rsid w:val="00AE7967"/>
    <w:rsid w:val="00AF4F51"/>
    <w:rsid w:val="00B036E5"/>
    <w:rsid w:val="00B03F1C"/>
    <w:rsid w:val="00B10702"/>
    <w:rsid w:val="00B1248B"/>
    <w:rsid w:val="00B20F3A"/>
    <w:rsid w:val="00B23BE2"/>
    <w:rsid w:val="00B30978"/>
    <w:rsid w:val="00B339E8"/>
    <w:rsid w:val="00B41657"/>
    <w:rsid w:val="00B4221B"/>
    <w:rsid w:val="00B43AA4"/>
    <w:rsid w:val="00B4450B"/>
    <w:rsid w:val="00B447C2"/>
    <w:rsid w:val="00B52679"/>
    <w:rsid w:val="00B540F9"/>
    <w:rsid w:val="00B57A74"/>
    <w:rsid w:val="00B602B2"/>
    <w:rsid w:val="00B636B2"/>
    <w:rsid w:val="00B63F2F"/>
    <w:rsid w:val="00B64268"/>
    <w:rsid w:val="00B64FCE"/>
    <w:rsid w:val="00B67D2E"/>
    <w:rsid w:val="00B72E66"/>
    <w:rsid w:val="00B735E2"/>
    <w:rsid w:val="00B7385B"/>
    <w:rsid w:val="00B73BC3"/>
    <w:rsid w:val="00B73C1C"/>
    <w:rsid w:val="00B74CC5"/>
    <w:rsid w:val="00B77CA0"/>
    <w:rsid w:val="00B859BA"/>
    <w:rsid w:val="00B90B07"/>
    <w:rsid w:val="00B917D5"/>
    <w:rsid w:val="00B93485"/>
    <w:rsid w:val="00B96152"/>
    <w:rsid w:val="00BA07A5"/>
    <w:rsid w:val="00BA0DC6"/>
    <w:rsid w:val="00BA51D0"/>
    <w:rsid w:val="00BA665A"/>
    <w:rsid w:val="00BA68B4"/>
    <w:rsid w:val="00BB05A3"/>
    <w:rsid w:val="00BB3C20"/>
    <w:rsid w:val="00BD1947"/>
    <w:rsid w:val="00BD6305"/>
    <w:rsid w:val="00BE7587"/>
    <w:rsid w:val="00BE7C72"/>
    <w:rsid w:val="00BF1031"/>
    <w:rsid w:val="00BF5787"/>
    <w:rsid w:val="00BF616C"/>
    <w:rsid w:val="00C02F87"/>
    <w:rsid w:val="00C05CB6"/>
    <w:rsid w:val="00C12433"/>
    <w:rsid w:val="00C12DFE"/>
    <w:rsid w:val="00C14182"/>
    <w:rsid w:val="00C1430C"/>
    <w:rsid w:val="00C14DB0"/>
    <w:rsid w:val="00C167D5"/>
    <w:rsid w:val="00C16E2D"/>
    <w:rsid w:val="00C25E34"/>
    <w:rsid w:val="00C26488"/>
    <w:rsid w:val="00C269BD"/>
    <w:rsid w:val="00C30111"/>
    <w:rsid w:val="00C33FB8"/>
    <w:rsid w:val="00C36511"/>
    <w:rsid w:val="00C417A3"/>
    <w:rsid w:val="00C41DFA"/>
    <w:rsid w:val="00C42D47"/>
    <w:rsid w:val="00C57700"/>
    <w:rsid w:val="00C579D4"/>
    <w:rsid w:val="00C64296"/>
    <w:rsid w:val="00C713DD"/>
    <w:rsid w:val="00C760D7"/>
    <w:rsid w:val="00C76D6A"/>
    <w:rsid w:val="00C80FE8"/>
    <w:rsid w:val="00C821C9"/>
    <w:rsid w:val="00C97368"/>
    <w:rsid w:val="00CA17FD"/>
    <w:rsid w:val="00CA5765"/>
    <w:rsid w:val="00CA7942"/>
    <w:rsid w:val="00CB06A1"/>
    <w:rsid w:val="00CB4460"/>
    <w:rsid w:val="00CB45A4"/>
    <w:rsid w:val="00CB6C1E"/>
    <w:rsid w:val="00CB7BC6"/>
    <w:rsid w:val="00CC083E"/>
    <w:rsid w:val="00CC0966"/>
    <w:rsid w:val="00CC24B9"/>
    <w:rsid w:val="00CC4530"/>
    <w:rsid w:val="00CC58F5"/>
    <w:rsid w:val="00CD1D46"/>
    <w:rsid w:val="00CD7485"/>
    <w:rsid w:val="00CE432F"/>
    <w:rsid w:val="00CE4A26"/>
    <w:rsid w:val="00CE5C48"/>
    <w:rsid w:val="00CE6E74"/>
    <w:rsid w:val="00CF224B"/>
    <w:rsid w:val="00CF552E"/>
    <w:rsid w:val="00D0115A"/>
    <w:rsid w:val="00D042A4"/>
    <w:rsid w:val="00D07401"/>
    <w:rsid w:val="00D11899"/>
    <w:rsid w:val="00D1446B"/>
    <w:rsid w:val="00D160E0"/>
    <w:rsid w:val="00D17C95"/>
    <w:rsid w:val="00D200E0"/>
    <w:rsid w:val="00D20BB9"/>
    <w:rsid w:val="00D218D9"/>
    <w:rsid w:val="00D24010"/>
    <w:rsid w:val="00D3310D"/>
    <w:rsid w:val="00D33461"/>
    <w:rsid w:val="00D353B3"/>
    <w:rsid w:val="00D410FE"/>
    <w:rsid w:val="00D43C0D"/>
    <w:rsid w:val="00D550D7"/>
    <w:rsid w:val="00D63871"/>
    <w:rsid w:val="00D721E4"/>
    <w:rsid w:val="00D7673B"/>
    <w:rsid w:val="00D767D5"/>
    <w:rsid w:val="00D76D1A"/>
    <w:rsid w:val="00D86EEE"/>
    <w:rsid w:val="00D87B4D"/>
    <w:rsid w:val="00D9084C"/>
    <w:rsid w:val="00DA150E"/>
    <w:rsid w:val="00DA2FF0"/>
    <w:rsid w:val="00DA4895"/>
    <w:rsid w:val="00DB5102"/>
    <w:rsid w:val="00DB518B"/>
    <w:rsid w:val="00DC77A7"/>
    <w:rsid w:val="00DC7E9B"/>
    <w:rsid w:val="00DD0CBE"/>
    <w:rsid w:val="00DD4090"/>
    <w:rsid w:val="00DE3A85"/>
    <w:rsid w:val="00DE3BC0"/>
    <w:rsid w:val="00DE6416"/>
    <w:rsid w:val="00DF1C04"/>
    <w:rsid w:val="00DF6197"/>
    <w:rsid w:val="00E0706F"/>
    <w:rsid w:val="00E159E3"/>
    <w:rsid w:val="00E2252E"/>
    <w:rsid w:val="00E253B1"/>
    <w:rsid w:val="00E33F01"/>
    <w:rsid w:val="00E40863"/>
    <w:rsid w:val="00E432EC"/>
    <w:rsid w:val="00E44B04"/>
    <w:rsid w:val="00E500CB"/>
    <w:rsid w:val="00E510E0"/>
    <w:rsid w:val="00E511EF"/>
    <w:rsid w:val="00E571BE"/>
    <w:rsid w:val="00E6068D"/>
    <w:rsid w:val="00E62939"/>
    <w:rsid w:val="00E74B9B"/>
    <w:rsid w:val="00E833FE"/>
    <w:rsid w:val="00E84892"/>
    <w:rsid w:val="00E91AC3"/>
    <w:rsid w:val="00E97BCA"/>
    <w:rsid w:val="00EA31F4"/>
    <w:rsid w:val="00EA7D21"/>
    <w:rsid w:val="00EB0C92"/>
    <w:rsid w:val="00EB1FAE"/>
    <w:rsid w:val="00EB4CFE"/>
    <w:rsid w:val="00EB5E1D"/>
    <w:rsid w:val="00EC0D9E"/>
    <w:rsid w:val="00EC24BC"/>
    <w:rsid w:val="00EC4471"/>
    <w:rsid w:val="00EC7AA5"/>
    <w:rsid w:val="00ED25FC"/>
    <w:rsid w:val="00ED3ACE"/>
    <w:rsid w:val="00EE2FC2"/>
    <w:rsid w:val="00EE5547"/>
    <w:rsid w:val="00EE5784"/>
    <w:rsid w:val="00EE72E2"/>
    <w:rsid w:val="00EF6583"/>
    <w:rsid w:val="00F04CE2"/>
    <w:rsid w:val="00F0516C"/>
    <w:rsid w:val="00F05476"/>
    <w:rsid w:val="00F06851"/>
    <w:rsid w:val="00F07AFF"/>
    <w:rsid w:val="00F1160C"/>
    <w:rsid w:val="00F1231E"/>
    <w:rsid w:val="00F32C26"/>
    <w:rsid w:val="00F44541"/>
    <w:rsid w:val="00F4714A"/>
    <w:rsid w:val="00F47752"/>
    <w:rsid w:val="00F7219F"/>
    <w:rsid w:val="00F83FB0"/>
    <w:rsid w:val="00F845E9"/>
    <w:rsid w:val="00F86E3B"/>
    <w:rsid w:val="00F964F7"/>
    <w:rsid w:val="00FA0267"/>
    <w:rsid w:val="00FA21C0"/>
    <w:rsid w:val="00FB1643"/>
    <w:rsid w:val="00FB689D"/>
    <w:rsid w:val="00FB6B00"/>
    <w:rsid w:val="00FC2DA6"/>
    <w:rsid w:val="00FC562B"/>
    <w:rsid w:val="00FC5AC9"/>
    <w:rsid w:val="00FD6EE3"/>
    <w:rsid w:val="00FE344D"/>
    <w:rsid w:val="00FF26CE"/>
    <w:rsid w:val="00FF401E"/>
    <w:rsid w:val="00FF5F5A"/>
    <w:rsid w:val="00FF6178"/>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286D"/>
  <w15:docId w15:val="{4F2D4DB7-F737-6A4F-842D-0A4D456B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nhideWhenUsed/>
    <w:rsid w:val="00A85EB8"/>
    <w:rPr>
      <w:sz w:val="20"/>
      <w:szCs w:val="20"/>
    </w:rPr>
  </w:style>
  <w:style w:type="character" w:customStyle="1" w:styleId="FootnoteTextChar">
    <w:name w:val="Footnote Text Char"/>
    <w:basedOn w:val="DefaultParagraphFont"/>
    <w:link w:val="FootnoteText"/>
    <w:rsid w:val="00A85EB8"/>
    <w:rPr>
      <w:sz w:val="20"/>
      <w:szCs w:val="20"/>
      <w:lang w:val="en-US"/>
    </w:rPr>
  </w:style>
  <w:style w:type="character" w:styleId="FootnoteReference">
    <w:name w:val="footnote reference"/>
    <w:basedOn w:val="DefaultParagraphFont"/>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 w:type="table" w:customStyle="1" w:styleId="TableGrid2">
    <w:name w:val="Table Grid2"/>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1708673912">
      <w:bodyDiv w:val="1"/>
      <w:marLeft w:val="0"/>
      <w:marRight w:val="0"/>
      <w:marTop w:val="0"/>
      <w:marBottom w:val="0"/>
      <w:divBdr>
        <w:top w:val="none" w:sz="0" w:space="0" w:color="auto"/>
        <w:left w:val="none" w:sz="0" w:space="0" w:color="auto"/>
        <w:bottom w:val="none" w:sz="0" w:space="0" w:color="auto"/>
        <w:right w:val="none" w:sz="0" w:space="0" w:color="auto"/>
      </w:divBdr>
    </w:div>
    <w:div w:id="1919092895">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Jonasson@icao.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14FA4-DC2F-4511-AF38-4035490B3E20}">
  <ds:schemaRefs>
    <ds:schemaRef ds:uri="http://schemas.openxmlformats.org/officeDocument/2006/bibliography"/>
  </ds:schemaRefs>
</ds:datastoreItem>
</file>

<file path=customXml/itemProps2.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3.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5B7D1C-13D6-47B7-BFDA-9B3B0D46DB21}"/>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6419</Characters>
  <Application>Microsoft Office Word</Application>
  <DocSecurity>0</DocSecurity>
  <Lines>139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Jonasson, Loftur</dc:creator>
  <cp:lastModifiedBy>Utsunomiya, Mie</cp:lastModifiedBy>
  <cp:revision>2</cp:revision>
  <cp:lastPrinted>2021-11-27T19:18:00Z</cp:lastPrinted>
  <dcterms:created xsi:type="dcterms:W3CDTF">2024-09-13T19:08:00Z</dcterms:created>
  <dcterms:modified xsi:type="dcterms:W3CDTF">2024-09-13T19:08:00Z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