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6BCD9C87" w14:textId="77777777" w:rsidR="00146649" w:rsidRDefault="00146649" w:rsidP="00146649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49FAEA78" w14:textId="77777777" w:rsidR="00146649" w:rsidRDefault="00146649" w:rsidP="00146649">
      <w:pPr>
        <w:pStyle w:val="Maintitle"/>
      </w:pPr>
    </w:p>
    <w:p w14:paraId="3A01C826" w14:textId="77777777" w:rsidR="00146649" w:rsidRDefault="00146649" w:rsidP="00146649">
      <w:pPr>
        <w:pStyle w:val="Maintitle"/>
      </w:pPr>
      <w:r w:rsidRPr="0020272F">
        <w:t xml:space="preserve">Montréal, Canada, </w:t>
      </w:r>
      <w:r>
        <w:t>15 to 26 July 2024</w:t>
      </w:r>
    </w:p>
    <w:p w14:paraId="71682960" w14:textId="77777777" w:rsidR="00146649" w:rsidRPr="002D63EF" w:rsidRDefault="00146649" w:rsidP="00146649">
      <w:pPr>
        <w:jc w:val="center"/>
        <w:rPr>
          <w:b/>
          <w:bCs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02CA8E36" w14:textId="67B976A1" w:rsidR="00477BB3" w:rsidRDefault="00477BB3" w:rsidP="00477BB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48103BE" w14:textId="77777777" w:rsidR="00146649" w:rsidRPr="0029192F" w:rsidRDefault="00146649" w:rsidP="00146649">
      <w:pPr>
        <w:jc w:val="left"/>
        <w:rPr>
          <w:b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0B1A15A0" w14:textId="310520A8" w:rsidR="00B94555" w:rsidRDefault="00146649" w:rsidP="00146649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B94555">
        <w:rPr>
          <w:lang w:eastAsia="ja-JP"/>
        </w:rPr>
        <w:t>5B</w:t>
      </w:r>
      <w:r w:rsidRPr="0044698C">
        <w:t xml:space="preserve"> </w:t>
      </w:r>
      <w:r w:rsidR="00B94555">
        <w:t xml:space="preserve">Reply </w:t>
      </w:r>
      <w:r w:rsidRPr="008C1E92">
        <w:t xml:space="preserve">Liaison Statement </w:t>
      </w:r>
      <w:r w:rsidRPr="0044698C">
        <w:t xml:space="preserve">to </w:t>
      </w:r>
      <w:r w:rsidR="00E2345B">
        <w:t xml:space="preserve">Coordination </w:t>
      </w:r>
      <w:r w:rsidR="00B94555">
        <w:t>Committee for Terminology (CCT) and ITU-T Study Group 17</w:t>
      </w:r>
    </w:p>
    <w:p w14:paraId="62380570" w14:textId="411CDB69" w:rsidR="00146649" w:rsidRDefault="00146649" w:rsidP="00146649">
      <w:pPr>
        <w:pStyle w:val="Maintitle"/>
      </w:pPr>
      <w:r>
        <w:t xml:space="preserve"> (Copy to ICAO for Information)</w:t>
      </w:r>
      <w:r w:rsidRPr="0044698C">
        <w:t xml:space="preserve"> </w:t>
      </w:r>
    </w:p>
    <w:p w14:paraId="4A891124" w14:textId="77777777" w:rsidR="000B1C6F" w:rsidRDefault="000B1C6F" w:rsidP="00146649">
      <w:pPr>
        <w:pStyle w:val="Maintitle"/>
      </w:pPr>
    </w:p>
    <w:p w14:paraId="102D8D40" w14:textId="3CA80DE1" w:rsidR="00146649" w:rsidRDefault="000B1C6F" w:rsidP="000B1C6F">
      <w:pPr>
        <w:tabs>
          <w:tab w:val="left" w:pos="6972"/>
        </w:tabs>
        <w:jc w:val="center"/>
        <w:rPr>
          <w:b/>
          <w:snapToGrid w:val="0"/>
        </w:rPr>
      </w:pPr>
      <w:r w:rsidRPr="000B1C6F">
        <w:rPr>
          <w:b/>
          <w:snapToGrid w:val="0"/>
        </w:rPr>
        <w:t>Terminology and Definitions for Action at ITU-T Study Group 17</w:t>
      </w:r>
    </w:p>
    <w:p w14:paraId="1FB89C64" w14:textId="77777777" w:rsidR="000B1C6F" w:rsidRDefault="000B1C6F" w:rsidP="000B1C6F">
      <w:pPr>
        <w:tabs>
          <w:tab w:val="left" w:pos="6972"/>
        </w:tabs>
        <w:jc w:val="center"/>
      </w:pPr>
    </w:p>
    <w:p w14:paraId="3E909B67" w14:textId="77777777" w:rsidR="00146649" w:rsidRDefault="00146649" w:rsidP="00146649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4CA69F60" w14:textId="77777777" w:rsidR="00146649" w:rsidRDefault="00146649" w:rsidP="00146649"/>
    <w:p w14:paraId="2F3D015D" w14:textId="77777777" w:rsidR="00146649" w:rsidRDefault="00146649" w:rsidP="00146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146649" w14:paraId="4C198827" w14:textId="77777777" w:rsidTr="00BE2C7D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26A1E4E" w14:textId="77777777" w:rsidR="00146649" w:rsidRDefault="00146649" w:rsidP="00BE2C7D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146649" w14:paraId="1A683484" w14:textId="77777777" w:rsidTr="00BE2C7D">
        <w:trPr>
          <w:cantSplit/>
          <w:jc w:val="center"/>
        </w:trPr>
        <w:tc>
          <w:tcPr>
            <w:tcW w:w="7200" w:type="dxa"/>
          </w:tcPr>
          <w:p w14:paraId="0A8916A4" w14:textId="497D3F42" w:rsidR="00146649" w:rsidRPr="000B1C6F" w:rsidRDefault="00146649" w:rsidP="000B1C6F">
            <w:r>
              <w:t xml:space="preserve">Attached is the ITU-R Working Party </w:t>
            </w:r>
            <w:r w:rsidR="000B1C6F">
              <w:t>5B</w:t>
            </w:r>
            <w:r>
              <w:t xml:space="preserve"> </w:t>
            </w:r>
            <w:r w:rsidR="000B1C6F">
              <w:t xml:space="preserve">Reply </w:t>
            </w:r>
            <w:r>
              <w:t xml:space="preserve">Liaison Statement to </w:t>
            </w:r>
            <w:r w:rsidR="000B1C6F">
              <w:t xml:space="preserve">CCT and ITU-T Study Group 17 </w:t>
            </w:r>
            <w:r>
              <w:t xml:space="preserve">and </w:t>
            </w:r>
            <w:proofErr w:type="gramStart"/>
            <w:r>
              <w:t>Copy</w:t>
            </w:r>
            <w:proofErr w:type="gramEnd"/>
            <w:r>
              <w:t xml:space="preserve"> to ICAO for Information on the </w:t>
            </w:r>
            <w:r w:rsidR="00AC7AC3" w:rsidRPr="00AC7AC3">
              <w:t>Terminology and Definitions for Action at ITU-T Study Group 17</w:t>
            </w:r>
            <w:r>
              <w:t xml:space="preserve">. </w:t>
            </w:r>
          </w:p>
          <w:p w14:paraId="48363638" w14:textId="77777777" w:rsidR="00146649" w:rsidRDefault="00146649" w:rsidP="00BE2C7D"/>
          <w:p w14:paraId="62CAD55D" w14:textId="77777777" w:rsidR="00146649" w:rsidRDefault="00146649" w:rsidP="00BE2C7D">
            <w:r>
              <w:t>Action:  FSMP WG/19 is invited to note the attached copy of the liaison statement and prepare inputs if required.</w:t>
            </w:r>
          </w:p>
        </w:tc>
      </w:tr>
    </w:tbl>
    <w:p w14:paraId="2AB37CBA" w14:textId="77777777" w:rsidR="00146649" w:rsidRDefault="00146649" w:rsidP="00146649"/>
    <w:p w14:paraId="42C4BE11" w14:textId="77777777" w:rsidR="00146649" w:rsidRDefault="00146649" w:rsidP="00146649">
      <w:pPr>
        <w:spacing w:before="600"/>
        <w:jc w:val="center"/>
      </w:pPr>
      <w:r w:rsidRPr="00DC752E">
        <w:t>______________</w:t>
      </w:r>
    </w:p>
    <w:p w14:paraId="10BC6B7E" w14:textId="77777777" w:rsidR="00146649" w:rsidRDefault="00146649" w:rsidP="00146649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940D9" w:rsidRPr="00FE1F96" w14:paraId="18C56C2A" w14:textId="77777777" w:rsidTr="00BE2C7D">
        <w:trPr>
          <w:cantSplit/>
        </w:trPr>
        <w:tc>
          <w:tcPr>
            <w:tcW w:w="6487" w:type="dxa"/>
            <w:vAlign w:val="center"/>
          </w:tcPr>
          <w:p w14:paraId="03A78C22" w14:textId="77777777" w:rsidR="00F940D9" w:rsidRPr="00FE1F96" w:rsidRDefault="00F940D9" w:rsidP="00BE2C7D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E1F9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DB7A1C2" w14:textId="77777777" w:rsidR="00F940D9" w:rsidRPr="00FE1F96" w:rsidRDefault="00F940D9" w:rsidP="00BE2C7D">
            <w:pPr>
              <w:shd w:val="solid" w:color="FFFFFF" w:fill="FFFFFF"/>
              <w:spacing w:line="240" w:lineRule="atLeast"/>
            </w:pPr>
            <w:bookmarkStart w:id="2" w:name="ditulogo"/>
            <w:bookmarkEnd w:id="2"/>
            <w:r w:rsidRPr="00FE1F96">
              <w:rPr>
                <w:noProof/>
                <w:lang w:val="fr-FR" w:eastAsia="fr-FR"/>
              </w:rPr>
              <w:drawing>
                <wp:inline distT="0" distB="0" distL="0" distR="0" wp14:anchorId="76B9005C" wp14:editId="75D6931C">
                  <wp:extent cx="765175" cy="765175"/>
                  <wp:effectExtent l="0" t="0" r="0" b="0"/>
                  <wp:docPr id="1805398098" name="Picture 4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398098" name="Picture 4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0D9" w:rsidRPr="00FE1F96" w14:paraId="236679E4" w14:textId="77777777" w:rsidTr="00BE2C7D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8D3552E" w14:textId="77777777" w:rsidR="00F940D9" w:rsidRPr="00FE1F96" w:rsidRDefault="00F940D9" w:rsidP="00BE2C7D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E77C252" w14:textId="77777777" w:rsidR="00F940D9" w:rsidRPr="00FE1F96" w:rsidRDefault="00F940D9" w:rsidP="00BE2C7D">
            <w:pPr>
              <w:shd w:val="solid" w:color="FFFFFF" w:fill="FFFFFF"/>
              <w:spacing w:after="48" w:line="240" w:lineRule="atLeast"/>
              <w:rPr>
                <w:szCs w:val="22"/>
              </w:rPr>
            </w:pPr>
          </w:p>
        </w:tc>
      </w:tr>
      <w:tr w:rsidR="00F940D9" w:rsidRPr="00FE1F96" w14:paraId="04D5A707" w14:textId="77777777" w:rsidTr="00BE2C7D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D5ED8DA" w14:textId="77777777" w:rsidR="00F940D9" w:rsidRPr="00FE1F96" w:rsidRDefault="00F940D9" w:rsidP="00BE2C7D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AB1DF70" w14:textId="77777777" w:rsidR="00F940D9" w:rsidRPr="00FE1F96" w:rsidRDefault="00F940D9" w:rsidP="00BE2C7D">
            <w:pPr>
              <w:shd w:val="solid" w:color="FFFFFF" w:fill="FFFFFF"/>
              <w:spacing w:after="48" w:line="240" w:lineRule="atLeast"/>
            </w:pPr>
          </w:p>
        </w:tc>
      </w:tr>
      <w:tr w:rsidR="00F940D9" w:rsidRPr="00B86F68" w14:paraId="5BE6334A" w14:textId="77777777" w:rsidTr="00BE2C7D">
        <w:trPr>
          <w:cantSplit/>
        </w:trPr>
        <w:tc>
          <w:tcPr>
            <w:tcW w:w="6487" w:type="dxa"/>
            <w:vMerge w:val="restart"/>
          </w:tcPr>
          <w:p w14:paraId="13757B22" w14:textId="77777777" w:rsidR="00F940D9" w:rsidRPr="00B86F68" w:rsidRDefault="00F940D9" w:rsidP="00BE2C7D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pt-PT"/>
              </w:rPr>
            </w:pPr>
            <w:bookmarkStart w:id="3" w:name="recibido"/>
            <w:bookmarkStart w:id="4" w:name="dnum" w:colFirst="1" w:colLast="1"/>
            <w:bookmarkEnd w:id="3"/>
            <w:r w:rsidRPr="00B86F68">
              <w:rPr>
                <w:rFonts w:ascii="Verdana" w:hAnsi="Verdana"/>
                <w:sz w:val="20"/>
                <w:lang w:val="pt-PT"/>
              </w:rPr>
              <w:t>Source:</w:t>
            </w:r>
            <w:r w:rsidRPr="00B86F68">
              <w:rPr>
                <w:rFonts w:ascii="Verdana" w:hAnsi="Verdana"/>
                <w:sz w:val="20"/>
                <w:lang w:val="pt-PT"/>
              </w:rPr>
              <w:tab/>
            </w:r>
            <w:r>
              <w:rPr>
                <w:rFonts w:ascii="Verdana" w:hAnsi="Verdana"/>
                <w:sz w:val="20"/>
                <w:lang w:val="pt-PT"/>
              </w:rPr>
              <w:t>Document</w:t>
            </w:r>
            <w:r w:rsidRPr="00B86F68">
              <w:rPr>
                <w:rFonts w:ascii="Verdana" w:hAnsi="Verdana"/>
                <w:sz w:val="20"/>
                <w:lang w:val="pt-PT"/>
              </w:rPr>
              <w:t xml:space="preserve"> </w:t>
            </w:r>
            <w:r w:rsidRPr="00B370A8">
              <w:rPr>
                <w:rFonts w:ascii="Verdana" w:hAnsi="Verdana"/>
                <w:bCs/>
                <w:sz w:val="20"/>
                <w:lang w:val="pt-PT" w:eastAsia="zh-CN"/>
              </w:rPr>
              <w:t>5B/TEMP/23</w:t>
            </w:r>
          </w:p>
        </w:tc>
        <w:tc>
          <w:tcPr>
            <w:tcW w:w="3402" w:type="dxa"/>
          </w:tcPr>
          <w:p w14:paraId="1D0174B0" w14:textId="77777777" w:rsidR="00F940D9" w:rsidRPr="00B370A8" w:rsidRDefault="00F940D9" w:rsidP="00BE2C7D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pt-PT" w:eastAsia="zh-CN"/>
              </w:rPr>
            </w:pPr>
          </w:p>
        </w:tc>
      </w:tr>
      <w:tr w:rsidR="00F940D9" w:rsidRPr="00FE1F96" w14:paraId="6BEFE584" w14:textId="77777777" w:rsidTr="00BE2C7D">
        <w:trPr>
          <w:cantSplit/>
        </w:trPr>
        <w:tc>
          <w:tcPr>
            <w:tcW w:w="6487" w:type="dxa"/>
            <w:vMerge/>
          </w:tcPr>
          <w:p w14:paraId="294A964B" w14:textId="77777777" w:rsidR="00F940D9" w:rsidRPr="00B370A8" w:rsidRDefault="00F940D9" w:rsidP="00BE2C7D">
            <w:pPr>
              <w:spacing w:before="60"/>
              <w:jc w:val="center"/>
              <w:rPr>
                <w:b/>
                <w:smallCaps/>
                <w:sz w:val="32"/>
                <w:lang w:val="pt-PT"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2D74911E" w14:textId="77777777" w:rsidR="00F940D9" w:rsidRPr="00FE1F96" w:rsidRDefault="00F940D9" w:rsidP="00BE2C7D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27</w:t>
            </w:r>
            <w:r w:rsidRPr="00FE1F96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eastAsia="zh-CN"/>
              </w:rPr>
              <w:t>May</w:t>
            </w:r>
            <w:r w:rsidRPr="00FE1F96">
              <w:rPr>
                <w:rFonts w:ascii="Verdana" w:hAnsi="Verdana"/>
                <w:b/>
                <w:sz w:val="20"/>
                <w:lang w:eastAsia="zh-CN"/>
              </w:rPr>
              <w:t xml:space="preserve"> 2024</w:t>
            </w:r>
          </w:p>
        </w:tc>
      </w:tr>
      <w:tr w:rsidR="00F940D9" w:rsidRPr="00FE1F96" w14:paraId="02F1492E" w14:textId="77777777" w:rsidTr="00BE2C7D">
        <w:trPr>
          <w:cantSplit/>
        </w:trPr>
        <w:tc>
          <w:tcPr>
            <w:tcW w:w="6487" w:type="dxa"/>
            <w:vMerge/>
          </w:tcPr>
          <w:p w14:paraId="6D44ECF1" w14:textId="77777777" w:rsidR="00F940D9" w:rsidRPr="00FE1F96" w:rsidRDefault="00F940D9" w:rsidP="00BE2C7D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0842BA49" w14:textId="77777777" w:rsidR="00F940D9" w:rsidRPr="00252F61" w:rsidRDefault="00F940D9" w:rsidP="00BE2C7D">
            <w:pPr>
              <w:shd w:val="solid" w:color="FFFFFF" w:fill="FFFFFF"/>
              <w:spacing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252F61">
              <w:rPr>
                <w:rFonts w:ascii="Verdana" w:eastAsia="SimSun" w:hAnsi="Verdana"/>
                <w:b/>
                <w:bCs/>
                <w:sz w:val="20"/>
                <w:lang w:eastAsia="zh-CN"/>
              </w:rPr>
              <w:t>English only</w:t>
            </w:r>
          </w:p>
        </w:tc>
      </w:tr>
      <w:tr w:rsidR="00F940D9" w:rsidRPr="00FE1F96" w14:paraId="44C0191A" w14:textId="77777777" w:rsidTr="00BE2C7D">
        <w:trPr>
          <w:cantSplit/>
        </w:trPr>
        <w:tc>
          <w:tcPr>
            <w:tcW w:w="9889" w:type="dxa"/>
            <w:gridSpan w:val="2"/>
          </w:tcPr>
          <w:p w14:paraId="7D912833" w14:textId="77777777" w:rsidR="00F940D9" w:rsidRPr="00FE1F96" w:rsidRDefault="00F940D9" w:rsidP="00BE2C7D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ITU-R Working Party 5B</w:t>
            </w:r>
          </w:p>
        </w:tc>
      </w:tr>
      <w:tr w:rsidR="00F940D9" w:rsidRPr="00FE1F96" w14:paraId="5FA4D3A4" w14:textId="77777777" w:rsidTr="00BE2C7D">
        <w:trPr>
          <w:cantSplit/>
        </w:trPr>
        <w:tc>
          <w:tcPr>
            <w:tcW w:w="9889" w:type="dxa"/>
            <w:gridSpan w:val="2"/>
          </w:tcPr>
          <w:p w14:paraId="188FCC7F" w14:textId="77777777" w:rsidR="00F940D9" w:rsidRPr="001F418C" w:rsidRDefault="00F940D9" w:rsidP="00BE2C7D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  <w:r w:rsidRPr="00FE1F96">
              <w:rPr>
                <w:caps w:val="0"/>
                <w:lang w:eastAsia="zh-CN"/>
              </w:rPr>
              <w:t xml:space="preserve">REPLY LIAISON STATEMENT TO </w:t>
            </w:r>
            <w:r w:rsidRPr="006B3505">
              <w:rPr>
                <w:caps w:val="0"/>
                <w:lang w:eastAsia="zh-CN"/>
              </w:rPr>
              <w:t>COOR</w:t>
            </w:r>
            <w:r>
              <w:rPr>
                <w:caps w:val="0"/>
                <w:lang w:eastAsia="zh-CN"/>
              </w:rPr>
              <w:t>D</w:t>
            </w:r>
            <w:r w:rsidRPr="006B3505">
              <w:rPr>
                <w:caps w:val="0"/>
                <w:lang w:eastAsia="zh-CN"/>
              </w:rPr>
              <w:t xml:space="preserve">INATION </w:t>
            </w:r>
            <w:r>
              <w:rPr>
                <w:caps w:val="0"/>
                <w:lang w:eastAsia="zh-CN"/>
              </w:rPr>
              <w:br/>
            </w:r>
            <w:r w:rsidRPr="006B3505">
              <w:rPr>
                <w:caps w:val="0"/>
                <w:lang w:eastAsia="zh-CN"/>
              </w:rPr>
              <w:t>COMMITTEE FOR TERMINOLOGY</w:t>
            </w:r>
            <w:r>
              <w:rPr>
                <w:caps w:val="0"/>
                <w:lang w:eastAsia="zh-CN"/>
              </w:rPr>
              <w:t xml:space="preserve"> (CCT) AND</w:t>
            </w:r>
            <w:r>
              <w:rPr>
                <w:caps w:val="0"/>
              </w:rPr>
              <w:t xml:space="preserve"> </w:t>
            </w:r>
            <w:r w:rsidRPr="00983E6C">
              <w:rPr>
                <w:caps w:val="0"/>
                <w:lang w:eastAsia="zh-CN"/>
              </w:rPr>
              <w:t xml:space="preserve">ITU-T </w:t>
            </w:r>
            <w:r w:rsidRPr="00B86F68">
              <w:rPr>
                <w:lang w:eastAsia="zh-CN"/>
              </w:rPr>
              <w:t>Study Group</w:t>
            </w:r>
            <w:r w:rsidRPr="00983E6C">
              <w:rPr>
                <w:caps w:val="0"/>
                <w:lang w:eastAsia="zh-CN"/>
              </w:rPr>
              <w:t xml:space="preserve"> 17</w:t>
            </w:r>
            <w:r>
              <w:rPr>
                <w:caps w:val="0"/>
                <w:lang w:eastAsia="zh-CN"/>
              </w:rPr>
              <w:br/>
            </w:r>
            <w:r w:rsidRPr="00966D8A">
              <w:rPr>
                <w:caps w:val="0"/>
                <w:lang w:eastAsia="zh-CN"/>
              </w:rPr>
              <w:t>(COPY TO ICAO FOR INFORMATION)</w:t>
            </w:r>
          </w:p>
        </w:tc>
      </w:tr>
      <w:tr w:rsidR="00F940D9" w:rsidRPr="00FE1F96" w14:paraId="3BFFD3F0" w14:textId="77777777" w:rsidTr="00BE2C7D">
        <w:trPr>
          <w:cantSplit/>
        </w:trPr>
        <w:tc>
          <w:tcPr>
            <w:tcW w:w="9889" w:type="dxa"/>
            <w:gridSpan w:val="2"/>
          </w:tcPr>
          <w:p w14:paraId="51581A8F" w14:textId="77777777" w:rsidR="00F940D9" w:rsidRPr="004E27AD" w:rsidRDefault="00F940D9" w:rsidP="00BE2C7D">
            <w:pPr>
              <w:pStyle w:val="Title4"/>
              <w:rPr>
                <w:lang w:eastAsia="zh-CN"/>
              </w:rPr>
            </w:pPr>
            <w:bookmarkStart w:id="9" w:name="dtitle1" w:colFirst="0" w:colLast="0"/>
            <w:bookmarkEnd w:id="8"/>
            <w:r>
              <w:rPr>
                <w:lang w:eastAsia="zh-CN"/>
              </w:rPr>
              <w:t>Terminology and Definitions for Action at</w:t>
            </w:r>
            <w:r>
              <w:t xml:space="preserve"> ITU-T </w:t>
            </w:r>
            <w:r>
              <w:rPr>
                <w:lang w:eastAsia="zh-CN"/>
              </w:rPr>
              <w:t xml:space="preserve">Study Group 17 </w:t>
            </w:r>
          </w:p>
        </w:tc>
      </w:tr>
    </w:tbl>
    <w:p w14:paraId="60727EEB" w14:textId="77777777" w:rsidR="00F940D9" w:rsidRDefault="00F940D9" w:rsidP="00F940D9">
      <w:pPr>
        <w:spacing w:before="360"/>
      </w:pPr>
      <w:bookmarkStart w:id="10" w:name="dbreak"/>
      <w:bookmarkEnd w:id="9"/>
      <w:bookmarkEnd w:id="10"/>
      <w:r w:rsidRPr="00FE1F96">
        <w:t xml:space="preserve">Working Party (WP) 5B thanks </w:t>
      </w:r>
      <w:r>
        <w:t>CCT</w:t>
      </w:r>
      <w:r w:rsidRPr="00FE1F96">
        <w:t xml:space="preserve"> for its liaison statement </w:t>
      </w:r>
      <w:r w:rsidRPr="00054709">
        <w:t xml:space="preserve">(Document </w:t>
      </w:r>
      <w:hyperlink r:id="rId11" w:history="1">
        <w:r w:rsidRPr="00054709">
          <w:rPr>
            <w:rStyle w:val="Hyperlink"/>
          </w:rPr>
          <w:t>5B/</w:t>
        </w:r>
        <w:r>
          <w:rPr>
            <w:rStyle w:val="Hyperlink"/>
          </w:rPr>
          <w:t>70</w:t>
        </w:r>
      </w:hyperlink>
      <w:r w:rsidRPr="00054709">
        <w:t>),</w:t>
      </w:r>
      <w:r w:rsidRPr="00FE1F96">
        <w:t xml:space="preserve"> </w:t>
      </w:r>
      <w:r>
        <w:t xml:space="preserve">informing </w:t>
      </w:r>
      <w:r w:rsidRPr="00FE1F96">
        <w:t xml:space="preserve">the </w:t>
      </w:r>
      <w:r>
        <w:t xml:space="preserve">advice provided to ITU-T SG17 to consider the definition for the terms </w:t>
      </w:r>
      <w:r w:rsidRPr="006B3505">
        <w:t>“remote pilot” and “safety manager”</w:t>
      </w:r>
      <w:r>
        <w:t xml:space="preserve"> in the document titled “</w:t>
      </w:r>
      <w:r w:rsidRPr="006B3505">
        <w:t xml:space="preserve">Revised baseline text for </w:t>
      </w:r>
      <w:proofErr w:type="spellStart"/>
      <w:r w:rsidRPr="006B3505">
        <w:t>X.evtol</w:t>
      </w:r>
      <w:proofErr w:type="spellEnd"/>
      <w:r w:rsidRPr="006B3505">
        <w:t>-sec: Security guidelines and requirements for an electric vertical take-off and landing (eVTOL) vehicle in an urban air mobility (UAM) environment</w:t>
      </w:r>
      <w:r>
        <w:t>”.</w:t>
      </w:r>
    </w:p>
    <w:p w14:paraId="237BEA52" w14:textId="77777777" w:rsidR="00F940D9" w:rsidRDefault="00F940D9" w:rsidP="00F940D9">
      <w:r w:rsidRPr="00D23A57">
        <w:rPr>
          <w:rStyle w:val="normaltextrun"/>
          <w:color w:val="000000"/>
        </w:rPr>
        <w:t>Working Party</w:t>
      </w:r>
      <w:r>
        <w:t xml:space="preserve"> 5B noted that some of the proposed terminologies in the above-mentioned document may not be fully accurate. </w:t>
      </w:r>
    </w:p>
    <w:p w14:paraId="63D9034F" w14:textId="77777777" w:rsidR="00F940D9" w:rsidRDefault="00F940D9" w:rsidP="00F940D9">
      <w:r>
        <w:t>One of the examples is the “safety manager”. While the term “safety manager” is specifically used as t</w:t>
      </w:r>
      <w:r w:rsidRPr="008A19A3">
        <w:t xml:space="preserve">he manager responsible for providing guidance and direction for the planning, </w:t>
      </w:r>
      <w:proofErr w:type="gramStart"/>
      <w:r w:rsidRPr="008A19A3">
        <w:t>implementation</w:t>
      </w:r>
      <w:proofErr w:type="gramEnd"/>
      <w:r w:rsidRPr="008A19A3">
        <w:t xml:space="preserve"> and operation of the organization’s safety management system</w:t>
      </w:r>
      <w:r>
        <w:t xml:space="preserve"> (SMS) and t</w:t>
      </w:r>
      <w:r w:rsidRPr="008A19A3">
        <w:t xml:space="preserve">ypically </w:t>
      </w:r>
      <w:r>
        <w:t xml:space="preserve">they </w:t>
      </w:r>
      <w:r w:rsidRPr="008A19A3">
        <w:t>have a role in regulatory compliance</w:t>
      </w:r>
      <w:r>
        <w:t xml:space="preserve"> in aviation, the term “safety manager” in the above-mentioned document appears to be “</w:t>
      </w:r>
      <w:r w:rsidRPr="008A19A3">
        <w:t>A person who boards aircraft to ensure safety and manage passengers</w:t>
      </w:r>
      <w:r>
        <w:t xml:space="preserve">”. This role is typically performed by “cabin crew member”. The definition of “Cabin crew member” extracted from ICAO Annex 6 is as follows. </w:t>
      </w:r>
    </w:p>
    <w:p w14:paraId="1760DE65" w14:textId="77777777" w:rsidR="00F940D9" w:rsidRDefault="00F940D9" w:rsidP="00F940D9">
      <w:pPr>
        <w:spacing w:after="240"/>
        <w:ind w:left="567"/>
      </w:pPr>
      <w:r w:rsidRPr="00ED35DC">
        <w:rPr>
          <w:b/>
          <w:bCs/>
        </w:rPr>
        <w:t>Cabin crew member</w:t>
      </w:r>
      <w:r>
        <w:t>. A crew member who performs, in the interest of safety of passengers, duties assigned by the operator or the pilot-in-command of the aircraft, but who shall not act as a flight crew member.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40D9" w:rsidRPr="00FE1F96" w14:paraId="439E7F4A" w14:textId="77777777" w:rsidTr="00BE2C7D">
        <w:tc>
          <w:tcPr>
            <w:tcW w:w="4814" w:type="dxa"/>
          </w:tcPr>
          <w:p w14:paraId="7A40835B" w14:textId="77777777" w:rsidR="00F940D9" w:rsidRPr="00FE1F96" w:rsidRDefault="00F940D9" w:rsidP="00BE2C7D">
            <w:pPr>
              <w:rPr>
                <w:rFonts w:cs="Times New Roman"/>
              </w:rPr>
            </w:pPr>
            <w:r w:rsidRPr="00FE1F96">
              <w:rPr>
                <w:rFonts w:cs="Times New Roman"/>
                <w:b/>
                <w:bCs/>
              </w:rPr>
              <w:t>Status:</w:t>
            </w:r>
            <w:r w:rsidRPr="00FE1F96">
              <w:rPr>
                <w:rFonts w:cs="Times New Roman"/>
              </w:rPr>
              <w:t xml:space="preserve">  </w:t>
            </w:r>
            <w:r w:rsidRPr="00FE1F96">
              <w:rPr>
                <w:rFonts w:cs="Times New Roman"/>
              </w:rPr>
              <w:tab/>
              <w:t xml:space="preserve">For </w:t>
            </w:r>
            <w:r>
              <w:rPr>
                <w:rFonts w:cs="Times New Roman"/>
              </w:rPr>
              <w:t>information and action, if any</w:t>
            </w:r>
          </w:p>
        </w:tc>
        <w:tc>
          <w:tcPr>
            <w:tcW w:w="4815" w:type="dxa"/>
          </w:tcPr>
          <w:p w14:paraId="17FC42E1" w14:textId="77777777" w:rsidR="00F940D9" w:rsidRPr="00FE1F96" w:rsidRDefault="00F940D9" w:rsidP="00BE2C7D">
            <w:pPr>
              <w:rPr>
                <w:rFonts w:cs="Times New Roman"/>
              </w:rPr>
            </w:pPr>
          </w:p>
        </w:tc>
      </w:tr>
      <w:tr w:rsidR="00F940D9" w:rsidRPr="00252F61" w14:paraId="636A343C" w14:textId="77777777" w:rsidTr="00BE2C7D">
        <w:tc>
          <w:tcPr>
            <w:tcW w:w="4814" w:type="dxa"/>
          </w:tcPr>
          <w:p w14:paraId="328613A6" w14:textId="77777777" w:rsidR="00F940D9" w:rsidRPr="00FE1F96" w:rsidRDefault="00F940D9" w:rsidP="00BE2C7D">
            <w:pPr>
              <w:rPr>
                <w:rFonts w:cs="Times New Roman"/>
              </w:rPr>
            </w:pPr>
            <w:r w:rsidRPr="00FE1F96">
              <w:rPr>
                <w:rFonts w:cs="Times New Roman"/>
                <w:b/>
                <w:bCs/>
              </w:rPr>
              <w:t>Contact:</w:t>
            </w:r>
            <w:r w:rsidRPr="00FE1F96">
              <w:rPr>
                <w:rFonts w:cs="Times New Roman"/>
              </w:rPr>
              <w:t xml:space="preserve"> </w:t>
            </w:r>
            <w:r w:rsidRPr="00FE1F96">
              <w:rPr>
                <w:rFonts w:cs="Times New Roman"/>
              </w:rPr>
              <w:tab/>
            </w:r>
            <w:r w:rsidRPr="00B86F68">
              <w:rPr>
                <w:rFonts w:cs="Times New Roman"/>
              </w:rPr>
              <w:t>Mr El Hadjar Abdouramane</w:t>
            </w:r>
          </w:p>
        </w:tc>
        <w:tc>
          <w:tcPr>
            <w:tcW w:w="4815" w:type="dxa"/>
          </w:tcPr>
          <w:p w14:paraId="5CAC9202" w14:textId="77777777" w:rsidR="00F940D9" w:rsidRPr="00463425" w:rsidRDefault="00F940D9" w:rsidP="00BE2C7D">
            <w:pPr>
              <w:rPr>
                <w:rFonts w:cs="Times New Roman"/>
                <w:lang w:val="de-DE"/>
              </w:rPr>
            </w:pPr>
            <w:r w:rsidRPr="00463425">
              <w:rPr>
                <w:rFonts w:cs="Times New Roman"/>
                <w:b/>
                <w:bCs/>
                <w:lang w:val="de-DE"/>
              </w:rPr>
              <w:t>E-mail:</w:t>
            </w:r>
            <w:r w:rsidRPr="00463425">
              <w:rPr>
                <w:rFonts w:cs="Times New Roman"/>
                <w:lang w:val="de-DE"/>
              </w:rPr>
              <w:t xml:space="preserve"> </w:t>
            </w:r>
            <w:r w:rsidRPr="00463425">
              <w:rPr>
                <w:rFonts w:cs="Times New Roman"/>
                <w:lang w:val="de-DE"/>
              </w:rPr>
              <w:tab/>
            </w:r>
            <w:hyperlink r:id="rId12" w:history="1">
              <w:r w:rsidRPr="00B86F68">
                <w:rPr>
                  <w:rStyle w:val="Hyperlink"/>
                  <w:rFonts w:cs="Times New Roman"/>
                  <w:lang w:val="pt-PT"/>
                </w:rPr>
                <w:t>choco0742@live.ca</w:t>
              </w:r>
            </w:hyperlink>
          </w:p>
        </w:tc>
      </w:tr>
    </w:tbl>
    <w:p w14:paraId="7C62D602" w14:textId="77777777" w:rsidR="00F940D9" w:rsidRPr="00FE1F96" w:rsidRDefault="00F940D9" w:rsidP="00F940D9">
      <w:pPr>
        <w:jc w:val="center"/>
        <w:rPr>
          <w:lang w:eastAsia="zh-CN"/>
        </w:rPr>
      </w:pPr>
      <w:r w:rsidRPr="00FE1F96">
        <w:t>________________</w:t>
      </w:r>
    </w:p>
    <w:p w14:paraId="0BF83021" w14:textId="77777777" w:rsidR="008C3FFC" w:rsidRDefault="008C3FFC" w:rsidP="00B45B7D">
      <w:pPr>
        <w:pStyle w:val="2para"/>
        <w:numPr>
          <w:ilvl w:val="0"/>
          <w:numId w:val="0"/>
        </w:numPr>
        <w:jc w:val="center"/>
      </w:pPr>
    </w:p>
    <w:p w14:paraId="4B5B27BF" w14:textId="4598B807" w:rsidR="00365BFB" w:rsidRDefault="00365BFB" w:rsidP="00B45B7D">
      <w:pPr>
        <w:pStyle w:val="2para"/>
        <w:numPr>
          <w:ilvl w:val="0"/>
          <w:numId w:val="0"/>
        </w:numPr>
        <w:jc w:val="center"/>
      </w:pPr>
    </w:p>
    <w:sectPr w:rsidR="00365B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AAC6" w14:textId="77777777" w:rsidR="002F266A" w:rsidRDefault="002F2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18A1C" w14:textId="77777777" w:rsidR="002F266A" w:rsidRDefault="002F2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4D169172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047699">
      <w:rPr>
        <w:noProof/>
        <w:sz w:val="18"/>
        <w:lang w:val="en-CA"/>
      </w:rPr>
      <w:t>FSMP-WG19-IP01_Reply LS to CCT and ITU-T SG 17 on UAM from ITU-R WP5B _copy to ICAO.docx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0724" w14:textId="074046BC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6B21BB">
      <w:t>1</w:t>
    </w:r>
    <w:r w:rsidR="008C3FFC">
      <w:t>6</w:t>
    </w:r>
    <w:r w:rsidR="0095751F">
      <w:t xml:space="preserve"> </w:t>
    </w:r>
    <w:r>
      <w:t>I</w:t>
    </w:r>
    <w:r w:rsidR="00770160">
      <w:t>P/</w:t>
    </w:r>
    <w:r w:rsidR="002F266A">
      <w:t>01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AFBC" w14:textId="77777777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95751F">
      <w:t>-WG/</w:t>
    </w:r>
    <w:r w:rsidR="006B21BB">
      <w:t>1</w:t>
    </w:r>
    <w:r w:rsidR="008C3FFC">
      <w:t>6</w:t>
    </w:r>
    <w:r w:rsidR="0095751F">
      <w:t xml:space="preserve"> </w:t>
    </w:r>
    <w:r w:rsidR="001449D6">
      <w:t>I</w:t>
    </w:r>
    <w:r>
      <w:t>P/</w:t>
    </w:r>
    <w:r w:rsidR="00C62653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1" w:name="logo"/>
          <w:bookmarkStart w:id="12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31FD3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40555F6C" w:rsidR="001742AF" w:rsidRDefault="001449D6" w:rsidP="00047699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bookmarkStart w:id="14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F17CDD">
                  <w:rPr>
                    <w:szCs w:val="22"/>
                  </w:rPr>
                  <w:t>1</w:t>
                </w:r>
                <w:r w:rsidR="009C4637">
                  <w:rPr>
                    <w:szCs w:val="22"/>
                  </w:rPr>
                  <w:t>9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01</w:t>
                </w:r>
                <w:bookmarkEnd w:id="13"/>
              </w:p>
              <w:p w14:paraId="36BD684C" w14:textId="77777777" w:rsidR="001742AF" w:rsidRDefault="00194465" w:rsidP="00047699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5" w:name="related_to"/>
                <w:bookmarkStart w:id="16" w:name="revision_date"/>
                <w:bookmarkStart w:id="17" w:name="revision_no"/>
                <w:bookmarkStart w:id="18" w:name="addendum_corrigendum_appendix"/>
                <w:bookmarkStart w:id="19" w:name="restricted"/>
                <w:bookmarkStart w:id="20" w:name="date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D379F2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9C4637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bookmarkStart w:id="21" w:name="info_paper"/>
                <w:bookmarkEnd w:id="20"/>
                <w:bookmarkEnd w:id="21"/>
                <w:r w:rsidR="009C4637">
                  <w:rPr>
                    <w:sz w:val="18"/>
                    <w:szCs w:val="18"/>
                  </w:rPr>
                  <w:t>15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047699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4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2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3"/>
  </w:num>
  <w:num w:numId="2" w16cid:durableId="1727223224">
    <w:abstractNumId w:val="6"/>
  </w:num>
  <w:num w:numId="3" w16cid:durableId="1272974372">
    <w:abstractNumId w:val="1"/>
  </w:num>
  <w:num w:numId="4" w16cid:durableId="1708489018">
    <w:abstractNumId w:val="0"/>
  </w:num>
  <w:num w:numId="5" w16cid:durableId="10228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2"/>
  </w:num>
  <w:num w:numId="7" w16cid:durableId="397481456">
    <w:abstractNumId w:val="4"/>
  </w:num>
  <w:num w:numId="8" w16cid:durableId="101797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B1C6F"/>
    <w:rsid w:val="001311FC"/>
    <w:rsid w:val="001449D6"/>
    <w:rsid w:val="00146649"/>
    <w:rsid w:val="001502EF"/>
    <w:rsid w:val="00165A30"/>
    <w:rsid w:val="001742AF"/>
    <w:rsid w:val="00194465"/>
    <w:rsid w:val="002334B7"/>
    <w:rsid w:val="00264D61"/>
    <w:rsid w:val="00274EDA"/>
    <w:rsid w:val="0028026A"/>
    <w:rsid w:val="002C487A"/>
    <w:rsid w:val="002F266A"/>
    <w:rsid w:val="00341F16"/>
    <w:rsid w:val="00365BFB"/>
    <w:rsid w:val="003861F1"/>
    <w:rsid w:val="003D7FD8"/>
    <w:rsid w:val="003E2940"/>
    <w:rsid w:val="003E3DB8"/>
    <w:rsid w:val="003E6443"/>
    <w:rsid w:val="003F23BB"/>
    <w:rsid w:val="00477BB3"/>
    <w:rsid w:val="004D46B0"/>
    <w:rsid w:val="004E0F4A"/>
    <w:rsid w:val="005040D5"/>
    <w:rsid w:val="00576B70"/>
    <w:rsid w:val="005A13D7"/>
    <w:rsid w:val="005C2A6C"/>
    <w:rsid w:val="00617702"/>
    <w:rsid w:val="006A0F3C"/>
    <w:rsid w:val="006B21BB"/>
    <w:rsid w:val="006E6971"/>
    <w:rsid w:val="00707ADA"/>
    <w:rsid w:val="0071789F"/>
    <w:rsid w:val="00770160"/>
    <w:rsid w:val="00794F02"/>
    <w:rsid w:val="007C62D1"/>
    <w:rsid w:val="00804737"/>
    <w:rsid w:val="008133F5"/>
    <w:rsid w:val="008A05CA"/>
    <w:rsid w:val="008A1D5B"/>
    <w:rsid w:val="008C3FFC"/>
    <w:rsid w:val="008D196C"/>
    <w:rsid w:val="008D2A4E"/>
    <w:rsid w:val="008F7C55"/>
    <w:rsid w:val="00917E36"/>
    <w:rsid w:val="00927DDC"/>
    <w:rsid w:val="00930FD5"/>
    <w:rsid w:val="009362DE"/>
    <w:rsid w:val="0095751F"/>
    <w:rsid w:val="00966223"/>
    <w:rsid w:val="0098006D"/>
    <w:rsid w:val="009A056D"/>
    <w:rsid w:val="009C4637"/>
    <w:rsid w:val="009D6311"/>
    <w:rsid w:val="009F2F01"/>
    <w:rsid w:val="009F63C6"/>
    <w:rsid w:val="00A12CBA"/>
    <w:rsid w:val="00A148BD"/>
    <w:rsid w:val="00A26F34"/>
    <w:rsid w:val="00A459F8"/>
    <w:rsid w:val="00A83FAC"/>
    <w:rsid w:val="00AC7AC3"/>
    <w:rsid w:val="00AD1C3E"/>
    <w:rsid w:val="00B079EE"/>
    <w:rsid w:val="00B45B7D"/>
    <w:rsid w:val="00B553CA"/>
    <w:rsid w:val="00B94555"/>
    <w:rsid w:val="00BA10BB"/>
    <w:rsid w:val="00BA1984"/>
    <w:rsid w:val="00BB53D1"/>
    <w:rsid w:val="00C0293C"/>
    <w:rsid w:val="00C209A7"/>
    <w:rsid w:val="00C62653"/>
    <w:rsid w:val="00CB5CFE"/>
    <w:rsid w:val="00D268E9"/>
    <w:rsid w:val="00D361E2"/>
    <w:rsid w:val="00D379F2"/>
    <w:rsid w:val="00D708CE"/>
    <w:rsid w:val="00D9052D"/>
    <w:rsid w:val="00E2345B"/>
    <w:rsid w:val="00E51053"/>
    <w:rsid w:val="00F17CDD"/>
    <w:rsid w:val="00F21296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basedOn w:val="Normal"/>
    <w:uiPriority w:val="1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oco0742@live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meetingdoc.asp?lang=en&amp;parent=R23-WP5B-C-007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10</TotalTime>
  <Pages>2</Pages>
  <Words>392</Words>
  <Characters>2154</Characters>
  <Application>Microsoft Office Word</Application>
  <DocSecurity>0</DocSecurity>
  <Lines>68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14</cp:revision>
  <cp:lastPrinted>2005-03-16T18:26:00Z</cp:lastPrinted>
  <dcterms:created xsi:type="dcterms:W3CDTF">2024-06-20T13:09:00Z</dcterms:created>
  <dcterms:modified xsi:type="dcterms:W3CDTF">2024-06-20T19:15:00Z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