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05E6" w14:textId="77777777" w:rsidR="00C32F4A" w:rsidRPr="00032308" w:rsidRDefault="00C32F4A" w:rsidP="00C32F4A">
      <w:pPr>
        <w:jc w:val="center"/>
        <w:rPr>
          <w:b/>
          <w:lang w:val="en-US"/>
        </w:rPr>
      </w:pPr>
      <w:r w:rsidRPr="00032308">
        <w:rPr>
          <w:b/>
          <w:lang w:val="en-US"/>
        </w:rPr>
        <w:t>FREQUENCY SPECTRUM MANAGEMENT PANEL (FSMP)</w:t>
      </w:r>
    </w:p>
    <w:p w14:paraId="30532431" w14:textId="77777777" w:rsidR="00C32F4A" w:rsidRPr="00032308" w:rsidRDefault="00C32F4A" w:rsidP="00C32F4A">
      <w:pPr>
        <w:tabs>
          <w:tab w:val="left" w:pos="6972"/>
        </w:tabs>
        <w:jc w:val="center"/>
        <w:rPr>
          <w:b/>
          <w:lang w:val="en-US"/>
        </w:rPr>
      </w:pPr>
    </w:p>
    <w:p w14:paraId="00A04B43" w14:textId="3EC0E544" w:rsidR="00FC389A" w:rsidRPr="00032308" w:rsidRDefault="009F3664" w:rsidP="00FC389A">
      <w:pPr>
        <w:widowControl w:val="0"/>
        <w:autoSpaceDE w:val="0"/>
        <w:autoSpaceDN w:val="0"/>
        <w:adjustRightInd w:val="0"/>
        <w:ind w:right="4"/>
        <w:jc w:val="center"/>
        <w:rPr>
          <w:rFonts w:eastAsia="SimSun"/>
          <w:b/>
          <w:caps/>
          <w:szCs w:val="24"/>
          <w:lang w:val="en-US"/>
        </w:rPr>
      </w:pPr>
      <w:r>
        <w:rPr>
          <w:rFonts w:eastAsia="Yu Mincho" w:hint="eastAsia"/>
          <w:b/>
          <w:szCs w:val="24"/>
          <w:lang w:val="en-US" w:eastAsia="ja-JP"/>
        </w:rPr>
        <w:t>Twe</w:t>
      </w:r>
      <w:r w:rsidR="00021604">
        <w:rPr>
          <w:rFonts w:eastAsia="Yu Mincho" w:hint="eastAsia"/>
          <w:b/>
          <w:szCs w:val="24"/>
          <w:lang w:val="en-US" w:eastAsia="ja-JP"/>
        </w:rPr>
        <w:t>ntieth</w:t>
      </w:r>
      <w:r w:rsidR="00FC389A" w:rsidRPr="00032308">
        <w:rPr>
          <w:rFonts w:eastAsia="SimSun"/>
          <w:b/>
          <w:szCs w:val="24"/>
          <w:lang w:val="en-US"/>
        </w:rPr>
        <w:t xml:space="preserve"> Working Group Meeting </w:t>
      </w:r>
    </w:p>
    <w:p w14:paraId="20740C8E" w14:textId="77777777" w:rsidR="0009326E" w:rsidRPr="00032308" w:rsidRDefault="0009326E" w:rsidP="0009326E">
      <w:pPr>
        <w:pStyle w:val="Maintitle"/>
        <w:rPr>
          <w:lang w:val="en-US"/>
        </w:rPr>
      </w:pPr>
    </w:p>
    <w:p w14:paraId="1F125471" w14:textId="3391B962" w:rsidR="0009326E" w:rsidRPr="00032308" w:rsidRDefault="009F3664" w:rsidP="0009326E">
      <w:pPr>
        <w:pStyle w:val="Maintitle"/>
        <w:rPr>
          <w:lang w:val="en-US" w:eastAsia="ja-JP"/>
        </w:rPr>
      </w:pPr>
      <w:r>
        <w:rPr>
          <w:rFonts w:hint="eastAsia"/>
          <w:lang w:val="en-US" w:eastAsia="ja-JP"/>
        </w:rPr>
        <w:t>Bangkok</w:t>
      </w:r>
      <w:r w:rsidR="0020272F" w:rsidRPr="00032308">
        <w:rPr>
          <w:lang w:val="en-US"/>
        </w:rPr>
        <w:t xml:space="preserve">, </w:t>
      </w:r>
      <w:proofErr w:type="spellStart"/>
      <w:r>
        <w:rPr>
          <w:rFonts w:hint="eastAsia"/>
          <w:lang w:val="en-US" w:eastAsia="ja-JP"/>
        </w:rPr>
        <w:t>Tailand</w:t>
      </w:r>
      <w:proofErr w:type="spellEnd"/>
      <w:r w:rsidR="0020272F" w:rsidRPr="00032308">
        <w:rPr>
          <w:lang w:val="en-US"/>
        </w:rPr>
        <w:t xml:space="preserve">, </w:t>
      </w:r>
      <w:r>
        <w:rPr>
          <w:rFonts w:hint="eastAsia"/>
          <w:lang w:val="en-US" w:eastAsia="ja-JP"/>
        </w:rPr>
        <w:t>2</w:t>
      </w:r>
      <w:r w:rsidR="006549DA">
        <w:rPr>
          <w:lang w:val="en-US" w:eastAsia="ja-JP"/>
        </w:rPr>
        <w:t>6</w:t>
      </w:r>
      <w:r>
        <w:rPr>
          <w:rFonts w:hint="eastAsia"/>
          <w:lang w:val="en-US" w:eastAsia="ja-JP"/>
        </w:rPr>
        <w:t xml:space="preserve"> </w:t>
      </w:r>
      <w:proofErr w:type="spellStart"/>
      <w:r>
        <w:rPr>
          <w:rFonts w:hint="eastAsia"/>
          <w:lang w:val="en-US" w:eastAsia="ja-JP"/>
        </w:rPr>
        <w:t>Feburary</w:t>
      </w:r>
      <w:proofErr w:type="spellEnd"/>
      <w:r w:rsidR="0009326E" w:rsidRPr="00032308">
        <w:rPr>
          <w:lang w:val="en-US"/>
        </w:rPr>
        <w:t xml:space="preserve"> to </w:t>
      </w:r>
      <w:r>
        <w:rPr>
          <w:rFonts w:hint="eastAsia"/>
          <w:lang w:val="en-US" w:eastAsia="ja-JP"/>
        </w:rPr>
        <w:t>7</w:t>
      </w:r>
      <w:r w:rsidR="0009326E" w:rsidRPr="00032308">
        <w:rPr>
          <w:lang w:val="en-US"/>
        </w:rPr>
        <w:t xml:space="preserve"> </w:t>
      </w:r>
      <w:r>
        <w:rPr>
          <w:rFonts w:hint="eastAsia"/>
          <w:lang w:val="en-US" w:eastAsia="ja-JP"/>
        </w:rPr>
        <w:t>March</w:t>
      </w:r>
      <w:r w:rsidR="0020272F" w:rsidRPr="00032308">
        <w:rPr>
          <w:lang w:val="en-US"/>
        </w:rPr>
        <w:t xml:space="preserve"> </w:t>
      </w:r>
      <w:r w:rsidR="0009326E" w:rsidRPr="00032308">
        <w:rPr>
          <w:lang w:val="en-US"/>
        </w:rPr>
        <w:t>202</w:t>
      </w:r>
      <w:r>
        <w:rPr>
          <w:rFonts w:hint="eastAsia"/>
          <w:lang w:val="en-US" w:eastAsia="ja-JP"/>
        </w:rPr>
        <w:t>5</w:t>
      </w:r>
    </w:p>
    <w:p w14:paraId="1D3E4284" w14:textId="77777777" w:rsidR="00770160" w:rsidRPr="00032308" w:rsidRDefault="00770160">
      <w:pPr>
        <w:tabs>
          <w:tab w:val="left" w:pos="0"/>
          <w:tab w:val="left" w:pos="1570"/>
          <w:tab w:val="left" w:pos="1857"/>
        </w:tabs>
        <w:rPr>
          <w:lang w:val="en-US"/>
        </w:rPr>
      </w:pPr>
    </w:p>
    <w:p w14:paraId="788A7A69" w14:textId="77777777" w:rsidR="0020272F" w:rsidRPr="00032308" w:rsidRDefault="0020272F">
      <w:pPr>
        <w:tabs>
          <w:tab w:val="left" w:pos="0"/>
          <w:tab w:val="left" w:pos="1570"/>
          <w:tab w:val="left" w:pos="1857"/>
        </w:tabs>
        <w:rPr>
          <w:lang w:val="en-US"/>
        </w:rPr>
      </w:pPr>
    </w:p>
    <w:p w14:paraId="7386F608" w14:textId="5F8EF3E3" w:rsidR="00770160" w:rsidRPr="00D22842" w:rsidRDefault="00D22842">
      <w:pPr>
        <w:pStyle w:val="Agendaitemtitle"/>
        <w:rPr>
          <w:lang w:val="en-US"/>
        </w:rPr>
      </w:pPr>
      <w:r>
        <w:rPr>
          <w:lang w:val="sv-SE"/>
        </w:rPr>
        <w:t>Agenda Item 5:</w:t>
      </w:r>
      <w:r>
        <w:rPr>
          <w:lang w:val="sv-SE"/>
        </w:rPr>
        <w:tab/>
      </w:r>
      <w:r w:rsidRPr="00FB2E00">
        <w:rPr>
          <w:lang w:val="sv-SE"/>
        </w:rPr>
        <w:t>Aeronautical Band Planning (108 – 137 MHz)</w:t>
      </w:r>
    </w:p>
    <w:p w14:paraId="1B997816" w14:textId="77777777" w:rsidR="00770160" w:rsidRPr="00032308" w:rsidRDefault="00770160">
      <w:pPr>
        <w:pStyle w:val="Agendaitemtitle"/>
        <w:rPr>
          <w:b w:val="0"/>
          <w:lang w:val="en-US"/>
        </w:rPr>
      </w:pPr>
    </w:p>
    <w:p w14:paraId="69A09C1C" w14:textId="77777777" w:rsidR="00770160" w:rsidRPr="00032308" w:rsidRDefault="00770160">
      <w:pPr>
        <w:tabs>
          <w:tab w:val="left" w:pos="6972"/>
        </w:tabs>
        <w:rPr>
          <w:b/>
          <w:lang w:val="en-US"/>
        </w:rPr>
      </w:pPr>
    </w:p>
    <w:p w14:paraId="5191E03F" w14:textId="6B97F4C9" w:rsidR="00770160" w:rsidRPr="00032308" w:rsidRDefault="00B439A3">
      <w:pPr>
        <w:pStyle w:val="Maintitle"/>
        <w:rPr>
          <w:lang w:val="en-US" w:eastAsia="ja-JP"/>
        </w:rPr>
      </w:pPr>
      <w:r>
        <w:rPr>
          <w:lang w:val="en-US" w:eastAsia="ja-JP"/>
        </w:rPr>
        <w:t>Spectrum Reuse Efficiency of</w:t>
      </w:r>
      <w:r w:rsidR="00D55323">
        <w:rPr>
          <w:rFonts w:hint="eastAsia"/>
          <w:lang w:val="en-US" w:eastAsia="ja-JP"/>
        </w:rPr>
        <w:t xml:space="preserve"> </w:t>
      </w:r>
      <w:r w:rsidR="004272BA">
        <w:rPr>
          <w:rFonts w:hint="eastAsia"/>
          <w:lang w:val="en-US" w:eastAsia="ja-JP"/>
        </w:rPr>
        <w:t>Space-Based VHF</w:t>
      </w:r>
    </w:p>
    <w:p w14:paraId="6454B750" w14:textId="5E3839ED" w:rsidR="00770160" w:rsidRPr="00032308" w:rsidRDefault="00770160">
      <w:pPr>
        <w:tabs>
          <w:tab w:val="left" w:pos="6972"/>
        </w:tabs>
        <w:rPr>
          <w:lang w:val="en-US" w:eastAsia="ja-JP"/>
        </w:rPr>
      </w:pPr>
    </w:p>
    <w:p w14:paraId="21095D85" w14:textId="77777777" w:rsidR="00770160" w:rsidRPr="00032308" w:rsidRDefault="00770160">
      <w:pPr>
        <w:tabs>
          <w:tab w:val="left" w:pos="6972"/>
        </w:tabs>
        <w:rPr>
          <w:lang w:val="en-US"/>
        </w:rPr>
      </w:pPr>
    </w:p>
    <w:p w14:paraId="7F55688A" w14:textId="6EF762C2" w:rsidR="00770160" w:rsidRPr="00032308" w:rsidRDefault="00770160">
      <w:pPr>
        <w:jc w:val="center"/>
        <w:rPr>
          <w:lang w:val="en-US"/>
        </w:rPr>
      </w:pPr>
      <w:r w:rsidRPr="00032308">
        <w:rPr>
          <w:lang w:val="en-US"/>
        </w:rPr>
        <w:t>(Presented by</w:t>
      </w:r>
      <w:bookmarkStart w:id="0" w:name="presented_by"/>
      <w:bookmarkEnd w:id="0"/>
      <w:r w:rsidRPr="00032308">
        <w:rPr>
          <w:lang w:val="en-US"/>
        </w:rPr>
        <w:t xml:space="preserve"> </w:t>
      </w:r>
      <w:r w:rsidR="00B439A3">
        <w:rPr>
          <w:lang w:val="en-US" w:eastAsia="ja-JP"/>
        </w:rPr>
        <w:t>Craig</w:t>
      </w:r>
      <w:r w:rsidR="009F3664">
        <w:rPr>
          <w:rFonts w:hint="eastAsia"/>
          <w:lang w:val="en-US" w:eastAsia="ja-JP"/>
        </w:rPr>
        <w:t xml:space="preserve"> </w:t>
      </w:r>
      <w:r w:rsidR="00B439A3">
        <w:rPr>
          <w:lang w:val="en-US" w:eastAsia="ja-JP"/>
        </w:rPr>
        <w:t>Benson</w:t>
      </w:r>
      <w:r w:rsidR="00AA6C93" w:rsidRPr="00032308">
        <w:rPr>
          <w:lang w:val="en-US"/>
        </w:rPr>
        <w:t>)</w:t>
      </w:r>
    </w:p>
    <w:p w14:paraId="0A98834D" w14:textId="77777777" w:rsidR="00770160" w:rsidRPr="00032308" w:rsidRDefault="00770160">
      <w:pPr>
        <w:rPr>
          <w:lang w:val="en-US"/>
        </w:rPr>
      </w:pPr>
    </w:p>
    <w:p w14:paraId="17F1DC8B" w14:textId="77777777" w:rsidR="00770160" w:rsidRPr="00032308" w:rsidRDefault="00770160">
      <w:pPr>
        <w:rPr>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rsidRPr="00032308" w14:paraId="730EEE5B" w14:textId="77777777">
        <w:trPr>
          <w:cantSplit/>
          <w:trHeight w:hRule="exact" w:val="480"/>
          <w:jc w:val="center"/>
        </w:trPr>
        <w:tc>
          <w:tcPr>
            <w:tcW w:w="7200" w:type="dxa"/>
            <w:vAlign w:val="center"/>
          </w:tcPr>
          <w:p w14:paraId="34A6837C" w14:textId="77777777" w:rsidR="00770160" w:rsidRPr="00032308" w:rsidRDefault="00770160">
            <w:pPr>
              <w:jc w:val="center"/>
              <w:rPr>
                <w:sz w:val="24"/>
                <w:lang w:val="en-US"/>
              </w:rPr>
            </w:pPr>
            <w:r w:rsidRPr="00032308">
              <w:rPr>
                <w:b/>
                <w:lang w:val="en-US"/>
              </w:rPr>
              <w:t>SUMMARY</w:t>
            </w:r>
          </w:p>
        </w:tc>
      </w:tr>
      <w:tr w:rsidR="00770160" w:rsidRPr="00032308" w14:paraId="54F7E16F" w14:textId="77777777">
        <w:trPr>
          <w:cantSplit/>
          <w:jc w:val="center"/>
        </w:trPr>
        <w:tc>
          <w:tcPr>
            <w:tcW w:w="7200" w:type="dxa"/>
          </w:tcPr>
          <w:p w14:paraId="1EDB0FBF" w14:textId="20D29A7D" w:rsidR="00770160" w:rsidRPr="00032308" w:rsidRDefault="00D55323">
            <w:pPr>
              <w:rPr>
                <w:lang w:val="en-US"/>
              </w:rPr>
            </w:pPr>
            <w:r w:rsidRPr="00D55323">
              <w:rPr>
                <w:lang w:val="en-US"/>
              </w:rPr>
              <w:t xml:space="preserve">This </w:t>
            </w:r>
            <w:r w:rsidR="00B439A3">
              <w:rPr>
                <w:lang w:val="en-US"/>
              </w:rPr>
              <w:t>I</w:t>
            </w:r>
            <w:r w:rsidRPr="00D55323">
              <w:rPr>
                <w:lang w:val="en-US"/>
              </w:rPr>
              <w:t xml:space="preserve">P </w:t>
            </w:r>
            <w:r w:rsidR="00B439A3">
              <w:rPr>
                <w:lang w:val="en-US"/>
              </w:rPr>
              <w:t xml:space="preserve">finds that the spectrum reuse efficiency of space-based VHF to serve large sectors is </w:t>
            </w:r>
            <w:proofErr w:type="gramStart"/>
            <w:r w:rsidR="00B439A3">
              <w:rPr>
                <w:lang w:val="en-US"/>
              </w:rPr>
              <w:t>similar to</w:t>
            </w:r>
            <w:proofErr w:type="gramEnd"/>
            <w:r w:rsidR="00B439A3">
              <w:rPr>
                <w:lang w:val="en-US"/>
              </w:rPr>
              <w:t xml:space="preserve"> existing uses, even when assuming that beam shaping cannot reduce interference.</w:t>
            </w:r>
          </w:p>
        </w:tc>
      </w:tr>
    </w:tbl>
    <w:p w14:paraId="4490515D" w14:textId="77777777" w:rsidR="00770160" w:rsidRPr="00395263" w:rsidRDefault="00770160"/>
    <w:p w14:paraId="6F8E4828" w14:textId="77777777" w:rsidR="00770160" w:rsidRPr="00032308" w:rsidRDefault="00770160">
      <w:pPr>
        <w:rPr>
          <w:lang w:val="en-US"/>
        </w:rPr>
      </w:pPr>
    </w:p>
    <w:p w14:paraId="40730B89" w14:textId="77777777" w:rsidR="00770160" w:rsidRPr="00032308" w:rsidRDefault="00770160">
      <w:pPr>
        <w:pStyle w:val="1Heading"/>
        <w:rPr>
          <w:lang w:val="en-US"/>
        </w:rPr>
      </w:pPr>
      <w:r w:rsidRPr="00032308">
        <w:rPr>
          <w:lang w:val="en-US"/>
        </w:rPr>
        <w:t>INTRODUCTION</w:t>
      </w:r>
    </w:p>
    <w:p w14:paraId="2BCAE8D7" w14:textId="606DCF62" w:rsidR="00B439A3" w:rsidRPr="00B439A3" w:rsidRDefault="00B439A3" w:rsidP="00B439A3">
      <w:pPr>
        <w:pStyle w:val="2para"/>
        <w:rPr>
          <w:lang w:val="en-AU" w:eastAsia="ja-JP"/>
        </w:rPr>
      </w:pPr>
      <w:r w:rsidRPr="00B439A3">
        <w:rPr>
          <w:lang w:val="en-AU" w:eastAsia="ja-JP"/>
        </w:rPr>
        <w:t>At WRC-23 a resolution was adopted, supported by ICAO, allocating the 117.975 – 137.000 MHz band for AMS(R)S on a co-primary basis.  Rulemaking and frequency coordination was deferred to ICAO on the basis that this band is already used for AM(R)S, parts of it for AM(OR)S, and that frequency assignment would need to be flexible yet suitable for safety of life services, in a way that normal ITU processes for space-based frequency allocations do not accommodate.</w:t>
      </w:r>
    </w:p>
    <w:p w14:paraId="713E7B23" w14:textId="2EEC6907" w:rsidR="00B439A3" w:rsidRPr="00B439A3" w:rsidRDefault="00B439A3" w:rsidP="00B439A3">
      <w:pPr>
        <w:pStyle w:val="2para"/>
        <w:rPr>
          <w:lang w:val="en-AU" w:eastAsia="ja-JP"/>
        </w:rPr>
      </w:pPr>
      <w:r w:rsidRPr="00B439A3">
        <w:rPr>
          <w:lang w:val="en-AU" w:eastAsia="ja-JP"/>
        </w:rPr>
        <w:t xml:space="preserve">In this paper we assess the potential spectrum requirements to provide space-based VHF in large areas with low to modest traffic density.  We then compare this to exemplar terrestrial cases to understand the potential long-term implications of making AMS(R)S assignments, </w:t>
      </w:r>
      <w:proofErr w:type="gramStart"/>
      <w:r w:rsidRPr="00B439A3">
        <w:rPr>
          <w:lang w:val="en-AU" w:eastAsia="ja-JP"/>
        </w:rPr>
        <w:t>in particular is</w:t>
      </w:r>
      <w:proofErr w:type="gramEnd"/>
      <w:r w:rsidRPr="00B439A3">
        <w:rPr>
          <w:lang w:val="en-AU" w:eastAsia="ja-JP"/>
        </w:rPr>
        <w:t xml:space="preserve"> space-based VHF workable at scale, or will we run out of spectrum. </w:t>
      </w:r>
    </w:p>
    <w:p w14:paraId="0506E3E1" w14:textId="3E86107A" w:rsidR="00B439A3" w:rsidRDefault="00B439A3" w:rsidP="00B439A3">
      <w:pPr>
        <w:pStyle w:val="2para"/>
        <w:rPr>
          <w:lang w:val="en-AU" w:eastAsia="ja-JP"/>
        </w:rPr>
      </w:pPr>
      <w:r w:rsidRPr="00B439A3">
        <w:rPr>
          <w:lang w:val="en-AU" w:eastAsia="ja-JP"/>
        </w:rPr>
        <w:t xml:space="preserve">Finally, we have </w:t>
      </w:r>
      <w:proofErr w:type="gramStart"/>
      <w:r w:rsidRPr="00B439A3">
        <w:rPr>
          <w:lang w:val="en-AU" w:eastAsia="ja-JP"/>
        </w:rPr>
        <w:t>consider</w:t>
      </w:r>
      <w:proofErr w:type="gramEnd"/>
      <w:r w:rsidRPr="00B439A3">
        <w:rPr>
          <w:lang w:val="en-AU" w:eastAsia="ja-JP"/>
        </w:rPr>
        <w:t xml:space="preserve"> what drivers, other than strictly maximising frequency reuse might be important when considering communication for air traffic management in a global context.</w:t>
      </w:r>
    </w:p>
    <w:p w14:paraId="151F4E2A" w14:textId="77777777" w:rsidR="00C24716" w:rsidRDefault="00C24716">
      <w:pPr>
        <w:jc w:val="left"/>
        <w:rPr>
          <w:b/>
          <w:lang w:val="en-US"/>
        </w:rPr>
      </w:pPr>
      <w:r>
        <w:rPr>
          <w:lang w:val="en-US"/>
        </w:rPr>
        <w:br w:type="page"/>
      </w:r>
    </w:p>
    <w:p w14:paraId="1A7CA522" w14:textId="616FB27D" w:rsidR="00B439A3" w:rsidRDefault="00B439A3">
      <w:pPr>
        <w:pStyle w:val="1Heading"/>
        <w:rPr>
          <w:lang w:val="en-US"/>
        </w:rPr>
      </w:pPr>
      <w:r>
        <w:rPr>
          <w:lang w:val="en-US"/>
        </w:rPr>
        <w:lastRenderedPageBreak/>
        <w:t>BACKGROUND</w:t>
      </w:r>
    </w:p>
    <w:p w14:paraId="15D35F37" w14:textId="5E89E6EE" w:rsidR="00B439A3" w:rsidRPr="00B439A3" w:rsidRDefault="00B439A3" w:rsidP="00B439A3">
      <w:pPr>
        <w:pStyle w:val="2para"/>
        <w:rPr>
          <w:lang w:val="en-AU"/>
        </w:rPr>
      </w:pPr>
      <w:r w:rsidRPr="00B439A3">
        <w:rPr>
          <w:lang w:val="en-AU"/>
        </w:rPr>
        <w:t>The efficient and effective employment of resources is important to provide fit for purpose and affordable air navigation services</w:t>
      </w:r>
      <w:r>
        <w:rPr>
          <w:lang w:val="en-AU"/>
        </w:rPr>
        <w:t xml:space="preserve"> around the globe</w:t>
      </w:r>
      <w:r w:rsidRPr="00B439A3">
        <w:rPr>
          <w:lang w:val="en-AU"/>
        </w:rPr>
        <w:t>.  This paper builds on an earlier analysis of the efficiency of terrestrial versus space-based VHF communication infrastructure.</w:t>
      </w:r>
      <w:r>
        <w:rPr>
          <w:lang w:val="en-AU"/>
        </w:rPr>
        <w:t xml:space="preserve">  </w:t>
      </w:r>
      <w:r w:rsidRPr="00B439A3">
        <w:rPr>
          <w:lang w:val="en-AU"/>
        </w:rPr>
        <w:t xml:space="preserve">The paper PT-SBV1-WP11 (FSMP-WG19-Flimsy05) of Jul-2024 provided a comparison of the spectrum efficiency (service vs denied areas) of several VHF services.  It also assessed the channel allocation difficulties experienced in </w:t>
      </w:r>
      <w:r>
        <w:rPr>
          <w:lang w:val="en-AU"/>
        </w:rPr>
        <w:t>W</w:t>
      </w:r>
      <w:r w:rsidRPr="00B439A3">
        <w:rPr>
          <w:lang w:val="en-AU"/>
        </w:rPr>
        <w:t>estern Europe with current airspace designs.  In this paper we adjust the space-based service area to a scale that is more representative of the scale of employment envisaged.</w:t>
      </w:r>
    </w:p>
    <w:p w14:paraId="0516AA2C" w14:textId="72CD7A68" w:rsidR="00B439A3" w:rsidRPr="005324A3" w:rsidRDefault="00B439A3" w:rsidP="005324A3">
      <w:pPr>
        <w:pStyle w:val="2para"/>
        <w:rPr>
          <w:lang w:val="en-AU"/>
        </w:rPr>
      </w:pPr>
      <w:r w:rsidRPr="00B439A3">
        <w:rPr>
          <w:lang w:val="en-AU"/>
        </w:rPr>
        <w:t xml:space="preserve">Considering the ratio of service area or volume against the interference area or volume provides a broad indication of the efficiency of spectrum use for VHF in various service contexts.  The analysis in this paper uses a curved Earth to find the radio </w:t>
      </w:r>
      <w:proofErr w:type="gramStart"/>
      <w:r w:rsidRPr="00B439A3">
        <w:rPr>
          <w:lang w:val="en-AU"/>
        </w:rPr>
        <w:t>horizon, but</w:t>
      </w:r>
      <w:proofErr w:type="gramEnd"/>
      <w:r w:rsidRPr="00B439A3">
        <w:rPr>
          <w:lang w:val="en-AU"/>
        </w:rPr>
        <w:t xml:space="preserve"> then uses a flat Earth to calculate areas and volumes.  In addition, the analysis has </w:t>
      </w:r>
      <w:proofErr w:type="gramStart"/>
      <w:r w:rsidRPr="00B439A3">
        <w:rPr>
          <w:lang w:val="en-AU"/>
        </w:rPr>
        <w:t>a number of</w:t>
      </w:r>
      <w:proofErr w:type="gramEnd"/>
      <w:r w:rsidRPr="00B439A3">
        <w:rPr>
          <w:lang w:val="en-AU"/>
        </w:rPr>
        <w:t xml:space="preserve"> other simplifying assumptions, such as ignoring the packing strategy for frequency reuse, which are not important when the goal is to gain a broad insight into the spatial reuse efficiency of </w:t>
      </w:r>
      <w:r w:rsidR="005324A3">
        <w:rPr>
          <w:lang w:val="en-AU"/>
        </w:rPr>
        <w:t xml:space="preserve">a </w:t>
      </w:r>
      <w:r w:rsidRPr="00B439A3">
        <w:rPr>
          <w:lang w:val="en-AU"/>
        </w:rPr>
        <w:t xml:space="preserve">VHF service in terrestrial and space-based contexts.  </w:t>
      </w:r>
    </w:p>
    <w:p w14:paraId="0BDADCAD" w14:textId="6AA973BC" w:rsidR="005324A3" w:rsidRDefault="005324A3">
      <w:pPr>
        <w:pStyle w:val="1Heading"/>
        <w:rPr>
          <w:lang w:val="en-US"/>
        </w:rPr>
      </w:pPr>
      <w:r>
        <w:rPr>
          <w:lang w:val="en-US"/>
        </w:rPr>
        <w:t>SERVICE AND INTERFERENCE RATIO’S</w:t>
      </w:r>
    </w:p>
    <w:p w14:paraId="3A13D83E" w14:textId="7FAF719B" w:rsidR="005324A3" w:rsidRDefault="005324A3" w:rsidP="005324A3">
      <w:pPr>
        <w:pStyle w:val="2para"/>
        <w:rPr>
          <w:lang w:val="en-US"/>
        </w:rPr>
      </w:pPr>
      <w:r>
        <w:rPr>
          <w:lang w:val="en-US"/>
        </w:rPr>
        <w:t xml:space="preserve">Using data from PT-SBV1-WP11 (FSMP-WG-19-Flimsy05) of Jul-2024 we calculate the ratio of coverage to denied areas for the Tower and ACC applications.  This is followed by </w:t>
      </w:r>
      <w:proofErr w:type="gramStart"/>
      <w:r>
        <w:rPr>
          <w:lang w:val="en-US"/>
        </w:rPr>
        <w:t>an</w:t>
      </w:r>
      <w:proofErr w:type="gramEnd"/>
      <w:r>
        <w:rPr>
          <w:lang w:val="en-US"/>
        </w:rPr>
        <w:t xml:space="preserve"> similar calculation for remote area or oceanic space-based VHF applications.</w:t>
      </w:r>
    </w:p>
    <w:p w14:paraId="5AC6967B" w14:textId="77777777" w:rsidR="005324A3" w:rsidRPr="005324A3" w:rsidRDefault="005324A3" w:rsidP="005324A3">
      <w:pPr>
        <w:pStyle w:val="2para"/>
        <w:rPr>
          <w:lang w:val="en-AU"/>
        </w:rPr>
      </w:pPr>
      <w:r w:rsidRPr="005324A3">
        <w:rPr>
          <w:lang w:val="en-AU"/>
        </w:rPr>
        <w:t xml:space="preserve">For a Tower with a service radius (DOC) of 25 nautical miles, and aircraft ceiling of 4,000’ the radio horizon is given by 1.23 sqrt(h), or 77 nautical miles.  Thus, assuming a sum of radio horizons reuse limit is used, the tower transmitter has a DOC of 1963 square nautical miles and a frequency denial area of 19,011 square nautical miles.  For a </w:t>
      </w:r>
      <w:proofErr w:type="spellStart"/>
      <w:r w:rsidRPr="005324A3">
        <w:rPr>
          <w:lang w:val="en-AU"/>
        </w:rPr>
        <w:t>service:denial</w:t>
      </w:r>
      <w:proofErr w:type="spellEnd"/>
      <w:r w:rsidRPr="005324A3">
        <w:rPr>
          <w:lang w:val="en-AU"/>
        </w:rPr>
        <w:t xml:space="preserve"> ratio of 1:9.6 by area.</w:t>
      </w:r>
    </w:p>
    <w:p w14:paraId="6B33222C" w14:textId="7DFA28DC" w:rsidR="005324A3" w:rsidRPr="005324A3" w:rsidRDefault="005324A3" w:rsidP="005324A3">
      <w:pPr>
        <w:pStyle w:val="2para"/>
        <w:rPr>
          <w:lang w:val="en-AU"/>
        </w:rPr>
      </w:pPr>
      <w:r w:rsidRPr="005324A3">
        <w:rPr>
          <w:lang w:val="en-AU"/>
        </w:rPr>
        <w:t xml:space="preserve">If considering volume rather than area, and that isolation is against a DOC of the same 4,000’ ceiling, the ratio is 11.25 times worse, being the ratio between the DOC up to 4,000’ and the limit of controlled airspace of 45,000’.  </w:t>
      </w:r>
      <w:proofErr w:type="gramStart"/>
      <w:r w:rsidRPr="005324A3">
        <w:rPr>
          <w:lang w:val="en-AU"/>
        </w:rPr>
        <w:t>So</w:t>
      </w:r>
      <w:proofErr w:type="gramEnd"/>
      <w:r w:rsidRPr="005324A3">
        <w:rPr>
          <w:lang w:val="en-AU"/>
        </w:rPr>
        <w:t xml:space="preserve"> the </w:t>
      </w:r>
      <w:proofErr w:type="spellStart"/>
      <w:r w:rsidRPr="005324A3">
        <w:rPr>
          <w:lang w:val="en-AU"/>
        </w:rPr>
        <w:t>service:denial</w:t>
      </w:r>
      <w:proofErr w:type="spellEnd"/>
      <w:r w:rsidRPr="005324A3">
        <w:rPr>
          <w:lang w:val="en-AU"/>
        </w:rPr>
        <w:t xml:space="preserve"> ratio by volume is 1:108.  </w:t>
      </w:r>
    </w:p>
    <w:p w14:paraId="1F085AF8" w14:textId="7AA6459C" w:rsidR="005324A3" w:rsidRPr="005324A3" w:rsidRDefault="005324A3" w:rsidP="005324A3">
      <w:pPr>
        <w:pStyle w:val="2para"/>
        <w:rPr>
          <w:lang w:val="en-AU"/>
        </w:rPr>
      </w:pPr>
      <w:r w:rsidRPr="005324A3">
        <w:rPr>
          <w:lang w:val="en-AU"/>
        </w:rPr>
        <w:t xml:space="preserve">Now considering ACC with a DOC radius of 50 nautical miles, and ceiling of 45,000’.  The radio horizon to 45,000’ is 260 nautical miles for a denial area of 213,881 square nautical miles, against a DOC of area 7,853 square nautical miles.  This gives a </w:t>
      </w:r>
      <w:proofErr w:type="spellStart"/>
      <w:r w:rsidRPr="005324A3">
        <w:rPr>
          <w:lang w:val="en-AU"/>
        </w:rPr>
        <w:t>service:denial</w:t>
      </w:r>
      <w:proofErr w:type="spellEnd"/>
      <w:r w:rsidRPr="005324A3">
        <w:rPr>
          <w:lang w:val="en-AU"/>
        </w:rPr>
        <w:t xml:space="preserve"> ratio of 1:27 by area.  Given the ceiling extends to the limit of controlled airspace the volume and area ratios remain the same, or if the airspace is divided into low and high regions then the reader could estimate the effect.</w:t>
      </w:r>
    </w:p>
    <w:p w14:paraId="1230F8A7" w14:textId="1B392A61" w:rsidR="005324A3" w:rsidRPr="005324A3" w:rsidRDefault="005324A3" w:rsidP="005324A3">
      <w:pPr>
        <w:pStyle w:val="2para"/>
        <w:rPr>
          <w:lang w:val="en-AU"/>
        </w:rPr>
      </w:pPr>
      <w:r w:rsidRPr="005324A3">
        <w:rPr>
          <w:lang w:val="en-AU"/>
        </w:rPr>
        <w:t>Now consider</w:t>
      </w:r>
      <w:r>
        <w:rPr>
          <w:lang w:val="en-AU"/>
        </w:rPr>
        <w:t>in</w:t>
      </w:r>
      <w:r w:rsidR="00C24716">
        <w:rPr>
          <w:lang w:val="en-AU"/>
        </w:rPr>
        <w:t>g</w:t>
      </w:r>
      <w:r w:rsidRPr="005324A3">
        <w:rPr>
          <w:lang w:val="en-AU"/>
        </w:rPr>
        <w:t xml:space="preserve"> space-based VHF</w:t>
      </w:r>
      <w:r>
        <w:rPr>
          <w:lang w:val="en-AU"/>
        </w:rPr>
        <w:t xml:space="preserve">, which </w:t>
      </w:r>
      <w:r w:rsidRPr="005324A3">
        <w:rPr>
          <w:lang w:val="en-AU"/>
        </w:rPr>
        <w:t>is intended for remote and oceanic areas where the current airspace boundaries are very large.  Example areas of existing FIR’s or smaller airspace which might be served by space-based VHF include:</w:t>
      </w:r>
    </w:p>
    <w:p w14:paraId="7BBFD776" w14:textId="77777777" w:rsidR="005324A3" w:rsidRPr="005324A3" w:rsidRDefault="005324A3" w:rsidP="005324A3">
      <w:pPr>
        <w:pStyle w:val="3para"/>
        <w:rPr>
          <w:lang w:val="en-AU"/>
        </w:rPr>
      </w:pPr>
      <w:r w:rsidRPr="005324A3">
        <w:rPr>
          <w:lang w:val="en-AU"/>
        </w:rPr>
        <w:t xml:space="preserve">YHFASOUTH in Australia with an area of 6.49 million square </w:t>
      </w:r>
      <w:proofErr w:type="spellStart"/>
      <w:r w:rsidRPr="005324A3">
        <w:rPr>
          <w:lang w:val="en-AU"/>
        </w:rPr>
        <w:t>kilometers</w:t>
      </w:r>
      <w:proofErr w:type="spellEnd"/>
      <w:r w:rsidRPr="005324A3">
        <w:rPr>
          <w:lang w:val="en-AU"/>
        </w:rPr>
        <w:t xml:space="preserve">, encompassing substantial parts of the Indian and Southern Oceans to the south and west of Australia.  This is a subset of Melbourne FIR which has total extent of 41.2 million square </w:t>
      </w:r>
      <w:proofErr w:type="spellStart"/>
      <w:r w:rsidRPr="005324A3">
        <w:rPr>
          <w:lang w:val="en-AU"/>
        </w:rPr>
        <w:t>kilometers</w:t>
      </w:r>
      <w:proofErr w:type="spellEnd"/>
      <w:r w:rsidRPr="005324A3">
        <w:rPr>
          <w:lang w:val="en-AU"/>
        </w:rPr>
        <w:t>.</w:t>
      </w:r>
    </w:p>
    <w:p w14:paraId="09B9BDEF" w14:textId="77777777" w:rsidR="005324A3" w:rsidRPr="005324A3" w:rsidRDefault="005324A3" w:rsidP="005324A3">
      <w:pPr>
        <w:pStyle w:val="3para"/>
        <w:rPr>
          <w:lang w:val="en-AU"/>
        </w:rPr>
      </w:pPr>
      <w:r w:rsidRPr="005324A3">
        <w:rPr>
          <w:lang w:val="en-AU"/>
        </w:rPr>
        <w:t xml:space="preserve">YHFASP-6 also in Australia that covers the area off the Australian Eastern seaboard beyond the airspace served by land-based VHF and out to the transition to New Zealand or Fiji controlled airspace.  </w:t>
      </w:r>
      <w:r w:rsidRPr="005324A3">
        <w:rPr>
          <w:lang w:val="en-AU"/>
        </w:rPr>
        <w:lastRenderedPageBreak/>
        <w:t xml:space="preserve">YHFASP has an area of 2.28 million square </w:t>
      </w:r>
      <w:proofErr w:type="spellStart"/>
      <w:proofErr w:type="gramStart"/>
      <w:r w:rsidRPr="005324A3">
        <w:rPr>
          <w:lang w:val="en-AU"/>
        </w:rPr>
        <w:t>kilometers</w:t>
      </w:r>
      <w:proofErr w:type="spellEnd"/>
      <w:r w:rsidRPr="005324A3">
        <w:rPr>
          <w:lang w:val="en-AU"/>
        </w:rPr>
        <w:t>, and</w:t>
      </w:r>
      <w:proofErr w:type="gramEnd"/>
      <w:r w:rsidRPr="005324A3">
        <w:rPr>
          <w:lang w:val="en-AU"/>
        </w:rPr>
        <w:t xml:space="preserve"> is a subset of Brisbane FIR which has an area of 9.7 million square </w:t>
      </w:r>
      <w:proofErr w:type="spellStart"/>
      <w:r w:rsidRPr="005324A3">
        <w:rPr>
          <w:lang w:val="en-AU"/>
        </w:rPr>
        <w:t>kilometers</w:t>
      </w:r>
      <w:proofErr w:type="spellEnd"/>
      <w:r w:rsidRPr="005324A3">
        <w:rPr>
          <w:lang w:val="en-AU"/>
        </w:rPr>
        <w:t>.</w:t>
      </w:r>
    </w:p>
    <w:p w14:paraId="35B83B3D" w14:textId="77777777" w:rsidR="005324A3" w:rsidRPr="005324A3" w:rsidRDefault="005324A3" w:rsidP="005324A3">
      <w:pPr>
        <w:pStyle w:val="3para"/>
        <w:rPr>
          <w:lang w:val="en-AU"/>
        </w:rPr>
      </w:pPr>
      <w:r w:rsidRPr="005324A3">
        <w:rPr>
          <w:lang w:val="en-AU"/>
        </w:rPr>
        <w:t xml:space="preserve">Gander Oceanic FIR is 3.86 million square </w:t>
      </w:r>
      <w:proofErr w:type="spellStart"/>
      <w:r w:rsidRPr="005324A3">
        <w:rPr>
          <w:lang w:val="en-AU"/>
        </w:rPr>
        <w:t>kilometers</w:t>
      </w:r>
      <w:proofErr w:type="spellEnd"/>
      <w:r w:rsidRPr="005324A3">
        <w:rPr>
          <w:lang w:val="en-AU"/>
        </w:rPr>
        <w:t>.</w:t>
      </w:r>
    </w:p>
    <w:p w14:paraId="77C55C96" w14:textId="77777777" w:rsidR="005324A3" w:rsidRPr="005324A3" w:rsidRDefault="005324A3" w:rsidP="005324A3">
      <w:pPr>
        <w:pStyle w:val="3para"/>
        <w:rPr>
          <w:lang w:val="en-AU"/>
        </w:rPr>
      </w:pPr>
      <w:proofErr w:type="spellStart"/>
      <w:r w:rsidRPr="005324A3">
        <w:rPr>
          <w:lang w:val="en-AU"/>
        </w:rPr>
        <w:t>Shanwick</w:t>
      </w:r>
      <w:proofErr w:type="spellEnd"/>
      <w:r w:rsidRPr="005324A3">
        <w:rPr>
          <w:lang w:val="en-AU"/>
        </w:rPr>
        <w:t xml:space="preserve"> Oceanic FIR is 2.33 million square </w:t>
      </w:r>
      <w:proofErr w:type="spellStart"/>
      <w:r w:rsidRPr="005324A3">
        <w:rPr>
          <w:lang w:val="en-AU"/>
        </w:rPr>
        <w:t>kilometers</w:t>
      </w:r>
      <w:proofErr w:type="spellEnd"/>
      <w:r w:rsidRPr="005324A3">
        <w:rPr>
          <w:lang w:val="en-AU"/>
        </w:rPr>
        <w:t>.</w:t>
      </w:r>
    </w:p>
    <w:p w14:paraId="697DE6FE" w14:textId="77777777" w:rsidR="005324A3" w:rsidRPr="005324A3" w:rsidRDefault="005324A3" w:rsidP="005324A3">
      <w:pPr>
        <w:pStyle w:val="3para"/>
        <w:rPr>
          <w:lang w:val="en-AU"/>
        </w:rPr>
      </w:pPr>
      <w:r w:rsidRPr="005324A3">
        <w:rPr>
          <w:lang w:val="en-AU"/>
        </w:rPr>
        <w:t xml:space="preserve">Tahiti FIR is of total area 13.7 million square </w:t>
      </w:r>
      <w:proofErr w:type="spellStart"/>
      <w:r w:rsidRPr="005324A3">
        <w:rPr>
          <w:lang w:val="en-AU"/>
        </w:rPr>
        <w:t>kilometers</w:t>
      </w:r>
      <w:proofErr w:type="spellEnd"/>
      <w:r w:rsidRPr="005324A3">
        <w:rPr>
          <w:lang w:val="en-AU"/>
        </w:rPr>
        <w:t>.</w:t>
      </w:r>
    </w:p>
    <w:p w14:paraId="1E138BE5" w14:textId="77777777" w:rsidR="005324A3" w:rsidRPr="005324A3" w:rsidRDefault="005324A3" w:rsidP="005324A3">
      <w:pPr>
        <w:pStyle w:val="3para"/>
        <w:rPr>
          <w:lang w:val="en-AU"/>
        </w:rPr>
      </w:pPr>
      <w:r w:rsidRPr="005324A3">
        <w:rPr>
          <w:lang w:val="en-AU"/>
        </w:rPr>
        <w:t xml:space="preserve">Oakland Oceanic West FIR is 46.7 million square </w:t>
      </w:r>
      <w:proofErr w:type="spellStart"/>
      <w:r w:rsidRPr="005324A3">
        <w:rPr>
          <w:lang w:val="en-AU"/>
        </w:rPr>
        <w:t>kilometers</w:t>
      </w:r>
      <w:proofErr w:type="spellEnd"/>
      <w:r w:rsidRPr="005324A3">
        <w:rPr>
          <w:lang w:val="en-AU"/>
        </w:rPr>
        <w:t>, noting that this FIR represents around 11% of the Earth’s surface area, taking in the majority of the North Pacific Ocean.</w:t>
      </w:r>
    </w:p>
    <w:p w14:paraId="3A0B77C7" w14:textId="72C65319" w:rsidR="005324A3" w:rsidRPr="005324A3" w:rsidRDefault="005324A3" w:rsidP="005324A3">
      <w:pPr>
        <w:pStyle w:val="2para"/>
        <w:rPr>
          <w:lang w:val="en-AU"/>
        </w:rPr>
      </w:pPr>
      <w:r w:rsidRPr="005324A3">
        <w:rPr>
          <w:lang w:val="en-AU"/>
        </w:rPr>
        <w:t>We consider a satellite at 800km, which is the highest altitude currently filed for AMS(R)S VHF.  Such a satellite has a radio horizon of approximately 3,300km, and would typically serve a DOC of around 1,500 km x 1,500 km (810 x 810 nautical miles).</w:t>
      </w:r>
    </w:p>
    <w:p w14:paraId="238E02A9" w14:textId="303731D8" w:rsidR="005324A3" w:rsidRPr="005324A3" w:rsidRDefault="005324A3" w:rsidP="005324A3">
      <w:pPr>
        <w:pStyle w:val="2para"/>
        <w:rPr>
          <w:lang w:val="en-AU"/>
        </w:rPr>
      </w:pPr>
      <w:r w:rsidRPr="005324A3">
        <w:rPr>
          <w:lang w:val="en-AU"/>
        </w:rPr>
        <w:t xml:space="preserve">The interference area with a 3,300km arc is 34,211,943 square </w:t>
      </w:r>
      <w:proofErr w:type="spellStart"/>
      <w:r w:rsidRPr="005324A3">
        <w:rPr>
          <w:lang w:val="en-AU"/>
        </w:rPr>
        <w:t>kilometers</w:t>
      </w:r>
      <w:proofErr w:type="spellEnd"/>
      <w:r w:rsidRPr="005324A3">
        <w:rPr>
          <w:lang w:val="en-AU"/>
        </w:rPr>
        <w:t xml:space="preserve">.  The DOC of 1,500km x 1,5000km has an area of 2,250,000 square </w:t>
      </w:r>
      <w:proofErr w:type="spellStart"/>
      <w:r w:rsidRPr="005324A3">
        <w:rPr>
          <w:lang w:val="en-AU"/>
        </w:rPr>
        <w:t>kilometers</w:t>
      </w:r>
      <w:proofErr w:type="spellEnd"/>
      <w:r w:rsidRPr="005324A3">
        <w:rPr>
          <w:lang w:val="en-AU"/>
        </w:rPr>
        <w:t xml:space="preserve">.  The </w:t>
      </w:r>
      <w:proofErr w:type="spellStart"/>
      <w:r w:rsidRPr="005324A3">
        <w:rPr>
          <w:lang w:val="en-AU"/>
        </w:rPr>
        <w:t>service:denial</w:t>
      </w:r>
      <w:proofErr w:type="spellEnd"/>
      <w:r w:rsidRPr="005324A3">
        <w:rPr>
          <w:lang w:val="en-AU"/>
        </w:rPr>
        <w:t xml:space="preserve"> ratio is 1:15.2, and assuming, </w:t>
      </w:r>
      <w:r w:rsidR="00C24716">
        <w:rPr>
          <w:lang w:val="en-AU"/>
        </w:rPr>
        <w:t>as for</w:t>
      </w:r>
      <w:r w:rsidRPr="005324A3">
        <w:rPr>
          <w:lang w:val="en-AU"/>
        </w:rPr>
        <w:t xml:space="preserve"> ACC</w:t>
      </w:r>
      <w:r w:rsidR="00C24716">
        <w:rPr>
          <w:lang w:val="en-AU"/>
        </w:rPr>
        <w:t>,</w:t>
      </w:r>
      <w:r w:rsidRPr="005324A3">
        <w:rPr>
          <w:lang w:val="en-AU"/>
        </w:rPr>
        <w:t xml:space="preserve"> that this is from the ground to 45,000’ the ratio of volumes is the same.</w:t>
      </w:r>
    </w:p>
    <w:p w14:paraId="1A08DD0C" w14:textId="2E0B2461" w:rsidR="005324A3" w:rsidRPr="005324A3" w:rsidRDefault="005324A3" w:rsidP="005324A3">
      <w:pPr>
        <w:pStyle w:val="2para"/>
        <w:rPr>
          <w:lang w:val="en-AU"/>
        </w:rPr>
      </w:pPr>
      <w:r w:rsidRPr="005324A3">
        <w:rPr>
          <w:lang w:val="en-AU"/>
        </w:rPr>
        <w:t xml:space="preserve">For some FIRs a single space-based VHF station might be able to serve the entire airspace, in others traffic density may require multiple </w:t>
      </w:r>
      <w:r>
        <w:rPr>
          <w:lang w:val="en-AU"/>
        </w:rPr>
        <w:t xml:space="preserve">smaller </w:t>
      </w:r>
      <w:r w:rsidRPr="005324A3">
        <w:rPr>
          <w:lang w:val="en-AU"/>
        </w:rPr>
        <w:t>sectors each with their own frequency, and in others the physical area of the FIR is so vast that multiple space-based transceivers are required.  This is a similar situation to terrestrial airspace and frequency planning.</w:t>
      </w:r>
    </w:p>
    <w:p w14:paraId="75E525DA" w14:textId="0ABD5E64" w:rsidR="005324A3" w:rsidRDefault="005324A3" w:rsidP="005324A3">
      <w:pPr>
        <w:pStyle w:val="2para"/>
        <w:rPr>
          <w:lang w:val="en-AU"/>
        </w:rPr>
      </w:pPr>
      <w:r w:rsidRPr="005324A3">
        <w:rPr>
          <w:lang w:val="en-AU"/>
        </w:rPr>
        <w:t>The parameters and spectrum use efficiency are summarised in the table below:</w:t>
      </w:r>
    </w:p>
    <w:p w14:paraId="744224F6" w14:textId="1F955778" w:rsidR="005324A3" w:rsidRPr="005324A3" w:rsidRDefault="005324A3" w:rsidP="00091048">
      <w:pPr>
        <w:pStyle w:val="2para"/>
        <w:numPr>
          <w:ilvl w:val="0"/>
          <w:numId w:val="0"/>
        </w:numPr>
        <w:jc w:val="center"/>
        <w:rPr>
          <w:lang w:val="en-AU"/>
        </w:rPr>
      </w:pPr>
      <w:r>
        <w:rPr>
          <w:lang w:val="en-AU"/>
        </w:rPr>
        <w:t xml:space="preserve">Table </w:t>
      </w:r>
      <w:proofErr w:type="gramStart"/>
      <w:r>
        <w:rPr>
          <w:lang w:val="en-AU"/>
        </w:rPr>
        <w:t>1</w:t>
      </w:r>
      <w:r w:rsidR="00091048">
        <w:rPr>
          <w:lang w:val="en-AU"/>
        </w:rPr>
        <w:t xml:space="preserve">  Summary</w:t>
      </w:r>
      <w:proofErr w:type="gramEnd"/>
      <w:r w:rsidR="00091048">
        <w:rPr>
          <w:lang w:val="en-AU"/>
        </w:rPr>
        <w:t xml:space="preserve"> of Modelling Results for Frequency Reuse</w:t>
      </w:r>
    </w:p>
    <w:tbl>
      <w:tblPr>
        <w:tblStyle w:val="TableGrid"/>
        <w:tblW w:w="0" w:type="auto"/>
        <w:tblLook w:val="04A0" w:firstRow="1" w:lastRow="0" w:firstColumn="1" w:lastColumn="0" w:noHBand="0" w:noVBand="1"/>
      </w:tblPr>
      <w:tblGrid>
        <w:gridCol w:w="1501"/>
        <w:gridCol w:w="1501"/>
        <w:gridCol w:w="1502"/>
        <w:gridCol w:w="1502"/>
        <w:gridCol w:w="1502"/>
        <w:gridCol w:w="1502"/>
      </w:tblGrid>
      <w:tr w:rsidR="005324A3" w:rsidRPr="005324A3" w14:paraId="2C91CD3D" w14:textId="77777777" w:rsidTr="00B65B37">
        <w:tc>
          <w:tcPr>
            <w:tcW w:w="1501" w:type="dxa"/>
          </w:tcPr>
          <w:p w14:paraId="72EA0431" w14:textId="77777777" w:rsidR="005324A3" w:rsidRPr="005324A3" w:rsidRDefault="005324A3" w:rsidP="005324A3">
            <w:pPr>
              <w:pStyle w:val="2para"/>
              <w:numPr>
                <w:ilvl w:val="0"/>
                <w:numId w:val="0"/>
              </w:numPr>
              <w:rPr>
                <w:lang w:val="en-AU"/>
              </w:rPr>
            </w:pPr>
            <w:r w:rsidRPr="005324A3">
              <w:rPr>
                <w:lang w:val="en-AU"/>
              </w:rPr>
              <w:t>Application</w:t>
            </w:r>
          </w:p>
        </w:tc>
        <w:tc>
          <w:tcPr>
            <w:tcW w:w="1501" w:type="dxa"/>
          </w:tcPr>
          <w:p w14:paraId="16AFD080" w14:textId="361517E3" w:rsidR="005324A3" w:rsidRPr="005324A3" w:rsidRDefault="005324A3" w:rsidP="005324A3">
            <w:pPr>
              <w:pStyle w:val="2para"/>
              <w:numPr>
                <w:ilvl w:val="0"/>
                <w:numId w:val="0"/>
              </w:numPr>
              <w:rPr>
                <w:lang w:val="en-AU"/>
              </w:rPr>
            </w:pPr>
            <w:r>
              <w:rPr>
                <w:lang w:val="en-AU"/>
              </w:rPr>
              <w:t>S</w:t>
            </w:r>
            <w:r w:rsidRPr="005324A3">
              <w:rPr>
                <w:lang w:val="en-AU"/>
              </w:rPr>
              <w:t>ervice ceiling</w:t>
            </w:r>
          </w:p>
        </w:tc>
        <w:tc>
          <w:tcPr>
            <w:tcW w:w="1502" w:type="dxa"/>
          </w:tcPr>
          <w:p w14:paraId="01BB27F9" w14:textId="3BFC8464" w:rsidR="005324A3" w:rsidRPr="005324A3" w:rsidRDefault="005324A3" w:rsidP="005324A3">
            <w:pPr>
              <w:pStyle w:val="2para"/>
              <w:numPr>
                <w:ilvl w:val="0"/>
                <w:numId w:val="0"/>
              </w:numPr>
              <w:rPr>
                <w:lang w:val="en-AU"/>
              </w:rPr>
            </w:pPr>
            <w:r>
              <w:rPr>
                <w:lang w:val="en-AU"/>
              </w:rPr>
              <w:t>S</w:t>
            </w:r>
            <w:r w:rsidRPr="005324A3">
              <w:rPr>
                <w:lang w:val="en-AU"/>
              </w:rPr>
              <w:t>ervice area</w:t>
            </w:r>
            <w:r w:rsidR="00C24716">
              <w:rPr>
                <w:lang w:val="en-AU"/>
              </w:rPr>
              <w:t xml:space="preserve"> </w:t>
            </w:r>
            <w:r w:rsidRPr="005324A3">
              <w:rPr>
                <w:lang w:val="en-AU"/>
              </w:rPr>
              <w:t xml:space="preserve">(sq km) </w:t>
            </w:r>
          </w:p>
        </w:tc>
        <w:tc>
          <w:tcPr>
            <w:tcW w:w="1502" w:type="dxa"/>
          </w:tcPr>
          <w:p w14:paraId="03F935D5" w14:textId="09DDB609" w:rsidR="005324A3" w:rsidRPr="005324A3" w:rsidRDefault="005324A3" w:rsidP="005324A3">
            <w:pPr>
              <w:pStyle w:val="2para"/>
              <w:numPr>
                <w:ilvl w:val="0"/>
                <w:numId w:val="0"/>
              </w:numPr>
              <w:rPr>
                <w:lang w:val="en-AU"/>
              </w:rPr>
            </w:pPr>
            <w:r w:rsidRPr="005324A3">
              <w:rPr>
                <w:lang w:val="en-AU"/>
              </w:rPr>
              <w:t>Interference area (sq km)</w:t>
            </w:r>
          </w:p>
        </w:tc>
        <w:tc>
          <w:tcPr>
            <w:tcW w:w="1502" w:type="dxa"/>
          </w:tcPr>
          <w:p w14:paraId="0A92CC9B" w14:textId="77777777" w:rsidR="005324A3" w:rsidRPr="005324A3" w:rsidRDefault="005324A3" w:rsidP="005324A3">
            <w:pPr>
              <w:pStyle w:val="2para"/>
              <w:numPr>
                <w:ilvl w:val="0"/>
                <w:numId w:val="0"/>
              </w:numPr>
              <w:rPr>
                <w:lang w:val="en-AU"/>
              </w:rPr>
            </w:pPr>
            <w:r w:rsidRPr="005324A3">
              <w:rPr>
                <w:lang w:val="en-AU"/>
              </w:rPr>
              <w:t>Ratio by area</w:t>
            </w:r>
          </w:p>
        </w:tc>
        <w:tc>
          <w:tcPr>
            <w:tcW w:w="1502" w:type="dxa"/>
          </w:tcPr>
          <w:p w14:paraId="3CBFFE76" w14:textId="77777777" w:rsidR="005324A3" w:rsidRPr="005324A3" w:rsidRDefault="005324A3" w:rsidP="005324A3">
            <w:pPr>
              <w:pStyle w:val="2para"/>
              <w:numPr>
                <w:ilvl w:val="0"/>
                <w:numId w:val="0"/>
              </w:numPr>
              <w:rPr>
                <w:lang w:val="en-AU"/>
              </w:rPr>
            </w:pPr>
            <w:r w:rsidRPr="005324A3">
              <w:rPr>
                <w:lang w:val="en-AU"/>
              </w:rPr>
              <w:t>Ratio by Volume</w:t>
            </w:r>
          </w:p>
        </w:tc>
      </w:tr>
      <w:tr w:rsidR="005324A3" w:rsidRPr="005324A3" w14:paraId="367EF3A8" w14:textId="77777777" w:rsidTr="00B65B37">
        <w:tc>
          <w:tcPr>
            <w:tcW w:w="1501" w:type="dxa"/>
          </w:tcPr>
          <w:p w14:paraId="707B5DF8" w14:textId="77777777" w:rsidR="005324A3" w:rsidRPr="005324A3" w:rsidRDefault="005324A3" w:rsidP="005324A3">
            <w:pPr>
              <w:pStyle w:val="2para"/>
              <w:numPr>
                <w:ilvl w:val="0"/>
                <w:numId w:val="0"/>
              </w:numPr>
              <w:rPr>
                <w:lang w:val="en-AU"/>
              </w:rPr>
            </w:pPr>
            <w:r w:rsidRPr="005324A3">
              <w:rPr>
                <w:lang w:val="en-AU"/>
              </w:rPr>
              <w:t>Tower</w:t>
            </w:r>
          </w:p>
        </w:tc>
        <w:tc>
          <w:tcPr>
            <w:tcW w:w="1501" w:type="dxa"/>
          </w:tcPr>
          <w:p w14:paraId="47D0F7DE" w14:textId="77777777" w:rsidR="005324A3" w:rsidRPr="005324A3" w:rsidRDefault="005324A3" w:rsidP="005324A3">
            <w:pPr>
              <w:pStyle w:val="2para"/>
              <w:numPr>
                <w:ilvl w:val="0"/>
                <w:numId w:val="0"/>
              </w:numPr>
              <w:rPr>
                <w:lang w:val="en-AU"/>
              </w:rPr>
            </w:pPr>
            <w:r w:rsidRPr="005324A3">
              <w:rPr>
                <w:lang w:val="en-AU"/>
              </w:rPr>
              <w:t>4,000’</w:t>
            </w:r>
          </w:p>
        </w:tc>
        <w:tc>
          <w:tcPr>
            <w:tcW w:w="1502" w:type="dxa"/>
          </w:tcPr>
          <w:p w14:paraId="36C1D465" w14:textId="77777777" w:rsidR="005324A3" w:rsidRPr="005324A3" w:rsidRDefault="005324A3" w:rsidP="005324A3">
            <w:pPr>
              <w:pStyle w:val="2para"/>
              <w:numPr>
                <w:ilvl w:val="0"/>
                <w:numId w:val="0"/>
              </w:numPr>
              <w:rPr>
                <w:lang w:val="en-AU"/>
              </w:rPr>
            </w:pPr>
            <w:r w:rsidRPr="005324A3">
              <w:rPr>
                <w:lang w:val="en-AU"/>
              </w:rPr>
              <w:t>6,732</w:t>
            </w:r>
          </w:p>
        </w:tc>
        <w:tc>
          <w:tcPr>
            <w:tcW w:w="1502" w:type="dxa"/>
          </w:tcPr>
          <w:p w14:paraId="44FDEAE0" w14:textId="77777777" w:rsidR="005324A3" w:rsidRPr="005324A3" w:rsidRDefault="005324A3" w:rsidP="005324A3">
            <w:pPr>
              <w:pStyle w:val="2para"/>
              <w:numPr>
                <w:ilvl w:val="0"/>
                <w:numId w:val="0"/>
              </w:numPr>
              <w:rPr>
                <w:lang w:val="en-AU"/>
              </w:rPr>
            </w:pPr>
            <w:r w:rsidRPr="005324A3">
              <w:rPr>
                <w:lang w:val="en-AU"/>
              </w:rPr>
              <w:t>65,205</w:t>
            </w:r>
          </w:p>
        </w:tc>
        <w:tc>
          <w:tcPr>
            <w:tcW w:w="1502" w:type="dxa"/>
          </w:tcPr>
          <w:p w14:paraId="5C287874" w14:textId="77777777" w:rsidR="005324A3" w:rsidRPr="005324A3" w:rsidRDefault="005324A3" w:rsidP="005324A3">
            <w:pPr>
              <w:pStyle w:val="2para"/>
              <w:numPr>
                <w:ilvl w:val="0"/>
                <w:numId w:val="0"/>
              </w:numPr>
              <w:rPr>
                <w:lang w:val="en-AU"/>
              </w:rPr>
            </w:pPr>
            <w:r w:rsidRPr="005324A3">
              <w:rPr>
                <w:lang w:val="en-AU"/>
              </w:rPr>
              <w:t>1:9.6</w:t>
            </w:r>
          </w:p>
        </w:tc>
        <w:tc>
          <w:tcPr>
            <w:tcW w:w="1502" w:type="dxa"/>
          </w:tcPr>
          <w:p w14:paraId="17A1D542" w14:textId="77777777" w:rsidR="005324A3" w:rsidRPr="005324A3" w:rsidRDefault="005324A3" w:rsidP="005324A3">
            <w:pPr>
              <w:pStyle w:val="2para"/>
              <w:numPr>
                <w:ilvl w:val="0"/>
                <w:numId w:val="0"/>
              </w:numPr>
              <w:rPr>
                <w:lang w:val="en-AU"/>
              </w:rPr>
            </w:pPr>
            <w:r w:rsidRPr="005324A3">
              <w:rPr>
                <w:lang w:val="en-AU"/>
              </w:rPr>
              <w:t>1:108</w:t>
            </w:r>
          </w:p>
        </w:tc>
      </w:tr>
      <w:tr w:rsidR="005324A3" w:rsidRPr="005324A3" w14:paraId="796189BB" w14:textId="77777777" w:rsidTr="00B65B37">
        <w:tc>
          <w:tcPr>
            <w:tcW w:w="1501" w:type="dxa"/>
          </w:tcPr>
          <w:p w14:paraId="3F565417" w14:textId="77777777" w:rsidR="005324A3" w:rsidRPr="005324A3" w:rsidRDefault="005324A3" w:rsidP="005324A3">
            <w:pPr>
              <w:pStyle w:val="2para"/>
              <w:numPr>
                <w:ilvl w:val="0"/>
                <w:numId w:val="0"/>
              </w:numPr>
              <w:rPr>
                <w:lang w:val="en-AU"/>
              </w:rPr>
            </w:pPr>
            <w:r w:rsidRPr="005324A3">
              <w:rPr>
                <w:lang w:val="en-AU"/>
              </w:rPr>
              <w:t>ACC</w:t>
            </w:r>
          </w:p>
        </w:tc>
        <w:tc>
          <w:tcPr>
            <w:tcW w:w="1501" w:type="dxa"/>
          </w:tcPr>
          <w:p w14:paraId="6DE4CAF2" w14:textId="77777777" w:rsidR="005324A3" w:rsidRPr="005324A3" w:rsidRDefault="005324A3" w:rsidP="005324A3">
            <w:pPr>
              <w:pStyle w:val="2para"/>
              <w:numPr>
                <w:ilvl w:val="0"/>
                <w:numId w:val="0"/>
              </w:numPr>
              <w:rPr>
                <w:lang w:val="en-AU"/>
              </w:rPr>
            </w:pPr>
            <w:r w:rsidRPr="005324A3">
              <w:rPr>
                <w:lang w:val="en-AU"/>
              </w:rPr>
              <w:t>45,000’</w:t>
            </w:r>
          </w:p>
        </w:tc>
        <w:tc>
          <w:tcPr>
            <w:tcW w:w="1502" w:type="dxa"/>
          </w:tcPr>
          <w:p w14:paraId="7D4AA8E3" w14:textId="77777777" w:rsidR="005324A3" w:rsidRPr="005324A3" w:rsidRDefault="005324A3" w:rsidP="005324A3">
            <w:pPr>
              <w:pStyle w:val="2para"/>
              <w:numPr>
                <w:ilvl w:val="0"/>
                <w:numId w:val="0"/>
              </w:numPr>
              <w:rPr>
                <w:lang w:val="en-AU"/>
              </w:rPr>
            </w:pPr>
            <w:r w:rsidRPr="005324A3">
              <w:rPr>
                <w:lang w:val="en-AU"/>
              </w:rPr>
              <w:t>26,935</w:t>
            </w:r>
          </w:p>
        </w:tc>
        <w:tc>
          <w:tcPr>
            <w:tcW w:w="1502" w:type="dxa"/>
          </w:tcPr>
          <w:p w14:paraId="343DF9C9" w14:textId="77777777" w:rsidR="005324A3" w:rsidRPr="005324A3" w:rsidRDefault="005324A3" w:rsidP="005324A3">
            <w:pPr>
              <w:pStyle w:val="2para"/>
              <w:numPr>
                <w:ilvl w:val="0"/>
                <w:numId w:val="0"/>
              </w:numPr>
              <w:rPr>
                <w:lang w:val="en-AU"/>
              </w:rPr>
            </w:pPr>
            <w:r w:rsidRPr="005324A3">
              <w:rPr>
                <w:lang w:val="en-AU"/>
              </w:rPr>
              <w:t>733,591</w:t>
            </w:r>
          </w:p>
        </w:tc>
        <w:tc>
          <w:tcPr>
            <w:tcW w:w="1502" w:type="dxa"/>
          </w:tcPr>
          <w:p w14:paraId="48A46E75" w14:textId="77777777" w:rsidR="005324A3" w:rsidRPr="005324A3" w:rsidRDefault="005324A3" w:rsidP="005324A3">
            <w:pPr>
              <w:pStyle w:val="2para"/>
              <w:numPr>
                <w:ilvl w:val="0"/>
                <w:numId w:val="0"/>
              </w:numPr>
              <w:rPr>
                <w:lang w:val="en-AU"/>
              </w:rPr>
            </w:pPr>
            <w:r w:rsidRPr="005324A3">
              <w:rPr>
                <w:lang w:val="en-AU"/>
              </w:rPr>
              <w:t>1:27</w:t>
            </w:r>
          </w:p>
        </w:tc>
        <w:tc>
          <w:tcPr>
            <w:tcW w:w="1502" w:type="dxa"/>
          </w:tcPr>
          <w:p w14:paraId="672E618F" w14:textId="77777777" w:rsidR="005324A3" w:rsidRPr="005324A3" w:rsidRDefault="005324A3" w:rsidP="005324A3">
            <w:pPr>
              <w:pStyle w:val="2para"/>
              <w:numPr>
                <w:ilvl w:val="0"/>
                <w:numId w:val="0"/>
              </w:numPr>
              <w:rPr>
                <w:lang w:val="en-AU"/>
              </w:rPr>
            </w:pPr>
            <w:r w:rsidRPr="005324A3">
              <w:rPr>
                <w:lang w:val="en-AU"/>
              </w:rPr>
              <w:t>1:27</w:t>
            </w:r>
          </w:p>
        </w:tc>
      </w:tr>
      <w:tr w:rsidR="005324A3" w:rsidRPr="005324A3" w14:paraId="7FF4FCE6" w14:textId="77777777" w:rsidTr="00B65B37">
        <w:tc>
          <w:tcPr>
            <w:tcW w:w="1501" w:type="dxa"/>
          </w:tcPr>
          <w:p w14:paraId="2DEDC285" w14:textId="77777777" w:rsidR="005324A3" w:rsidRPr="005324A3" w:rsidRDefault="005324A3" w:rsidP="005324A3">
            <w:pPr>
              <w:pStyle w:val="2para"/>
              <w:numPr>
                <w:ilvl w:val="0"/>
                <w:numId w:val="0"/>
              </w:numPr>
              <w:rPr>
                <w:lang w:val="en-AU"/>
              </w:rPr>
            </w:pPr>
            <w:r w:rsidRPr="005324A3">
              <w:rPr>
                <w:lang w:val="en-AU"/>
              </w:rPr>
              <w:t>Space-based VHF</w:t>
            </w:r>
          </w:p>
        </w:tc>
        <w:tc>
          <w:tcPr>
            <w:tcW w:w="1501" w:type="dxa"/>
          </w:tcPr>
          <w:p w14:paraId="154C3E43" w14:textId="77777777" w:rsidR="005324A3" w:rsidRPr="005324A3" w:rsidRDefault="005324A3" w:rsidP="005324A3">
            <w:pPr>
              <w:pStyle w:val="2para"/>
              <w:numPr>
                <w:ilvl w:val="0"/>
                <w:numId w:val="0"/>
              </w:numPr>
              <w:rPr>
                <w:lang w:val="en-AU"/>
              </w:rPr>
            </w:pPr>
            <w:r w:rsidRPr="005324A3">
              <w:rPr>
                <w:lang w:val="en-AU"/>
              </w:rPr>
              <w:t>45,000’</w:t>
            </w:r>
          </w:p>
        </w:tc>
        <w:tc>
          <w:tcPr>
            <w:tcW w:w="1502" w:type="dxa"/>
          </w:tcPr>
          <w:p w14:paraId="28FD50EE" w14:textId="77777777" w:rsidR="005324A3" w:rsidRPr="005324A3" w:rsidRDefault="005324A3" w:rsidP="005324A3">
            <w:pPr>
              <w:pStyle w:val="2para"/>
              <w:numPr>
                <w:ilvl w:val="0"/>
                <w:numId w:val="0"/>
              </w:numPr>
              <w:rPr>
                <w:lang w:val="en-AU"/>
              </w:rPr>
            </w:pPr>
            <w:r w:rsidRPr="005324A3">
              <w:rPr>
                <w:lang w:val="en-AU"/>
              </w:rPr>
              <w:t>2,250,000</w:t>
            </w:r>
          </w:p>
        </w:tc>
        <w:tc>
          <w:tcPr>
            <w:tcW w:w="1502" w:type="dxa"/>
          </w:tcPr>
          <w:p w14:paraId="191683F8" w14:textId="77777777" w:rsidR="005324A3" w:rsidRPr="005324A3" w:rsidRDefault="005324A3" w:rsidP="005324A3">
            <w:pPr>
              <w:pStyle w:val="2para"/>
              <w:numPr>
                <w:ilvl w:val="0"/>
                <w:numId w:val="0"/>
              </w:numPr>
              <w:rPr>
                <w:lang w:val="en-AU"/>
              </w:rPr>
            </w:pPr>
            <w:r w:rsidRPr="005324A3">
              <w:rPr>
                <w:lang w:val="en-AU"/>
              </w:rPr>
              <w:t>34,211,941</w:t>
            </w:r>
          </w:p>
        </w:tc>
        <w:tc>
          <w:tcPr>
            <w:tcW w:w="1502" w:type="dxa"/>
          </w:tcPr>
          <w:p w14:paraId="0FD17BD7" w14:textId="77777777" w:rsidR="005324A3" w:rsidRPr="005324A3" w:rsidRDefault="005324A3" w:rsidP="005324A3">
            <w:pPr>
              <w:pStyle w:val="2para"/>
              <w:numPr>
                <w:ilvl w:val="0"/>
                <w:numId w:val="0"/>
              </w:numPr>
              <w:rPr>
                <w:lang w:val="en-AU"/>
              </w:rPr>
            </w:pPr>
            <w:r w:rsidRPr="005324A3">
              <w:rPr>
                <w:lang w:val="en-AU"/>
              </w:rPr>
              <w:t>1:15</w:t>
            </w:r>
          </w:p>
        </w:tc>
        <w:tc>
          <w:tcPr>
            <w:tcW w:w="1502" w:type="dxa"/>
          </w:tcPr>
          <w:p w14:paraId="7288AA2A" w14:textId="77777777" w:rsidR="005324A3" w:rsidRPr="005324A3" w:rsidRDefault="005324A3" w:rsidP="005324A3">
            <w:pPr>
              <w:pStyle w:val="2para"/>
              <w:numPr>
                <w:ilvl w:val="0"/>
                <w:numId w:val="0"/>
              </w:numPr>
              <w:rPr>
                <w:lang w:val="en-AU"/>
              </w:rPr>
            </w:pPr>
            <w:r w:rsidRPr="005324A3">
              <w:rPr>
                <w:lang w:val="en-AU"/>
              </w:rPr>
              <w:t>1:15</w:t>
            </w:r>
          </w:p>
        </w:tc>
      </w:tr>
    </w:tbl>
    <w:p w14:paraId="7496F644" w14:textId="77777777" w:rsidR="005324A3" w:rsidRPr="005324A3" w:rsidRDefault="005324A3" w:rsidP="005324A3">
      <w:pPr>
        <w:pStyle w:val="2para"/>
        <w:numPr>
          <w:ilvl w:val="0"/>
          <w:numId w:val="0"/>
        </w:numPr>
        <w:rPr>
          <w:lang w:val="en-AU"/>
        </w:rPr>
      </w:pPr>
    </w:p>
    <w:p w14:paraId="6C6B25D1" w14:textId="51E819AD" w:rsidR="005324A3" w:rsidRPr="005324A3" w:rsidRDefault="005324A3" w:rsidP="005324A3">
      <w:pPr>
        <w:pStyle w:val="2para"/>
        <w:rPr>
          <w:lang w:val="en-AU"/>
        </w:rPr>
      </w:pPr>
      <w:r w:rsidRPr="005324A3">
        <w:rPr>
          <w:lang w:val="en-AU"/>
        </w:rPr>
        <w:t xml:space="preserve">Using the simple ratio of served vs denied area or volume </w:t>
      </w:r>
      <w:proofErr w:type="gramStart"/>
      <w:r w:rsidRPr="005324A3">
        <w:rPr>
          <w:lang w:val="en-AU"/>
        </w:rPr>
        <w:t>it can be seen that space-based</w:t>
      </w:r>
      <w:proofErr w:type="gramEnd"/>
      <w:r w:rsidRPr="005324A3">
        <w:rPr>
          <w:lang w:val="en-AU"/>
        </w:rPr>
        <w:t xml:space="preserve"> VHF is not an outlier in spectrum use efficiency compared to existing aviation VHF use cases.</w:t>
      </w:r>
    </w:p>
    <w:p w14:paraId="5CAFE388" w14:textId="7A17AC9E" w:rsidR="00C24716" w:rsidRPr="00C24716" w:rsidRDefault="005324A3" w:rsidP="00C24716">
      <w:pPr>
        <w:pStyle w:val="2para"/>
        <w:rPr>
          <w:lang w:val="en-AU"/>
        </w:rPr>
      </w:pPr>
      <w:r w:rsidRPr="005324A3">
        <w:rPr>
          <w:lang w:val="en-AU"/>
        </w:rPr>
        <w:t xml:space="preserve">Not all airspace served by space-based VHF will </w:t>
      </w:r>
      <w:proofErr w:type="gramStart"/>
      <w:r w:rsidRPr="005324A3">
        <w:rPr>
          <w:lang w:val="en-AU"/>
        </w:rPr>
        <w:t>necessary</w:t>
      </w:r>
      <w:proofErr w:type="gramEnd"/>
      <w:r w:rsidRPr="005324A3">
        <w:rPr>
          <w:lang w:val="en-AU"/>
        </w:rPr>
        <w:t xml:space="preserve"> have a DOC of the size stated, but likewise the service area for each Tower or ACC is also sometimes constrained by topology, traffic density, airfield locations, national boundaries and the like.  The busy North Atlantic routes may require more than a single frequency per 2.25 million square </w:t>
      </w:r>
      <w:proofErr w:type="spellStart"/>
      <w:r w:rsidRPr="005324A3">
        <w:rPr>
          <w:lang w:val="en-AU"/>
        </w:rPr>
        <w:t>kilometers</w:t>
      </w:r>
      <w:proofErr w:type="spellEnd"/>
      <w:r w:rsidRPr="005324A3">
        <w:rPr>
          <w:lang w:val="en-AU"/>
        </w:rPr>
        <w:t xml:space="preserve">, but busy terrestrial areas also do not achieve the calculated </w:t>
      </w:r>
      <w:proofErr w:type="spellStart"/>
      <w:r w:rsidRPr="005324A3">
        <w:rPr>
          <w:lang w:val="en-AU"/>
        </w:rPr>
        <w:t>service:interference</w:t>
      </w:r>
      <w:proofErr w:type="spellEnd"/>
      <w:r w:rsidRPr="005324A3">
        <w:rPr>
          <w:lang w:val="en-AU"/>
        </w:rPr>
        <w:t xml:space="preserve"> ratios.</w:t>
      </w:r>
    </w:p>
    <w:p w14:paraId="57F1A4F4" w14:textId="3E04E41C" w:rsidR="005324A3" w:rsidRDefault="005324A3">
      <w:pPr>
        <w:pStyle w:val="1Heading"/>
        <w:rPr>
          <w:lang w:val="en-US"/>
        </w:rPr>
      </w:pPr>
      <w:r>
        <w:rPr>
          <w:lang w:val="en-US"/>
        </w:rPr>
        <w:lastRenderedPageBreak/>
        <w:t>OTHER MEASURES OF EFFICIENCY</w:t>
      </w:r>
    </w:p>
    <w:p w14:paraId="78E14C61" w14:textId="55CE3D5B" w:rsidR="005324A3" w:rsidRPr="005324A3" w:rsidRDefault="005324A3" w:rsidP="005324A3">
      <w:pPr>
        <w:pStyle w:val="2para"/>
        <w:rPr>
          <w:lang w:val="en-AU"/>
        </w:rPr>
      </w:pPr>
      <w:r w:rsidRPr="005324A3">
        <w:rPr>
          <w:lang w:val="en-AU"/>
        </w:rPr>
        <w:t xml:space="preserve">There are other measures of efficiency relevant to the provision of communication for Air Traffic Control.  These include the: cost of supporting infrastructure; airspace controlled per transceiver; and coverage at low level and to the ground where there are many dispersed airfields or where emergency support aircraft (air ambulance, </w:t>
      </w:r>
      <w:proofErr w:type="gramStart"/>
      <w:r w:rsidRPr="005324A3">
        <w:rPr>
          <w:lang w:val="en-AU"/>
        </w:rPr>
        <w:t>fire-fighting</w:t>
      </w:r>
      <w:proofErr w:type="gramEnd"/>
      <w:r w:rsidRPr="005324A3">
        <w:rPr>
          <w:lang w:val="en-AU"/>
        </w:rPr>
        <w:t>, poaching patrols) operate at low level or land outside of normal airfields.</w:t>
      </w:r>
    </w:p>
    <w:p w14:paraId="7A72A8DE" w14:textId="1DAA245C" w:rsidR="005324A3" w:rsidRPr="005324A3" w:rsidRDefault="005324A3" w:rsidP="005324A3">
      <w:pPr>
        <w:pStyle w:val="2para"/>
        <w:rPr>
          <w:lang w:val="en-AU"/>
        </w:rPr>
      </w:pPr>
      <w:r w:rsidRPr="005324A3">
        <w:rPr>
          <w:lang w:val="en-AU"/>
        </w:rPr>
        <w:t>Taking the area or airspace served per transceiver as an example, we now consider the number of stations required to cover a given area or volume.  Taking the nominal DOC for a single space-based station of 1,500 km x 1,500 km (810 x 810 nautical miles) gives an area of 656,100 square nautical miles.  The equivalent service area for the ACC case is 7,853 square nautical miles, and for the tower case is 1,963 square nautical miles.</w:t>
      </w:r>
    </w:p>
    <w:p w14:paraId="7C640A74" w14:textId="6403E997" w:rsidR="005324A3" w:rsidRPr="005324A3" w:rsidRDefault="005324A3" w:rsidP="005324A3">
      <w:pPr>
        <w:pStyle w:val="2para"/>
        <w:rPr>
          <w:lang w:val="en-AU"/>
        </w:rPr>
      </w:pPr>
      <w:r w:rsidRPr="005324A3">
        <w:rPr>
          <w:lang w:val="en-AU"/>
        </w:rPr>
        <w:t xml:space="preserve">Therefore, for a service area which a single space-based station would service, requires 83 stations in the ACC context and 334 stations in the tower context.  In addition, the service from terrestrial transceivers suffers from limited coverage at low altitudes.  </w:t>
      </w:r>
      <w:proofErr w:type="gramStart"/>
      <w:r w:rsidRPr="005324A3">
        <w:rPr>
          <w:lang w:val="en-AU"/>
        </w:rPr>
        <w:t>So</w:t>
      </w:r>
      <w:proofErr w:type="gramEnd"/>
      <w:r w:rsidRPr="005324A3">
        <w:rPr>
          <w:lang w:val="en-AU"/>
        </w:rPr>
        <w:t xml:space="preserve"> in low traffic density areas space-based stations may provide a pathway to more cost-effective delivery of services.  In addition, these services can be provided </w:t>
      </w:r>
      <w:proofErr w:type="gramStart"/>
      <w:r w:rsidRPr="005324A3">
        <w:rPr>
          <w:lang w:val="en-AU"/>
        </w:rPr>
        <w:t>in spite of</w:t>
      </w:r>
      <w:proofErr w:type="gramEnd"/>
      <w:r w:rsidRPr="005324A3">
        <w:rPr>
          <w:lang w:val="en-AU"/>
        </w:rPr>
        <w:t xml:space="preserve"> there being no land on which to site transmitters, no electricity to power transmitters, and no communication infrastructure to link the transmitter to the air traffic centre.  In addition, the space-based transmitter can provide uniform coverage almost to ground level, whereas the minimum service altitude grows with distance from a terrestrial transmitter.  This is especially helpful when population centres are widely scattered with limited infrastructure between them, such as archipelagic areas.</w:t>
      </w:r>
    </w:p>
    <w:p w14:paraId="29A86B67" w14:textId="06C2D77A" w:rsidR="005324A3" w:rsidRPr="005324A3" w:rsidRDefault="005324A3" w:rsidP="005324A3">
      <w:pPr>
        <w:pStyle w:val="2para"/>
        <w:rPr>
          <w:lang w:val="en-AU"/>
        </w:rPr>
      </w:pPr>
      <w:r w:rsidRPr="005324A3">
        <w:rPr>
          <w:lang w:val="en-AU"/>
        </w:rPr>
        <w:t xml:space="preserve">This discussion of alternate measures of efficiency is not intended to rebut or deny an analysis strictly based on </w:t>
      </w:r>
      <w:proofErr w:type="spellStart"/>
      <w:proofErr w:type="gramStart"/>
      <w:r w:rsidRPr="005324A3">
        <w:rPr>
          <w:lang w:val="en-AU"/>
        </w:rPr>
        <w:t>service:interference</w:t>
      </w:r>
      <w:proofErr w:type="spellEnd"/>
      <w:proofErr w:type="gramEnd"/>
      <w:r w:rsidRPr="005324A3">
        <w:rPr>
          <w:lang w:val="en-AU"/>
        </w:rPr>
        <w:t xml:space="preserve"> area or volume ratios, rather it is provided to add broader context to understanding the various problems faced around the globe, and that decisions should not be made solely on </w:t>
      </w:r>
      <w:proofErr w:type="spellStart"/>
      <w:r w:rsidRPr="005324A3">
        <w:rPr>
          <w:lang w:val="en-AU"/>
        </w:rPr>
        <w:t>service:interference</w:t>
      </w:r>
      <w:proofErr w:type="spellEnd"/>
      <w:r w:rsidRPr="005324A3">
        <w:rPr>
          <w:lang w:val="en-AU"/>
        </w:rPr>
        <w:t xml:space="preserve"> ratios </w:t>
      </w:r>
      <w:r>
        <w:rPr>
          <w:lang w:val="en-AU"/>
        </w:rPr>
        <w:t>or</w:t>
      </w:r>
      <w:r w:rsidRPr="005324A3">
        <w:rPr>
          <w:lang w:val="en-AU"/>
        </w:rPr>
        <w:t xml:space="preserve"> </w:t>
      </w:r>
      <w:r>
        <w:rPr>
          <w:lang w:val="en-AU"/>
        </w:rPr>
        <w:t xml:space="preserve">solely on </w:t>
      </w:r>
      <w:r w:rsidRPr="005324A3">
        <w:rPr>
          <w:lang w:val="en-AU"/>
        </w:rPr>
        <w:t>issues faced primarily in certain regions.</w:t>
      </w:r>
      <w:r>
        <w:rPr>
          <w:lang w:val="en-AU"/>
        </w:rPr>
        <w:t xml:space="preserve">  We need to find ways to accommodate the varying needs and constraints of differing regions.</w:t>
      </w:r>
    </w:p>
    <w:p w14:paraId="1DF19277" w14:textId="52051562" w:rsidR="005324A3" w:rsidRDefault="005324A3">
      <w:pPr>
        <w:pStyle w:val="1Heading"/>
        <w:rPr>
          <w:lang w:val="en-US"/>
        </w:rPr>
      </w:pPr>
      <w:r>
        <w:rPr>
          <w:lang w:val="en-US"/>
        </w:rPr>
        <w:t>CONCLUSION</w:t>
      </w:r>
    </w:p>
    <w:p w14:paraId="0D2DD413" w14:textId="77777777" w:rsidR="005324A3" w:rsidRPr="005324A3" w:rsidRDefault="005324A3" w:rsidP="005324A3">
      <w:pPr>
        <w:pStyle w:val="2para"/>
        <w:rPr>
          <w:lang w:val="en-AU"/>
        </w:rPr>
      </w:pPr>
      <w:r w:rsidRPr="005324A3">
        <w:rPr>
          <w:lang w:val="en-AU"/>
        </w:rPr>
        <w:t xml:space="preserve">In this paper we have analysed the potential spectrum requirements to provide space-based VHF in large areas with low to modest traffic density.  </w:t>
      </w:r>
      <w:proofErr w:type="gramStart"/>
      <w:r w:rsidRPr="005324A3">
        <w:rPr>
          <w:lang w:val="en-AU"/>
        </w:rPr>
        <w:t>In particular we</w:t>
      </w:r>
      <w:proofErr w:type="gramEnd"/>
      <w:r w:rsidRPr="005324A3">
        <w:rPr>
          <w:lang w:val="en-AU"/>
        </w:rPr>
        <w:t xml:space="preserve"> have sought to address concerns that space0-based VHF is a ruinously wasteful consumer of a scarce resource.  In contrast, space-based VHF, in the right context, appears to have an VHF spectrum reuse rate, as calculated by a ratio of </w:t>
      </w:r>
      <w:proofErr w:type="spellStart"/>
      <w:r w:rsidRPr="005324A3">
        <w:rPr>
          <w:lang w:val="en-AU"/>
        </w:rPr>
        <w:t>service:interference</w:t>
      </w:r>
      <w:proofErr w:type="spellEnd"/>
      <w:r w:rsidRPr="005324A3">
        <w:rPr>
          <w:lang w:val="en-AU"/>
        </w:rPr>
        <w:t xml:space="preserve"> area or volume that is on par with typical existing uses.</w:t>
      </w:r>
    </w:p>
    <w:p w14:paraId="322D8B36" w14:textId="77777777" w:rsidR="005324A3" w:rsidRPr="005324A3" w:rsidRDefault="005324A3" w:rsidP="005324A3">
      <w:pPr>
        <w:pStyle w:val="2para"/>
        <w:rPr>
          <w:lang w:val="en-AU"/>
        </w:rPr>
      </w:pPr>
      <w:r w:rsidRPr="005324A3">
        <w:rPr>
          <w:lang w:val="en-AU"/>
        </w:rPr>
        <w:t>Finally, we have sought to highlight that aspects other than a strict frequency reuse measure are often important when considering communication for air traffic management in a global context, and that these considerations should balance any decision around adoption of any service.</w:t>
      </w:r>
    </w:p>
    <w:p w14:paraId="4D8A550F" w14:textId="77777777" w:rsidR="00A12CBA" w:rsidRPr="00032308" w:rsidRDefault="00770160" w:rsidP="00E91DF2">
      <w:pPr>
        <w:spacing w:before="600"/>
        <w:jc w:val="center"/>
        <w:rPr>
          <w:lang w:val="en-US"/>
        </w:rPr>
      </w:pPr>
      <w:r w:rsidRPr="00032308">
        <w:rPr>
          <w:lang w:val="en-US"/>
        </w:rPr>
        <w:t>— END —</w:t>
      </w:r>
    </w:p>
    <w:sectPr w:rsidR="00A12CBA" w:rsidRPr="00032308">
      <w:headerReference w:type="even" r:id="rId11"/>
      <w:headerReference w:type="default" r:id="rId12"/>
      <w:headerReference w:type="first" r:id="rId13"/>
      <w:footerReference w:type="first" r:id="rId14"/>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AC76B" w14:textId="77777777" w:rsidR="008F5D98" w:rsidRDefault="008F5D98">
      <w:r>
        <w:separator/>
      </w:r>
    </w:p>
  </w:endnote>
  <w:endnote w:type="continuationSeparator" w:id="0">
    <w:p w14:paraId="6FA8B866" w14:textId="77777777" w:rsidR="008F5D98" w:rsidRDefault="008F5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723F" w14:textId="77777777" w:rsidR="00770160" w:rsidRPr="006549DA" w:rsidRDefault="00770160">
    <w:pPr>
      <w:pStyle w:val="Footer"/>
      <w:rPr>
        <w:sz w:val="18"/>
        <w:lang w:val="en-CA"/>
      </w:rPr>
    </w:pPr>
    <w:r w:rsidRPr="006549DA">
      <w:rPr>
        <w:sz w:val="18"/>
        <w:lang w:val="en-CA"/>
      </w:rPr>
      <w:t>(</w:t>
    </w:r>
    <w:r>
      <w:rPr>
        <w:sz w:val="18"/>
        <w:lang w:val="en-US"/>
      </w:rPr>
      <w:fldChar w:fldCharType="begin"/>
    </w:r>
    <w:r w:rsidRPr="006549DA">
      <w:rPr>
        <w:sz w:val="18"/>
        <w:lang w:val="en-CA"/>
      </w:rPr>
      <w:instrText xml:space="preserve"> NUMPAGES  \* MERGEFORMAT </w:instrText>
    </w:r>
    <w:r>
      <w:rPr>
        <w:sz w:val="18"/>
        <w:lang w:val="en-US"/>
      </w:rPr>
      <w:fldChar w:fldCharType="separate"/>
    </w:r>
    <w:r w:rsidR="00067C56" w:rsidRPr="006549DA">
      <w:rPr>
        <w:noProof/>
        <w:sz w:val="18"/>
        <w:lang w:val="en-CA"/>
      </w:rPr>
      <w:t>2</w:t>
    </w:r>
    <w:r>
      <w:rPr>
        <w:sz w:val="18"/>
        <w:lang w:val="en-US"/>
      </w:rPr>
      <w:fldChar w:fldCharType="end"/>
    </w:r>
    <w:r w:rsidRPr="006549DA">
      <w:rPr>
        <w:sz w:val="18"/>
        <w:lang w:val="en-CA"/>
      </w:rPr>
      <w:t xml:space="preserve"> pages)</w:t>
    </w:r>
  </w:p>
  <w:p w14:paraId="400681DA" w14:textId="4AEDDBEF" w:rsidR="00770160" w:rsidRPr="00BC4CD0" w:rsidRDefault="00770160">
    <w:pPr>
      <w:pStyle w:val="Footer"/>
      <w:rPr>
        <w:lang w:val="en-CA"/>
      </w:rPr>
    </w:pPr>
    <w:r>
      <w:rPr>
        <w:sz w:val="18"/>
        <w:lang w:val="en-US"/>
      </w:rPr>
      <w:fldChar w:fldCharType="begin"/>
    </w:r>
    <w:r w:rsidRPr="00BC4CD0">
      <w:rPr>
        <w:sz w:val="18"/>
        <w:lang w:val="en-CA"/>
      </w:rPr>
      <w:instrText xml:space="preserve"> FILENAME  \* MERGEFORMAT </w:instrText>
    </w:r>
    <w:r>
      <w:rPr>
        <w:sz w:val="18"/>
        <w:lang w:val="en-US"/>
      </w:rPr>
      <w:fldChar w:fldCharType="separate"/>
    </w:r>
    <w:r w:rsidR="007E244D">
      <w:rPr>
        <w:noProof/>
        <w:sz w:val="18"/>
        <w:lang w:val="en-CA"/>
      </w:rPr>
      <w:t>FSMP-WG20-IP14_Spectrum_Reuse_Efficiency_of_Space-Based VHF_20250218.docx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D932" w14:textId="77777777" w:rsidR="008F5D98" w:rsidRDefault="008F5D98">
      <w:r>
        <w:separator/>
      </w:r>
    </w:p>
  </w:footnote>
  <w:footnote w:type="continuationSeparator" w:id="0">
    <w:p w14:paraId="4DBB63A8" w14:textId="77777777" w:rsidR="008F5D98" w:rsidRDefault="008F5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6CC9" w14:textId="0EE02CD7" w:rsidR="00770160" w:rsidRDefault="007E244D" w:rsidP="00F56F90">
    <w:pPr>
      <w:tabs>
        <w:tab w:val="center" w:pos="4876"/>
      </w:tabs>
      <w:spacing w:after="600"/>
    </w:pPr>
    <w:r w:rsidRPr="007E244D">
      <w:t>FSMP-WG/20-IP/14</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F01D4" w14:textId="7B3419E7"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7E244D" w:rsidRPr="007E244D">
      <w:t>FSMP-WG/20-IP/14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E37BDD8" w14:textId="77777777" w:rsidTr="00664C07">
      <w:trPr>
        <w:trHeight w:val="1790"/>
      </w:trPr>
      <w:tc>
        <w:tcPr>
          <w:tcW w:w="1915" w:type="dxa"/>
          <w:shd w:val="clear" w:color="auto" w:fill="FFFFFF"/>
        </w:tcPr>
        <w:p w14:paraId="42CDDEB4" w14:textId="2CCCB2DE" w:rsidR="00920C27" w:rsidRDefault="003C75D1" w:rsidP="00664C07">
          <w:bookmarkStart w:id="1" w:name="logo"/>
          <w:r w:rsidRPr="00484298">
            <w:rPr>
              <w:noProof/>
              <w:lang w:eastAsia="zh-CN"/>
            </w:rPr>
            <w:drawing>
              <wp:inline distT="0" distB="0" distL="0" distR="0" wp14:anchorId="4165598E" wp14:editId="7C0A28D0">
                <wp:extent cx="1092200" cy="8636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863600"/>
                        </a:xfrm>
                        <a:prstGeom prst="rect">
                          <a:avLst/>
                        </a:prstGeom>
                        <a:noFill/>
                        <a:ln>
                          <a:noFill/>
                        </a:ln>
                      </pic:spPr>
                    </pic:pic>
                  </a:graphicData>
                </a:graphic>
              </wp:inline>
            </w:drawing>
          </w:r>
          <w:bookmarkEnd w:id="1"/>
        </w:p>
      </w:tc>
      <w:tc>
        <w:tcPr>
          <w:tcW w:w="3895" w:type="dxa"/>
          <w:shd w:val="clear" w:color="auto" w:fill="FFFFFF"/>
          <w:tcMar>
            <w:right w:w="0" w:type="dxa"/>
          </w:tcMar>
        </w:tcPr>
        <w:p w14:paraId="6EE57050" w14:textId="3FF2E5D2" w:rsidR="00920C27" w:rsidRPr="00066AB7" w:rsidRDefault="003C75D1"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68297500" wp14:editId="7E09258F">
                    <wp:simplePos x="0" y="0"/>
                    <wp:positionH relativeFrom="column">
                      <wp:posOffset>12700</wp:posOffset>
                    </wp:positionH>
                    <wp:positionV relativeFrom="paragraph">
                      <wp:posOffset>342900</wp:posOffset>
                    </wp:positionV>
                    <wp:extent cx="24003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B7AA9"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3128D7E"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29CB1249" w14:textId="77777777" w:rsidR="00920C27" w:rsidRPr="00066AB7" w:rsidRDefault="00920C27" w:rsidP="00664C07">
          <w:pPr>
            <w:rPr>
              <w:rFonts w:ascii="Arial" w:hAnsi="Arial" w:cs="Arial"/>
              <w:szCs w:val="22"/>
            </w:rPr>
          </w:pPr>
        </w:p>
        <w:p w14:paraId="6E894991" w14:textId="56D4D671" w:rsidR="00920C27" w:rsidRPr="00066AB7" w:rsidRDefault="007E244D" w:rsidP="00664C07">
          <w:pPr>
            <w:rPr>
              <w:rFonts w:ascii="Arial" w:hAnsi="Arial" w:cs="Arial"/>
              <w:b/>
              <w:sz w:val="24"/>
              <w:szCs w:val="22"/>
            </w:rPr>
          </w:pPr>
          <w:r>
            <w:rPr>
              <w:rFonts w:ascii="Arial" w:hAnsi="Arial" w:cs="Arial"/>
              <w:b/>
              <w:sz w:val="24"/>
              <w:szCs w:val="22"/>
              <w:lang w:eastAsia="ja-JP"/>
            </w:rPr>
            <w:t>INFORMATION</w:t>
          </w:r>
          <w:r w:rsidR="00B93F2F">
            <w:rPr>
              <w:rFonts w:ascii="Arial" w:hAnsi="Arial" w:cs="Arial" w:hint="eastAsia"/>
              <w:b/>
              <w:sz w:val="24"/>
              <w:szCs w:val="22"/>
              <w:lang w:eastAsia="ja-JP"/>
            </w:rPr>
            <w:t xml:space="preserve"> </w:t>
          </w:r>
          <w:r w:rsidR="00920C27" w:rsidRPr="00066AB7">
            <w:rPr>
              <w:rFonts w:ascii="Arial" w:hAnsi="Arial" w:cs="Arial"/>
              <w:b/>
              <w:sz w:val="24"/>
              <w:szCs w:val="22"/>
            </w:rPr>
            <w:t>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920C27" w14:paraId="45B063F1" w14:textId="77777777" w:rsidTr="00664C07">
            <w:trPr>
              <w:jc w:val="right"/>
            </w:trPr>
            <w:tc>
              <w:tcPr>
                <w:tcW w:w="0" w:type="auto"/>
              </w:tcPr>
              <w:p w14:paraId="23D831B8" w14:textId="6B33EDBA" w:rsidR="00920C27" w:rsidRPr="00066AB7" w:rsidRDefault="000D26D5" w:rsidP="007E244D">
                <w:pPr>
                  <w:framePr w:hSpace="180" w:wrap="around" w:vAnchor="text" w:hAnchor="text" w:y="1"/>
                  <w:suppressOverlap/>
                  <w:jc w:val="left"/>
                  <w:rPr>
                    <w:szCs w:val="22"/>
                    <w:lang w:eastAsia="ja-JP"/>
                  </w:rPr>
                </w:pPr>
                <w:bookmarkStart w:id="2" w:name="document_no"/>
                <w:r>
                  <w:rPr>
                    <w:szCs w:val="22"/>
                  </w:rPr>
                  <w:t>FS</w:t>
                </w:r>
                <w:r w:rsidR="00725205">
                  <w:rPr>
                    <w:szCs w:val="22"/>
                  </w:rPr>
                  <w:t>MP</w:t>
                </w:r>
                <w:r w:rsidR="007E6A06">
                  <w:rPr>
                    <w:szCs w:val="22"/>
                  </w:rPr>
                  <w:t>-WG</w:t>
                </w:r>
                <w:r w:rsidR="00920C27" w:rsidRPr="00066AB7">
                  <w:rPr>
                    <w:szCs w:val="22"/>
                  </w:rPr>
                  <w:t>/</w:t>
                </w:r>
                <w:r w:rsidR="009F3664">
                  <w:rPr>
                    <w:rFonts w:hint="eastAsia"/>
                    <w:szCs w:val="22"/>
                    <w:lang w:eastAsia="ja-JP"/>
                  </w:rPr>
                  <w:t>20</w:t>
                </w:r>
                <w:r w:rsidR="00FC389A">
                  <w:rPr>
                    <w:szCs w:val="22"/>
                  </w:rPr>
                  <w:t>-</w:t>
                </w:r>
                <w:r w:rsidR="006A3341">
                  <w:rPr>
                    <w:szCs w:val="22"/>
                  </w:rPr>
                  <w:t>I</w:t>
                </w:r>
                <w:r w:rsidR="00920C27" w:rsidRPr="00066AB7">
                  <w:rPr>
                    <w:szCs w:val="22"/>
                  </w:rPr>
                  <w:t>P/</w:t>
                </w:r>
                <w:bookmarkEnd w:id="2"/>
                <w:r w:rsidR="007E244D">
                  <w:rPr>
                    <w:szCs w:val="22"/>
                  </w:rPr>
                  <w:t>14</w:t>
                </w:r>
              </w:p>
              <w:p w14:paraId="37F82501" w14:textId="75185F52" w:rsidR="00920C27" w:rsidRPr="00066AB7" w:rsidRDefault="00885035" w:rsidP="007E244D">
                <w:pPr>
                  <w:framePr w:hSpace="180" w:wrap="around" w:vAnchor="text" w:hAnchor="text" w:y="1"/>
                  <w:suppressOverlap/>
                  <w:jc w:val="left"/>
                  <w:rPr>
                    <w:b/>
                  </w:rPr>
                </w:pPr>
                <w:bookmarkStart w:id="3" w:name="restricted"/>
                <w:bookmarkStart w:id="4" w:name="addendum_corrigendum_appendix"/>
                <w:bookmarkStart w:id="5" w:name="revision_no"/>
                <w:bookmarkStart w:id="6" w:name="revision_date"/>
                <w:bookmarkStart w:id="7" w:name="related_to"/>
                <w:bookmarkEnd w:id="3"/>
                <w:bookmarkEnd w:id="4"/>
                <w:bookmarkEnd w:id="5"/>
                <w:bookmarkEnd w:id="6"/>
                <w:bookmarkEnd w:id="7"/>
                <w:r>
                  <w:rPr>
                    <w:sz w:val="18"/>
                    <w:szCs w:val="18"/>
                  </w:rPr>
                  <w:t>202</w:t>
                </w:r>
                <w:r w:rsidR="009F3664">
                  <w:rPr>
                    <w:rFonts w:hint="eastAsia"/>
                    <w:sz w:val="18"/>
                    <w:szCs w:val="18"/>
                    <w:lang w:eastAsia="ja-JP"/>
                  </w:rPr>
                  <w:t>5</w:t>
                </w:r>
                <w:r>
                  <w:rPr>
                    <w:sz w:val="18"/>
                    <w:szCs w:val="18"/>
                  </w:rPr>
                  <w:t>-0</w:t>
                </w:r>
                <w:r w:rsidR="009F3664">
                  <w:rPr>
                    <w:rFonts w:hint="eastAsia"/>
                    <w:sz w:val="18"/>
                    <w:szCs w:val="18"/>
                    <w:lang w:eastAsia="ja-JP"/>
                  </w:rPr>
                  <w:t>2</w:t>
                </w:r>
                <w:r>
                  <w:rPr>
                    <w:sz w:val="18"/>
                    <w:szCs w:val="18"/>
                  </w:rPr>
                  <w:t>-</w:t>
                </w:r>
                <w:r w:rsidR="006549DA">
                  <w:rPr>
                    <w:sz w:val="18"/>
                    <w:szCs w:val="18"/>
                  </w:rPr>
                  <w:t>26</w:t>
                </w:r>
                <w:r w:rsidR="00920C27" w:rsidRPr="00066AB7">
                  <w:rPr>
                    <w:b/>
                    <w:sz w:val="18"/>
                    <w:szCs w:val="18"/>
                  </w:rPr>
                  <w:t xml:space="preserve"> </w:t>
                </w:r>
                <w:bookmarkStart w:id="8" w:name="info_paper"/>
                <w:bookmarkEnd w:id="8"/>
              </w:p>
            </w:tc>
          </w:tr>
          <w:tr w:rsidR="00920C27" w14:paraId="0C0D9C0F" w14:textId="77777777" w:rsidTr="00664C07">
            <w:trPr>
              <w:jc w:val="right"/>
            </w:trPr>
            <w:tc>
              <w:tcPr>
                <w:tcW w:w="0" w:type="auto"/>
              </w:tcPr>
              <w:p w14:paraId="1AF6E075" w14:textId="77777777" w:rsidR="00920C27" w:rsidRPr="00066AB7" w:rsidRDefault="00920C27" w:rsidP="007E244D">
                <w:pPr>
                  <w:framePr w:hSpace="180" w:wrap="around" w:vAnchor="text" w:hAnchor="text" w:y="1"/>
                  <w:suppressOverlap/>
                  <w:jc w:val="left"/>
                  <w:rPr>
                    <w:szCs w:val="22"/>
                  </w:rPr>
                </w:pPr>
              </w:p>
            </w:tc>
          </w:tr>
        </w:tbl>
        <w:p w14:paraId="01289DBB"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7CB3867C" w14:textId="36E19731" w:rsidR="00770160" w:rsidRDefault="00770160" w:rsidP="00CA05A9">
    <w:pPr>
      <w:pStyle w:val="smallfont"/>
      <w:tabs>
        <w:tab w:val="clear" w:pos="6660"/>
        <w:tab w:val="left" w:pos="6480"/>
      </w:tabs>
      <w:spacing w:after="600"/>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2"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EEC21D2"/>
    <w:multiLevelType w:val="hybridMultilevel"/>
    <w:tmpl w:val="433CEB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DE10FF"/>
    <w:multiLevelType w:val="hybridMultilevel"/>
    <w:tmpl w:val="63BE07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516B3605"/>
    <w:multiLevelType w:val="hybridMultilevel"/>
    <w:tmpl w:val="4192CA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6B313D"/>
    <w:multiLevelType w:val="hybridMultilevel"/>
    <w:tmpl w:val="64A2276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814442749">
    <w:abstractNumId w:val="5"/>
  </w:num>
  <w:num w:numId="2" w16cid:durableId="2173464">
    <w:abstractNumId w:val="8"/>
  </w:num>
  <w:num w:numId="3" w16cid:durableId="360741001">
    <w:abstractNumId w:val="1"/>
  </w:num>
  <w:num w:numId="4" w16cid:durableId="1829636170">
    <w:abstractNumId w:val="0"/>
  </w:num>
  <w:num w:numId="5" w16cid:durableId="1952206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052586">
    <w:abstractNumId w:val="2"/>
  </w:num>
  <w:num w:numId="7" w16cid:durableId="2130203906">
    <w:abstractNumId w:val="3"/>
  </w:num>
  <w:num w:numId="8" w16cid:durableId="1781680689">
    <w:abstractNumId w:val="4"/>
  </w:num>
  <w:num w:numId="9" w16cid:durableId="866483316">
    <w:abstractNumId w:val="6"/>
  </w:num>
  <w:num w:numId="10" w16cid:durableId="8606999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CA" w:vendorID="64" w:dllVersion="0" w:nlCheck="1" w:checkStyle="0"/>
  <w:activeWritingStyle w:appName="MSWord" w:lang="ja-JP" w:vendorID="64" w:dllVersion="0" w:nlCheck="1" w:checkStyle="1"/>
  <w:activeWritingStyle w:appName="MSWord" w:lang="fr-CA"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1736D"/>
    <w:rsid w:val="00021604"/>
    <w:rsid w:val="0002582F"/>
    <w:rsid w:val="00025A19"/>
    <w:rsid w:val="000273D2"/>
    <w:rsid w:val="00032308"/>
    <w:rsid w:val="00035DE5"/>
    <w:rsid w:val="000376EB"/>
    <w:rsid w:val="00052922"/>
    <w:rsid w:val="00052FA2"/>
    <w:rsid w:val="000561C9"/>
    <w:rsid w:val="00067C56"/>
    <w:rsid w:val="00080A07"/>
    <w:rsid w:val="00091048"/>
    <w:rsid w:val="0009326E"/>
    <w:rsid w:val="000A602F"/>
    <w:rsid w:val="000A6AD2"/>
    <w:rsid w:val="000B70B7"/>
    <w:rsid w:val="000D26D5"/>
    <w:rsid w:val="000E218A"/>
    <w:rsid w:val="00121E15"/>
    <w:rsid w:val="00121F82"/>
    <w:rsid w:val="00134A03"/>
    <w:rsid w:val="001566B0"/>
    <w:rsid w:val="001745D3"/>
    <w:rsid w:val="0018236C"/>
    <w:rsid w:val="00190C98"/>
    <w:rsid w:val="001A433D"/>
    <w:rsid w:val="001C2F70"/>
    <w:rsid w:val="001D373B"/>
    <w:rsid w:val="001E2D88"/>
    <w:rsid w:val="0020213F"/>
    <w:rsid w:val="0020272F"/>
    <w:rsid w:val="002060FE"/>
    <w:rsid w:val="0020768F"/>
    <w:rsid w:val="00222D23"/>
    <w:rsid w:val="00226565"/>
    <w:rsid w:val="00235901"/>
    <w:rsid w:val="00257DC5"/>
    <w:rsid w:val="00263F4D"/>
    <w:rsid w:val="002670AE"/>
    <w:rsid w:val="00295E50"/>
    <w:rsid w:val="00296269"/>
    <w:rsid w:val="00296C3E"/>
    <w:rsid w:val="002A2712"/>
    <w:rsid w:val="002A7CE3"/>
    <w:rsid w:val="002C2D0B"/>
    <w:rsid w:val="002D725D"/>
    <w:rsid w:val="002E38FD"/>
    <w:rsid w:val="002F53C3"/>
    <w:rsid w:val="0033179F"/>
    <w:rsid w:val="00347D56"/>
    <w:rsid w:val="00363C5B"/>
    <w:rsid w:val="003715A0"/>
    <w:rsid w:val="00395263"/>
    <w:rsid w:val="003A3518"/>
    <w:rsid w:val="003C75D1"/>
    <w:rsid w:val="003C7FC2"/>
    <w:rsid w:val="003D0FE8"/>
    <w:rsid w:val="003D62E1"/>
    <w:rsid w:val="003D7FD8"/>
    <w:rsid w:val="003E2387"/>
    <w:rsid w:val="00423C6F"/>
    <w:rsid w:val="004272BA"/>
    <w:rsid w:val="004735BC"/>
    <w:rsid w:val="0049280E"/>
    <w:rsid w:val="00492CD2"/>
    <w:rsid w:val="004B00DD"/>
    <w:rsid w:val="004D46C5"/>
    <w:rsid w:val="004D4F54"/>
    <w:rsid w:val="004E6F80"/>
    <w:rsid w:val="004F7A99"/>
    <w:rsid w:val="00505F6E"/>
    <w:rsid w:val="005070B9"/>
    <w:rsid w:val="005101DA"/>
    <w:rsid w:val="0051574F"/>
    <w:rsid w:val="005324A3"/>
    <w:rsid w:val="00533ECF"/>
    <w:rsid w:val="005420A6"/>
    <w:rsid w:val="00552B85"/>
    <w:rsid w:val="0058161F"/>
    <w:rsid w:val="005C3A65"/>
    <w:rsid w:val="005F535B"/>
    <w:rsid w:val="00625E2A"/>
    <w:rsid w:val="006535FB"/>
    <w:rsid w:val="006549DA"/>
    <w:rsid w:val="00664C07"/>
    <w:rsid w:val="006A3341"/>
    <w:rsid w:val="006C2E7B"/>
    <w:rsid w:val="00725205"/>
    <w:rsid w:val="0073418F"/>
    <w:rsid w:val="00760654"/>
    <w:rsid w:val="00770160"/>
    <w:rsid w:val="007800BB"/>
    <w:rsid w:val="0079434B"/>
    <w:rsid w:val="00796019"/>
    <w:rsid w:val="007C45F0"/>
    <w:rsid w:val="007C72BF"/>
    <w:rsid w:val="007E244D"/>
    <w:rsid w:val="007E6A06"/>
    <w:rsid w:val="007F6AF6"/>
    <w:rsid w:val="00802C20"/>
    <w:rsid w:val="00813AFE"/>
    <w:rsid w:val="00820D79"/>
    <w:rsid w:val="00821F9E"/>
    <w:rsid w:val="00822F3F"/>
    <w:rsid w:val="00830391"/>
    <w:rsid w:val="00850D76"/>
    <w:rsid w:val="00860FB4"/>
    <w:rsid w:val="008715EC"/>
    <w:rsid w:val="00885035"/>
    <w:rsid w:val="008850BB"/>
    <w:rsid w:val="00886363"/>
    <w:rsid w:val="00896451"/>
    <w:rsid w:val="008B54C4"/>
    <w:rsid w:val="008C748A"/>
    <w:rsid w:val="008F5D98"/>
    <w:rsid w:val="0090204A"/>
    <w:rsid w:val="00906622"/>
    <w:rsid w:val="009202EA"/>
    <w:rsid w:val="0092053D"/>
    <w:rsid w:val="00920B80"/>
    <w:rsid w:val="00920C27"/>
    <w:rsid w:val="009602EE"/>
    <w:rsid w:val="009608BC"/>
    <w:rsid w:val="009A3BB6"/>
    <w:rsid w:val="009D4C74"/>
    <w:rsid w:val="009F3664"/>
    <w:rsid w:val="00A03CFF"/>
    <w:rsid w:val="00A12CBA"/>
    <w:rsid w:val="00A232A8"/>
    <w:rsid w:val="00A5187D"/>
    <w:rsid w:val="00A66181"/>
    <w:rsid w:val="00A84F03"/>
    <w:rsid w:val="00AA6C93"/>
    <w:rsid w:val="00AA7B30"/>
    <w:rsid w:val="00AD35D4"/>
    <w:rsid w:val="00B00E0C"/>
    <w:rsid w:val="00B02DF4"/>
    <w:rsid w:val="00B12940"/>
    <w:rsid w:val="00B22662"/>
    <w:rsid w:val="00B2272C"/>
    <w:rsid w:val="00B439A3"/>
    <w:rsid w:val="00B60188"/>
    <w:rsid w:val="00B63E9A"/>
    <w:rsid w:val="00B669A5"/>
    <w:rsid w:val="00B93ED9"/>
    <w:rsid w:val="00B93F2F"/>
    <w:rsid w:val="00B95AA6"/>
    <w:rsid w:val="00BC4CD0"/>
    <w:rsid w:val="00BC5391"/>
    <w:rsid w:val="00C05F91"/>
    <w:rsid w:val="00C108A3"/>
    <w:rsid w:val="00C1498C"/>
    <w:rsid w:val="00C14BC4"/>
    <w:rsid w:val="00C208F9"/>
    <w:rsid w:val="00C24716"/>
    <w:rsid w:val="00C2608A"/>
    <w:rsid w:val="00C32F4A"/>
    <w:rsid w:val="00C41AB9"/>
    <w:rsid w:val="00C63B83"/>
    <w:rsid w:val="00C87CE5"/>
    <w:rsid w:val="00CA05A9"/>
    <w:rsid w:val="00CA11F9"/>
    <w:rsid w:val="00CC3218"/>
    <w:rsid w:val="00CE2E6C"/>
    <w:rsid w:val="00CE7B59"/>
    <w:rsid w:val="00CF2633"/>
    <w:rsid w:val="00CF72A2"/>
    <w:rsid w:val="00D0138A"/>
    <w:rsid w:val="00D10496"/>
    <w:rsid w:val="00D1165F"/>
    <w:rsid w:val="00D22255"/>
    <w:rsid w:val="00D22842"/>
    <w:rsid w:val="00D247BF"/>
    <w:rsid w:val="00D314C7"/>
    <w:rsid w:val="00D337C4"/>
    <w:rsid w:val="00D373E4"/>
    <w:rsid w:val="00D55323"/>
    <w:rsid w:val="00D81241"/>
    <w:rsid w:val="00D8375B"/>
    <w:rsid w:val="00D83784"/>
    <w:rsid w:val="00D87327"/>
    <w:rsid w:val="00D91EAD"/>
    <w:rsid w:val="00D94FD3"/>
    <w:rsid w:val="00DA1D9A"/>
    <w:rsid w:val="00DA654F"/>
    <w:rsid w:val="00DD2171"/>
    <w:rsid w:val="00DD6BEE"/>
    <w:rsid w:val="00DF76D3"/>
    <w:rsid w:val="00E01EF2"/>
    <w:rsid w:val="00E23ADD"/>
    <w:rsid w:val="00E26FC5"/>
    <w:rsid w:val="00E34C38"/>
    <w:rsid w:val="00E445C3"/>
    <w:rsid w:val="00E5621A"/>
    <w:rsid w:val="00E7263C"/>
    <w:rsid w:val="00E77340"/>
    <w:rsid w:val="00E8505C"/>
    <w:rsid w:val="00E91DF2"/>
    <w:rsid w:val="00EB1EAC"/>
    <w:rsid w:val="00EC0A44"/>
    <w:rsid w:val="00EE016D"/>
    <w:rsid w:val="00EF04FD"/>
    <w:rsid w:val="00F06A36"/>
    <w:rsid w:val="00F50D61"/>
    <w:rsid w:val="00F51625"/>
    <w:rsid w:val="00F52149"/>
    <w:rsid w:val="00F56F90"/>
    <w:rsid w:val="00F71AC4"/>
    <w:rsid w:val="00F84DC1"/>
    <w:rsid w:val="00F94EF3"/>
    <w:rsid w:val="00F975FD"/>
    <w:rsid w:val="00FB4C52"/>
    <w:rsid w:val="00FC1000"/>
    <w:rsid w:val="00FC1BA4"/>
    <w:rsid w:val="00FC23C4"/>
    <w:rsid w:val="00FC389A"/>
    <w:rsid w:val="00FC5E0E"/>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A2589"/>
  <w15:chartTrackingRefBased/>
  <w15:docId w15:val="{77A310B9-6FE9-4440-B8E9-C763BDD8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rsid w:val="000A6AD2"/>
    <w:rPr>
      <w:color w:val="0563C1" w:themeColor="hyperlink"/>
      <w:u w:val="single"/>
    </w:rPr>
  </w:style>
  <w:style w:type="character" w:styleId="UnresolvedMention">
    <w:name w:val="Unresolved Mention"/>
    <w:basedOn w:val="DefaultParagraphFont"/>
    <w:uiPriority w:val="99"/>
    <w:semiHidden/>
    <w:unhideWhenUsed/>
    <w:rsid w:val="000A6AD2"/>
    <w:rPr>
      <w:color w:val="605E5C"/>
      <w:shd w:val="clear" w:color="auto" w:fill="E1DFDD"/>
    </w:rPr>
  </w:style>
  <w:style w:type="table" w:styleId="TableGrid">
    <w:name w:val="Table Grid"/>
    <w:basedOn w:val="TableNormal"/>
    <w:rsid w:val="002A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D62E1"/>
    <w:rPr>
      <w:sz w:val="22"/>
      <w:lang w:val="en-GB" w:eastAsia="en-US"/>
    </w:rPr>
  </w:style>
  <w:style w:type="character" w:styleId="CommentReference">
    <w:name w:val="annotation reference"/>
    <w:basedOn w:val="DefaultParagraphFont"/>
    <w:unhideWhenUsed/>
    <w:rsid w:val="00D0138A"/>
    <w:rPr>
      <w:sz w:val="16"/>
      <w:szCs w:val="16"/>
    </w:rPr>
  </w:style>
  <w:style w:type="paragraph" w:styleId="CommentText">
    <w:name w:val="annotation text"/>
    <w:basedOn w:val="Normal"/>
    <w:link w:val="CommentTextChar"/>
    <w:unhideWhenUsed/>
    <w:rsid w:val="00D0138A"/>
    <w:pPr>
      <w:widowControl w:val="0"/>
      <w:tabs>
        <w:tab w:val="left" w:pos="360"/>
        <w:tab w:val="left" w:pos="720"/>
        <w:tab w:val="left" w:pos="1080"/>
        <w:tab w:val="left" w:pos="1440"/>
        <w:tab w:val="left" w:pos="1800"/>
      </w:tabs>
      <w:adjustRightInd w:val="0"/>
    </w:pPr>
    <w:rPr>
      <w:rFonts w:eastAsia="SimSun"/>
      <w:sz w:val="20"/>
      <w:lang w:eastAsia="zh-CN"/>
    </w:rPr>
  </w:style>
  <w:style w:type="character" w:customStyle="1" w:styleId="CommentTextChar">
    <w:name w:val="Comment Text Char"/>
    <w:basedOn w:val="DefaultParagraphFont"/>
    <w:link w:val="CommentText"/>
    <w:rsid w:val="00D0138A"/>
    <w:rPr>
      <w:rFonts w:eastAsia="SimSun"/>
      <w:lang w:val="en-GB" w:eastAsia="zh-CN"/>
    </w:rPr>
  </w:style>
  <w:style w:type="paragraph" w:styleId="ListParagraph">
    <w:name w:val="List Paragraph"/>
    <w:basedOn w:val="Normal"/>
    <w:uiPriority w:val="34"/>
    <w:qFormat/>
    <w:rsid w:val="00121F82"/>
    <w:pPr>
      <w:ind w:left="720"/>
      <w:contextualSpacing/>
    </w:pPr>
  </w:style>
  <w:style w:type="paragraph" w:styleId="CommentSubject">
    <w:name w:val="annotation subject"/>
    <w:basedOn w:val="CommentText"/>
    <w:next w:val="CommentText"/>
    <w:link w:val="CommentSubjectChar"/>
    <w:rsid w:val="002A2712"/>
    <w:pPr>
      <w:widowControl/>
      <w:tabs>
        <w:tab w:val="clear" w:pos="360"/>
        <w:tab w:val="clear" w:pos="720"/>
        <w:tab w:val="clear" w:pos="1080"/>
        <w:tab w:val="clear" w:pos="1440"/>
        <w:tab w:val="clear" w:pos="1800"/>
      </w:tabs>
      <w:adjustRightInd/>
      <w:jc w:val="left"/>
    </w:pPr>
    <w:rPr>
      <w:rFonts w:eastAsia="MS Mincho"/>
      <w:b/>
      <w:bCs/>
      <w:sz w:val="22"/>
      <w:lang w:eastAsia="en-US"/>
    </w:rPr>
  </w:style>
  <w:style w:type="character" w:customStyle="1" w:styleId="CommentSubjectChar">
    <w:name w:val="Comment Subject Char"/>
    <w:basedOn w:val="CommentTextChar"/>
    <w:link w:val="CommentSubject"/>
    <w:rsid w:val="002A2712"/>
    <w:rPr>
      <w:rFonts w:eastAsia="SimSun"/>
      <w:b/>
      <w:bCs/>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C10BCC-4821-49F3-AD80-B2B543A5451C}">
  <ds:schemaRefs>
    <ds:schemaRef ds:uri="http://schemas.openxmlformats.org/officeDocument/2006/bibliography"/>
  </ds:schemaRefs>
</ds:datastoreItem>
</file>

<file path=customXml/itemProps4.xml><?xml version="1.0" encoding="utf-8"?>
<ds:datastoreItem xmlns:ds="http://schemas.openxmlformats.org/officeDocument/2006/customXml" ds:itemID="{23B18A28-DAF2-4C96-B96A-06C61B7325A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28</TotalTime>
  <Pages>4</Pages>
  <Words>1685</Words>
  <Characters>8770</Characters>
  <Application>Microsoft Office Word</Application>
  <DocSecurity>0</DocSecurity>
  <Lines>73</Lines>
  <Paragraphs>20</Paragraphs>
  <ScaleCrop>false</ScaleCrop>
  <HeadingPairs>
    <vt:vector size="6" baseType="variant">
      <vt:variant>
        <vt:lpstr>Title</vt:lpstr>
      </vt:variant>
      <vt:variant>
        <vt:i4>1</vt:i4>
      </vt:variant>
      <vt:variant>
        <vt:lpstr>タイトル</vt:lpstr>
      </vt:variant>
      <vt:variant>
        <vt:i4>1</vt:i4>
      </vt:variant>
      <vt:variant>
        <vt:lpstr>Titre</vt:lpstr>
      </vt:variant>
      <vt:variant>
        <vt:i4>1</vt:i4>
      </vt:variant>
    </vt:vector>
  </HeadingPairs>
  <TitlesOfParts>
    <vt:vector size="3" baseType="lpstr">
      <vt:lpstr>1</vt:lpstr>
      <vt:lpstr>1</vt:lpstr>
      <vt:lpstr>1</vt:lpstr>
    </vt:vector>
  </TitlesOfParts>
  <Manager/>
  <Company>ICAO</Company>
  <LinksUpToDate>false</LinksUpToDate>
  <CharactersWithSpaces>10435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dc:description/>
  <cp:lastModifiedBy>Utsunomiya, Mie</cp:lastModifiedBy>
  <cp:revision>6</cp:revision>
  <cp:lastPrinted>2025-01-16T13:48:00Z</cp:lastPrinted>
  <dcterms:created xsi:type="dcterms:W3CDTF">2025-02-13T05:28:00Z</dcterms:created>
  <dcterms:modified xsi:type="dcterms:W3CDTF">2025-02-20T15:31:00Z</dcterms:modified>
  <cp:category/>
</cp:coreProperties>
</file>