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56572" w14:textId="77777777" w:rsidR="002779EA" w:rsidRDefault="00F0516C">
      <w:pPr>
        <w:jc w:val="center"/>
        <w:rPr>
          <w:b/>
        </w:rPr>
      </w:pPr>
      <w:bookmarkStart w:id="0" w:name="_gjdgxs" w:colFirst="0" w:colLast="0"/>
      <w:bookmarkEnd w:id="0"/>
      <w:r>
        <w:rPr>
          <w:b/>
        </w:rPr>
        <w:t>FREQUENCY SPECTRUM MANAGEMENT PANEL (FSMP)</w:t>
      </w:r>
    </w:p>
    <w:p w14:paraId="6A61B1DC" w14:textId="77777777" w:rsidR="002779EA" w:rsidRDefault="002779EA">
      <w:pPr>
        <w:tabs>
          <w:tab w:val="left" w:pos="6972"/>
        </w:tabs>
        <w:jc w:val="center"/>
        <w:rPr>
          <w:b/>
        </w:rPr>
      </w:pPr>
    </w:p>
    <w:p w14:paraId="40F130E5" w14:textId="77777777" w:rsidR="002779EA" w:rsidRDefault="00EE72E2">
      <w:pPr>
        <w:pBdr>
          <w:top w:val="nil"/>
          <w:left w:val="nil"/>
          <w:bottom w:val="nil"/>
          <w:right w:val="nil"/>
          <w:between w:val="nil"/>
        </w:pBdr>
        <w:ind w:left="1080" w:right="1080" w:hanging="1080"/>
        <w:jc w:val="center"/>
        <w:rPr>
          <w:b/>
          <w:color w:val="000000"/>
        </w:rPr>
      </w:pPr>
      <w:bookmarkStart w:id="1" w:name="30j0zll" w:colFirst="0" w:colLast="0"/>
      <w:bookmarkEnd w:id="1"/>
      <w:r>
        <w:rPr>
          <w:b/>
          <w:color w:val="000000"/>
        </w:rPr>
        <w:t>Ninth</w:t>
      </w:r>
      <w:r w:rsidR="00F0516C">
        <w:rPr>
          <w:b/>
          <w:color w:val="000000"/>
        </w:rPr>
        <w:t xml:space="preserve"> Working Group Meeting</w:t>
      </w:r>
    </w:p>
    <w:p w14:paraId="7FED9136" w14:textId="77777777" w:rsidR="002779EA" w:rsidRDefault="002779EA">
      <w:pPr>
        <w:jc w:val="center"/>
      </w:pPr>
    </w:p>
    <w:p w14:paraId="57E8C485" w14:textId="77777777" w:rsidR="002779EA" w:rsidRDefault="00F0516C">
      <w:pPr>
        <w:rPr>
          <w:b/>
        </w:rPr>
      </w:pPr>
      <w:r>
        <w:rPr>
          <w:b/>
        </w:rPr>
        <w:t xml:space="preserve">                                              </w:t>
      </w:r>
      <w:r w:rsidR="00EE72E2">
        <w:rPr>
          <w:b/>
        </w:rPr>
        <w:t>Montréal, Canada, 22</w:t>
      </w:r>
      <w:r>
        <w:rPr>
          <w:b/>
        </w:rPr>
        <w:t>-</w:t>
      </w:r>
      <w:r w:rsidR="00EE72E2">
        <w:rPr>
          <w:b/>
        </w:rPr>
        <w:t>30</w:t>
      </w:r>
      <w:r>
        <w:rPr>
          <w:b/>
        </w:rPr>
        <w:t xml:space="preserve"> </w:t>
      </w:r>
      <w:r w:rsidR="00EE72E2">
        <w:rPr>
          <w:b/>
        </w:rPr>
        <w:t>August</w:t>
      </w:r>
      <w:r>
        <w:rPr>
          <w:b/>
        </w:rPr>
        <w:t xml:space="preserve"> 2019</w:t>
      </w:r>
    </w:p>
    <w:p w14:paraId="17C7FE8E" w14:textId="77777777" w:rsidR="002779EA" w:rsidRDefault="002779EA">
      <w:pPr>
        <w:tabs>
          <w:tab w:val="left" w:pos="0"/>
          <w:tab w:val="left" w:pos="1570"/>
          <w:tab w:val="left" w:pos="1857"/>
        </w:tabs>
        <w:jc w:val="center"/>
      </w:pPr>
    </w:p>
    <w:p w14:paraId="6E7D5810" w14:textId="77777777" w:rsidR="002779EA" w:rsidRDefault="002779EA">
      <w:pPr>
        <w:tabs>
          <w:tab w:val="left" w:pos="0"/>
          <w:tab w:val="left" w:pos="1570"/>
          <w:tab w:val="left" w:pos="1857"/>
        </w:tabs>
      </w:pPr>
    </w:p>
    <w:p w14:paraId="67F07ACC" w14:textId="77777777" w:rsidR="00553FBB" w:rsidRDefault="00F0516C" w:rsidP="006828EF">
      <w:pPr>
        <w:pBdr>
          <w:top w:val="nil"/>
          <w:left w:val="nil"/>
          <w:bottom w:val="nil"/>
          <w:right w:val="nil"/>
          <w:between w:val="nil"/>
        </w:pBdr>
        <w:tabs>
          <w:tab w:val="left" w:pos="0"/>
          <w:tab w:val="left" w:pos="1570"/>
          <w:tab w:val="left" w:pos="1857"/>
        </w:tabs>
        <w:ind w:left="1570" w:hanging="1570"/>
        <w:rPr>
          <w:b/>
          <w:color w:val="000000"/>
        </w:rPr>
      </w:pPr>
      <w:r w:rsidRPr="00DB518B">
        <w:rPr>
          <w:b/>
          <w:color w:val="000000"/>
        </w:rPr>
        <w:t>Agenda Item</w:t>
      </w:r>
      <w:r w:rsidR="009851A4">
        <w:rPr>
          <w:b/>
          <w:color w:val="000000"/>
        </w:rPr>
        <w:t xml:space="preserve"> </w:t>
      </w:r>
      <w:r w:rsidR="00553FBB">
        <w:rPr>
          <w:b/>
          <w:color w:val="000000"/>
        </w:rPr>
        <w:t>2</w:t>
      </w:r>
      <w:r w:rsidRPr="00DB518B">
        <w:rPr>
          <w:b/>
          <w:color w:val="000000"/>
        </w:rPr>
        <w:t>:</w:t>
      </w:r>
      <w:r w:rsidR="009851A4">
        <w:rPr>
          <w:b/>
          <w:color w:val="000000"/>
        </w:rPr>
        <w:t xml:space="preserve"> </w:t>
      </w:r>
      <w:r w:rsidR="00553FBB">
        <w:rPr>
          <w:b/>
          <w:color w:val="000000"/>
        </w:rPr>
        <w:t>WRC-19 Preparations</w:t>
      </w:r>
    </w:p>
    <w:p w14:paraId="59A84CC8" w14:textId="2DE27130" w:rsidR="002779EA" w:rsidRDefault="00553FBB" w:rsidP="006828EF">
      <w:pPr>
        <w:pBdr>
          <w:top w:val="nil"/>
          <w:left w:val="nil"/>
          <w:bottom w:val="nil"/>
          <w:right w:val="nil"/>
          <w:between w:val="nil"/>
        </w:pBdr>
        <w:tabs>
          <w:tab w:val="left" w:pos="0"/>
          <w:tab w:val="left" w:pos="1570"/>
          <w:tab w:val="left" w:pos="1857"/>
        </w:tabs>
        <w:ind w:left="1570" w:hanging="1570"/>
        <w:rPr>
          <w:b/>
          <w:color w:val="000000"/>
          <w:highlight w:val="yellow"/>
        </w:rPr>
      </w:pPr>
      <w:r>
        <w:rPr>
          <w:b/>
          <w:color w:val="000000"/>
        </w:rPr>
        <w:tab/>
        <w:t>b)  Discussion of expected future agenda item proposals from administrations</w:t>
      </w:r>
      <w:bookmarkStart w:id="2" w:name="_GoBack"/>
      <w:bookmarkEnd w:id="2"/>
      <w:r w:rsidR="00F0516C" w:rsidRPr="00DB518B">
        <w:rPr>
          <w:b/>
          <w:color w:val="000000"/>
        </w:rPr>
        <w:tab/>
      </w:r>
    </w:p>
    <w:p w14:paraId="28966EF2" w14:textId="77777777" w:rsidR="002779EA" w:rsidRDefault="002779EA">
      <w:pPr>
        <w:pBdr>
          <w:top w:val="nil"/>
          <w:left w:val="nil"/>
          <w:bottom w:val="nil"/>
          <w:right w:val="nil"/>
          <w:between w:val="nil"/>
        </w:pBdr>
        <w:tabs>
          <w:tab w:val="left" w:pos="0"/>
          <w:tab w:val="left" w:pos="1570"/>
          <w:tab w:val="left" w:pos="1857"/>
        </w:tabs>
        <w:ind w:left="1570" w:hanging="1570"/>
        <w:rPr>
          <w:color w:val="000000"/>
        </w:rPr>
      </w:pPr>
    </w:p>
    <w:p w14:paraId="2E2B0F09" w14:textId="77777777" w:rsidR="002779EA" w:rsidRPr="001F4CC8" w:rsidRDefault="00EE72E2">
      <w:pPr>
        <w:pBdr>
          <w:top w:val="nil"/>
          <w:left w:val="nil"/>
          <w:bottom w:val="nil"/>
          <w:right w:val="nil"/>
          <w:between w:val="nil"/>
        </w:pBdr>
        <w:ind w:right="-62"/>
        <w:jc w:val="center"/>
        <w:rPr>
          <w:b/>
          <w:smallCaps/>
          <w:color w:val="000000"/>
        </w:rPr>
      </w:pPr>
      <w:r w:rsidRPr="001F4CC8">
        <w:rPr>
          <w:b/>
          <w:smallCaps/>
          <w:color w:val="000000"/>
        </w:rPr>
        <w:t>PROPOSED UPDATES TO ITU RR APPENDIX 27 IN SUPPORT OF</w:t>
      </w:r>
      <w:r w:rsidR="00F0516C" w:rsidRPr="001F4CC8">
        <w:rPr>
          <w:b/>
          <w:smallCaps/>
          <w:color w:val="000000"/>
        </w:rPr>
        <w:t xml:space="preserve"> A MODERNIZED HF AERONAUTICAL COMMUNICATIONS SYSTEM </w:t>
      </w:r>
    </w:p>
    <w:p w14:paraId="44EC8CEF" w14:textId="77777777" w:rsidR="002779EA" w:rsidRPr="001F4CC8" w:rsidRDefault="002779EA">
      <w:pPr>
        <w:tabs>
          <w:tab w:val="left" w:pos="6972"/>
        </w:tabs>
        <w:jc w:val="center"/>
      </w:pPr>
    </w:p>
    <w:p w14:paraId="41E77D4C" w14:textId="3C19AE4B" w:rsidR="002779EA" w:rsidRPr="001F4CC8" w:rsidRDefault="00F0516C" w:rsidP="00D7673B">
      <w:pPr>
        <w:tabs>
          <w:tab w:val="left" w:pos="1170"/>
        </w:tabs>
        <w:jc w:val="center"/>
      </w:pPr>
      <w:r w:rsidRPr="001F4CC8">
        <w:t>(</w:t>
      </w:r>
      <w:r w:rsidR="005E7881">
        <w:t>Prepared</w:t>
      </w:r>
      <w:r w:rsidR="005E7881" w:rsidRPr="001F4CC8">
        <w:t xml:space="preserve"> </w:t>
      </w:r>
      <w:r w:rsidRPr="001F4CC8">
        <w:t>by</w:t>
      </w:r>
      <w:bookmarkStart w:id="3" w:name="1fob9te" w:colFirst="0" w:colLast="0"/>
      <w:bookmarkEnd w:id="3"/>
      <w:r w:rsidRPr="001F4CC8">
        <w:t xml:space="preserve"> Sai Kalyanaraman</w:t>
      </w:r>
      <w:r w:rsidR="00CA5765" w:rsidRPr="001F4CC8">
        <w:t>, Collins Aerospace</w:t>
      </w:r>
      <w:r w:rsidRPr="001F4CC8">
        <w:t>)</w:t>
      </w:r>
    </w:p>
    <w:p w14:paraId="68BEA998" w14:textId="77777777" w:rsidR="002779EA" w:rsidRPr="001F4CC8" w:rsidRDefault="002779EA"/>
    <w:tbl>
      <w:tblPr>
        <w:tblW w:w="7200" w:type="dxa"/>
        <w:jc w:val="center"/>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000" w:firstRow="0" w:lastRow="0" w:firstColumn="0" w:lastColumn="0" w:noHBand="0" w:noVBand="0"/>
      </w:tblPr>
      <w:tblGrid>
        <w:gridCol w:w="7200"/>
      </w:tblGrid>
      <w:tr w:rsidR="0074384E" w:rsidRPr="001F4CC8" w14:paraId="5AC28393" w14:textId="77777777" w:rsidTr="39BA5C6C">
        <w:trPr>
          <w:trHeight w:val="480"/>
          <w:jc w:val="center"/>
        </w:trPr>
        <w:tc>
          <w:tcPr>
            <w:tcW w:w="7200" w:type="dxa"/>
            <w:vAlign w:val="center"/>
          </w:tcPr>
          <w:p w14:paraId="757D1604" w14:textId="77777777" w:rsidR="002779EA" w:rsidRPr="001F4CC8" w:rsidRDefault="00F0516C">
            <w:pPr>
              <w:jc w:val="center"/>
            </w:pPr>
            <w:r w:rsidRPr="001F4CC8">
              <w:rPr>
                <w:b/>
              </w:rPr>
              <w:t>SUMMARY</w:t>
            </w:r>
          </w:p>
        </w:tc>
      </w:tr>
      <w:tr w:rsidR="002779EA" w:rsidRPr="001F4CC8" w14:paraId="7C4FE594" w14:textId="77777777">
        <w:trPr>
          <w:jc w:val="center"/>
        </w:trPr>
        <w:tc>
          <w:tcPr>
            <w:tcW w:w="7200" w:type="dxa"/>
          </w:tcPr>
          <w:p w14:paraId="733E7C6F" w14:textId="31A62B36" w:rsidR="002779EA" w:rsidRPr="001F4CC8" w:rsidRDefault="0055770F">
            <w:r>
              <w:t xml:space="preserve">This paper provides some considerations </w:t>
            </w:r>
            <w:r w:rsidR="0A29EF77">
              <w:t xml:space="preserve">for </w:t>
            </w:r>
            <w:r w:rsidR="51BFE7F9">
              <w:t xml:space="preserve">changes </w:t>
            </w:r>
            <w:r>
              <w:t xml:space="preserve">to update the </w:t>
            </w:r>
            <w:r w:rsidR="00BA665A" w:rsidRPr="001F4CC8">
              <w:t>ITU</w:t>
            </w:r>
            <w:r>
              <w:t>-R</w:t>
            </w:r>
            <w:r w:rsidR="00BA665A" w:rsidRPr="001F4CC8">
              <w:t xml:space="preserve"> RR Appendix 27 in support of WideBand </w:t>
            </w:r>
            <w:r w:rsidR="00F0516C" w:rsidRPr="001F4CC8">
              <w:t xml:space="preserve">HF </w:t>
            </w:r>
            <w:r w:rsidR="00BA665A" w:rsidRPr="001F4CC8">
              <w:t xml:space="preserve">(WBHF) </w:t>
            </w:r>
            <w:r w:rsidR="00F0516C" w:rsidRPr="001F4CC8">
              <w:t xml:space="preserve">aeronautical communications.  </w:t>
            </w:r>
            <w:r>
              <w:t>F</w:t>
            </w:r>
            <w:r w:rsidR="00F0516C" w:rsidRPr="001F4CC8">
              <w:t xml:space="preserve">eedback </w:t>
            </w:r>
            <w:r>
              <w:t xml:space="preserve">is sought </w:t>
            </w:r>
            <w:r w:rsidR="00EE72E2" w:rsidRPr="001F4CC8">
              <w:t>from the FSMP on the proposed updates</w:t>
            </w:r>
            <w:r w:rsidR="002B10A6" w:rsidRPr="001F4CC8">
              <w:t xml:space="preserve"> towards a WRC-23 agenda ite</w:t>
            </w:r>
            <w:r w:rsidR="003B3CF5" w:rsidRPr="001F4CC8">
              <w:t>m</w:t>
            </w:r>
            <w:r w:rsidR="00F0516C" w:rsidRPr="001F4CC8">
              <w:t xml:space="preserve"> and how the system could be implemented </w:t>
            </w:r>
            <w:r w:rsidR="006D5CE2" w:rsidRPr="001F4CC8">
              <w:t>within</w:t>
            </w:r>
            <w:r w:rsidR="00F0516C" w:rsidRPr="001F4CC8">
              <w:t xml:space="preserve"> the current HF spectrum rules at the ITU-R and nationally.  </w:t>
            </w:r>
          </w:p>
          <w:p w14:paraId="3F38ACF4" w14:textId="77777777" w:rsidR="002779EA" w:rsidRPr="001F4CC8" w:rsidRDefault="002779EA"/>
        </w:tc>
      </w:tr>
    </w:tbl>
    <w:p w14:paraId="20274FE9" w14:textId="77777777" w:rsidR="002779EA" w:rsidRPr="001F4CC8" w:rsidRDefault="002779EA"/>
    <w:p w14:paraId="1F315BEA" w14:textId="77777777" w:rsidR="002779EA" w:rsidRPr="001F4CC8" w:rsidRDefault="002779EA"/>
    <w:p w14:paraId="439FD150" w14:textId="77777777" w:rsidR="002779EA" w:rsidRPr="001F4CC8" w:rsidRDefault="00F0516C">
      <w:pPr>
        <w:numPr>
          <w:ilvl w:val="0"/>
          <w:numId w:val="7"/>
        </w:numPr>
        <w:pBdr>
          <w:top w:val="nil"/>
          <w:left w:val="nil"/>
          <w:bottom w:val="nil"/>
          <w:right w:val="nil"/>
          <w:between w:val="nil"/>
        </w:pBdr>
        <w:spacing w:before="240" w:after="240"/>
        <w:ind w:right="2880"/>
      </w:pPr>
      <w:r w:rsidRPr="001F4CC8">
        <w:rPr>
          <w:b/>
          <w:color w:val="000000"/>
        </w:rPr>
        <w:t>INTRODUCTION</w:t>
      </w:r>
    </w:p>
    <w:p w14:paraId="652DB178" w14:textId="0786364B" w:rsidR="002779EA" w:rsidRPr="001F4CC8" w:rsidRDefault="00353F36">
      <w:pPr>
        <w:numPr>
          <w:ilvl w:val="1"/>
          <w:numId w:val="7"/>
        </w:numPr>
        <w:jc w:val="left"/>
      </w:pPr>
      <w:r>
        <w:t>While</w:t>
      </w:r>
      <w:r w:rsidR="00F0516C" w:rsidRPr="001F4CC8">
        <w:t xml:space="preserve"> HF Radio communications has been the</w:t>
      </w:r>
      <w:r w:rsidR="001F4CC8">
        <w:t xml:space="preserve"> primary</w:t>
      </w:r>
      <w:r w:rsidR="00F0516C" w:rsidRPr="001F4CC8">
        <w:t xml:space="preserve"> long</w:t>
      </w:r>
      <w:r w:rsidR="001F4CC8">
        <w:t>-</w:t>
      </w:r>
      <w:r w:rsidR="00F0516C" w:rsidRPr="001F4CC8">
        <w:t>range communication system for safe, efficient air travel over long range routes beyond the range of ground-based VHF radios</w:t>
      </w:r>
      <w:r>
        <w:t>;</w:t>
      </w:r>
      <w:r w:rsidR="00F0516C" w:rsidRPr="001F4CC8">
        <w:t xml:space="preserve"> modern technology now provides alternate solutions, namely </w:t>
      </w:r>
      <w:r w:rsidR="00EB0C92">
        <w:t>aeronautical mobile-satellite (R) service (</w:t>
      </w:r>
      <w:r w:rsidR="001F4CC8">
        <w:t>AM</w:t>
      </w:r>
      <w:r w:rsidR="004F6055">
        <w:t>S</w:t>
      </w:r>
      <w:r w:rsidR="001F4CC8">
        <w:t>(R)S</w:t>
      </w:r>
      <w:r w:rsidR="00EB0C92">
        <w:t>)</w:t>
      </w:r>
      <w:r w:rsidR="001F4CC8">
        <w:t xml:space="preserve"> </w:t>
      </w:r>
      <w:r w:rsidR="00F0516C" w:rsidRPr="001F4CC8">
        <w:t>satellite communications (SATCOM) which are now authorized by regulatory authorities for use in long</w:t>
      </w:r>
      <w:r w:rsidR="001F4CC8">
        <w:t>-</w:t>
      </w:r>
      <w:r w:rsidR="00F0516C" w:rsidRPr="001F4CC8">
        <w:t>range aeronautical communications.</w:t>
      </w:r>
      <w:r>
        <w:t xml:space="preserve"> T</w:t>
      </w:r>
      <w:r w:rsidRPr="001F4CC8">
        <w:t>errestrial and space-based systems work well together in a complementary and synergistic fashion to offer better performance, reliability and availability than either system alone.  Having both space-based and terrestrial means of long</w:t>
      </w:r>
      <w:r>
        <w:t>-</w:t>
      </w:r>
      <w:r w:rsidRPr="001F4CC8">
        <w:t>range communication, termed “link diversity,” mitigates single point of failure concerns associated with vulnerabilities which differ for each system (e.g., solar events, rain fade, jamming, hardware failures, etc.).</w:t>
      </w:r>
    </w:p>
    <w:p w14:paraId="45142724" w14:textId="7B770AD8" w:rsidR="00754760" w:rsidRPr="001F4CC8" w:rsidRDefault="00754760" w:rsidP="00353F36">
      <w:pPr>
        <w:jc w:val="left"/>
      </w:pPr>
    </w:p>
    <w:p w14:paraId="312E753C" w14:textId="77777777" w:rsidR="00754760" w:rsidRPr="001F4CC8" w:rsidRDefault="00754760" w:rsidP="00754760">
      <w:pPr>
        <w:pStyle w:val="ListParagraph"/>
        <w:rPr>
          <w:szCs w:val="22"/>
        </w:rPr>
      </w:pPr>
    </w:p>
    <w:p w14:paraId="5E543A83" w14:textId="19E5686F" w:rsidR="00754760" w:rsidRPr="001F4CC8" w:rsidRDefault="00EB0C92" w:rsidP="00754760">
      <w:pPr>
        <w:numPr>
          <w:ilvl w:val="1"/>
          <w:numId w:val="7"/>
        </w:numPr>
        <w:jc w:val="left"/>
      </w:pPr>
      <w:r>
        <w:t>A</w:t>
      </w:r>
      <w:r w:rsidR="00754760" w:rsidRPr="001F4CC8">
        <w:t xml:space="preserve"> next generation wideband HF radio system, “HF Next,” </w:t>
      </w:r>
      <w:r>
        <w:t xml:space="preserve">is being developed </w:t>
      </w:r>
      <w:r w:rsidR="00A945BD">
        <w:t>to</w:t>
      </w:r>
      <w:r w:rsidR="00754760" w:rsidRPr="001F4CC8">
        <w:t xml:space="preserve"> address the limitations of today’s HF radio communications systems</w:t>
      </w:r>
      <w:r w:rsidR="00A945BD">
        <w:t xml:space="preserve"> (i</w:t>
      </w:r>
      <w:r w:rsidR="00007A82">
        <w:t>.</w:t>
      </w:r>
      <w:r w:rsidR="00A945BD">
        <w:t>e.</w:t>
      </w:r>
      <w:r w:rsidR="00754760" w:rsidRPr="001F4CC8">
        <w:t xml:space="preserve"> intelligibility of analog voice communications and slow throughput of data over HFDL</w:t>
      </w:r>
      <w:r w:rsidR="00A945BD">
        <w:t>)</w:t>
      </w:r>
      <w:r w:rsidR="00754760" w:rsidRPr="001F4CC8">
        <w:t xml:space="preserve">.  In </w:t>
      </w:r>
      <w:r w:rsidR="00A945BD">
        <w:t>support this</w:t>
      </w:r>
      <w:r w:rsidR="00754760" w:rsidRPr="001F4CC8">
        <w:t xml:space="preserve">, HF radio regulations governing the </w:t>
      </w:r>
      <w:r w:rsidR="00007A82" w:rsidRPr="001F4CC8">
        <w:t>allo</w:t>
      </w:r>
      <w:r w:rsidR="00007A82">
        <w:t>tment</w:t>
      </w:r>
      <w:r w:rsidR="00A945BD" w:rsidRPr="001F4CC8">
        <w:t xml:space="preserve"> </w:t>
      </w:r>
      <w:r w:rsidR="00754760" w:rsidRPr="001F4CC8">
        <w:t>and use of HF aeronautical spectrum need to be updated.</w:t>
      </w:r>
    </w:p>
    <w:p w14:paraId="6055AAE0" w14:textId="77777777" w:rsidR="002779EA" w:rsidRPr="001F4CC8" w:rsidRDefault="002779EA" w:rsidP="00AC166F">
      <w:pPr>
        <w:ind w:left="720"/>
        <w:jc w:val="left"/>
      </w:pPr>
    </w:p>
    <w:p w14:paraId="518933CF" w14:textId="382E82E3" w:rsidR="00754760" w:rsidRPr="001F4CC8" w:rsidRDefault="00754760" w:rsidP="00754760">
      <w:pPr>
        <w:numPr>
          <w:ilvl w:val="1"/>
          <w:numId w:val="7"/>
        </w:numPr>
        <w:jc w:val="left"/>
      </w:pPr>
      <w:r w:rsidRPr="001F4CC8">
        <w:lastRenderedPageBreak/>
        <w:t xml:space="preserve">At the Eighth Working Group Meeting of the FSMP, </w:t>
      </w:r>
      <w:r w:rsidR="00EB0C92">
        <w:t xml:space="preserve">Working Paper </w:t>
      </w:r>
      <w:r w:rsidR="00EB0C92" w:rsidRPr="00FD6EE3">
        <w:rPr>
          <w:highlight w:val="yellow"/>
        </w:rPr>
        <w:t>xxx</w:t>
      </w:r>
      <w:r w:rsidRPr="001F4CC8">
        <w:t xml:space="preserve"> introduced the concept to modernize the way the HF </w:t>
      </w:r>
      <w:r w:rsidR="00EB0C92">
        <w:t>a</w:t>
      </w:r>
      <w:r w:rsidRPr="001F4CC8">
        <w:t xml:space="preserve">eronautical </w:t>
      </w:r>
      <w:r w:rsidR="00EB0C92">
        <w:t>m</w:t>
      </w:r>
      <w:r w:rsidRPr="001F4CC8">
        <w:t xml:space="preserve">obile </w:t>
      </w:r>
      <w:r w:rsidR="00EB0C92">
        <w:t>(r</w:t>
      </w:r>
      <w:r w:rsidRPr="001F4CC8">
        <w:t>oute</w:t>
      </w:r>
      <w:r w:rsidR="00EB0C92">
        <w:t>)</w:t>
      </w:r>
      <w:r w:rsidRPr="001F4CC8">
        <w:t xml:space="preserve"> </w:t>
      </w:r>
      <w:r w:rsidR="00EB0C92">
        <w:t xml:space="preserve">service (AM(R)S) </w:t>
      </w:r>
      <w:r w:rsidRPr="001F4CC8">
        <w:t xml:space="preserve">spectrum </w:t>
      </w:r>
      <w:r w:rsidR="00EB0C92">
        <w:t xml:space="preserve">is </w:t>
      </w:r>
      <w:r w:rsidRPr="001F4CC8">
        <w:t xml:space="preserve">defined and governed by </w:t>
      </w:r>
      <w:r w:rsidR="00007A82" w:rsidRPr="001F4CC8">
        <w:t>Appendix 27</w:t>
      </w:r>
      <w:r w:rsidR="00007A82">
        <w:t xml:space="preserve"> of the</w:t>
      </w:r>
      <w:r w:rsidR="00007A82" w:rsidRPr="001F4CC8">
        <w:t xml:space="preserve"> </w:t>
      </w:r>
      <w:r w:rsidR="00007A82">
        <w:t xml:space="preserve">ITU-R </w:t>
      </w:r>
      <w:r w:rsidRPr="001F4CC8">
        <w:t>Radio Regulation</w:t>
      </w:r>
      <w:r w:rsidR="00007A82">
        <w:t>s</w:t>
      </w:r>
      <w:r w:rsidRPr="001F4CC8">
        <w:t xml:space="preserve">.  The United States has </w:t>
      </w:r>
      <w:r w:rsidR="004F6055">
        <w:t>draft</w:t>
      </w:r>
      <w:r w:rsidR="004F6055" w:rsidRPr="001F4CC8">
        <w:t xml:space="preserve">ed </w:t>
      </w:r>
      <w:r w:rsidRPr="001F4CC8">
        <w:t xml:space="preserve">a proposal for a WRC-23 future agenda item to update </w:t>
      </w:r>
      <w:r w:rsidR="2271A1D7" w:rsidRPr="001F4CC8">
        <w:t>A</w:t>
      </w:r>
      <w:r w:rsidR="418DF8AB" w:rsidRPr="001F4CC8">
        <w:t>ppendi</w:t>
      </w:r>
      <w:r w:rsidR="0D8737AD">
        <w:t>x</w:t>
      </w:r>
      <w:r w:rsidR="2271A1D7" w:rsidRPr="001F4CC8">
        <w:t xml:space="preserve"> </w:t>
      </w:r>
      <w:r w:rsidRPr="001F4CC8">
        <w:t xml:space="preserve">27 and this has been submitted to CITEL for consideration.   The objective of these updates is to allow use of </w:t>
      </w:r>
      <w:r w:rsidR="004F6055">
        <w:t>multiple</w:t>
      </w:r>
      <w:r w:rsidR="004F6055" w:rsidRPr="001F4CC8">
        <w:t xml:space="preserve"> </w:t>
      </w:r>
      <w:r w:rsidRPr="001F4CC8">
        <w:t>3 kHz channel assignments as a single, wideband channel, and to allow for advanced modulations that would provide greater throughput of information</w:t>
      </w:r>
      <w:r w:rsidR="005C0F00">
        <w:t xml:space="preserve"> (higher data rates)</w:t>
      </w:r>
      <w:r w:rsidRPr="001F4CC8">
        <w:t xml:space="preserve"> and maintain a robust, link-diverse communications architecture. </w:t>
      </w:r>
    </w:p>
    <w:p w14:paraId="17955D46" w14:textId="77777777" w:rsidR="00B73BC3" w:rsidRPr="001F4CC8" w:rsidRDefault="00B73BC3" w:rsidP="00B73BC3">
      <w:pPr>
        <w:numPr>
          <w:ilvl w:val="0"/>
          <w:numId w:val="9"/>
        </w:numPr>
        <w:pBdr>
          <w:top w:val="nil"/>
          <w:left w:val="nil"/>
          <w:bottom w:val="nil"/>
          <w:right w:val="nil"/>
          <w:between w:val="nil"/>
        </w:pBdr>
        <w:spacing w:before="240" w:after="240"/>
        <w:ind w:right="2880"/>
      </w:pPr>
      <w:r w:rsidRPr="001F4CC8">
        <w:rPr>
          <w:b/>
          <w:color w:val="000000"/>
        </w:rPr>
        <w:t>DISCUSSION</w:t>
      </w:r>
    </w:p>
    <w:p w14:paraId="01D05847" w14:textId="0C732562" w:rsidR="005D6DC2" w:rsidRPr="001F4CC8" w:rsidRDefault="0098221E" w:rsidP="005D6DC2">
      <w:pPr>
        <w:numPr>
          <w:ilvl w:val="1"/>
          <w:numId w:val="9"/>
        </w:numPr>
        <w:pBdr>
          <w:top w:val="nil"/>
          <w:left w:val="nil"/>
          <w:bottom w:val="nil"/>
          <w:right w:val="nil"/>
          <w:between w:val="nil"/>
        </w:pBdr>
        <w:tabs>
          <w:tab w:val="left" w:pos="1440"/>
        </w:tabs>
        <w:spacing w:after="240"/>
        <w:jc w:val="left"/>
      </w:pPr>
      <w:r>
        <w:t xml:space="preserve">The </w:t>
      </w:r>
      <w:r w:rsidR="00007A82">
        <w:t xml:space="preserve">regulatory </w:t>
      </w:r>
      <w:r>
        <w:t xml:space="preserve">implementation of </w:t>
      </w:r>
      <w:r w:rsidR="005D6DC2" w:rsidRPr="001F4CC8">
        <w:t xml:space="preserve">WBHF </w:t>
      </w:r>
      <w:r>
        <w:t>will rely on</w:t>
      </w:r>
      <w:r w:rsidR="005D6DC2" w:rsidRPr="001F4CC8">
        <w:t xml:space="preserve"> an overlay approach that will leverage regional negotiation similar to how the current HFDL system is administered. Wideband HF will continue to grow as it develops over the years as more users migrate to the system and wider channels can be implemented.  Integrating the system into a rigid </w:t>
      </w:r>
      <w:r w:rsidR="00004E1A">
        <w:t xml:space="preserve">Appendix 27 </w:t>
      </w:r>
      <w:r w:rsidR="005D6DC2" w:rsidRPr="001F4CC8">
        <w:t xml:space="preserve">allotment plan would preclude system scalability and result in a need to revise Appendix 27 each time </w:t>
      </w:r>
      <w:r w:rsidR="00004E1A">
        <w:t xml:space="preserve">a region adds a </w:t>
      </w:r>
      <w:r w:rsidR="005D6DC2" w:rsidRPr="001F4CC8">
        <w:t xml:space="preserve">new channel to widen the bandwidth. To </w:t>
      </w:r>
      <w:r w:rsidR="00004E1A">
        <w:t>avoid such an overhead on ICAO and the ITU</w:t>
      </w:r>
      <w:r>
        <w:t>-R</w:t>
      </w:r>
      <w:r w:rsidR="005D6DC2" w:rsidRPr="001F4CC8">
        <w:t xml:space="preserve">, </w:t>
      </w:r>
      <w:r w:rsidR="00A30E2D">
        <w:t xml:space="preserve"> the</w:t>
      </w:r>
      <w:r w:rsidR="00F7219F">
        <w:t xml:space="preserve"> </w:t>
      </w:r>
      <w:r w:rsidR="00DC77A7">
        <w:t xml:space="preserve">proposed </w:t>
      </w:r>
      <w:r w:rsidR="005D6DC2" w:rsidRPr="001F4CC8">
        <w:t xml:space="preserve">plan </w:t>
      </w:r>
      <w:r w:rsidR="005A0D6E">
        <w:t xml:space="preserve">would </w:t>
      </w:r>
      <w:r w:rsidR="005D6DC2" w:rsidRPr="001F4CC8">
        <w:t>not revise the entire existing allotment plan</w:t>
      </w:r>
      <w:r w:rsidR="00004E1A">
        <w:t>,</w:t>
      </w:r>
      <w:r>
        <w:t xml:space="preserve"> b</w:t>
      </w:r>
      <w:r w:rsidR="00004E1A">
        <w:t xml:space="preserve">ut create a framework in </w:t>
      </w:r>
      <w:r>
        <w:t>relevant Appendix 27 articles to allow flexibility in implementation away from the ITU-R</w:t>
      </w:r>
      <w:r w:rsidR="00F1231E">
        <w:t xml:space="preserve"> (such as the necessary technical characteristics to support such waveforms and channel widths)</w:t>
      </w:r>
      <w:r w:rsidR="005D6DC2" w:rsidRPr="001F4CC8">
        <w:t xml:space="preserve">. </w:t>
      </w:r>
      <w:r>
        <w:t>This would also limit the necessary Appendix 27 updates</w:t>
      </w:r>
      <w:r w:rsidR="00F1231E">
        <w:t xml:space="preserve">, and with no changes required to the current AM(R)S frequency allocations in </w:t>
      </w:r>
      <w:r w:rsidR="00007A82">
        <w:t xml:space="preserve">ITU-R </w:t>
      </w:r>
      <w:r w:rsidR="00F1231E">
        <w:t>RR Article V, be</w:t>
      </w:r>
      <w:r>
        <w:t xml:space="preserve"> achievable in</w:t>
      </w:r>
      <w:r w:rsidR="00004E1A" w:rsidRPr="001F4CC8">
        <w:t xml:space="preserve"> one WRC cycle.</w:t>
      </w:r>
    </w:p>
    <w:p w14:paraId="4AD7C06C" w14:textId="386DC817" w:rsidR="0098221E" w:rsidRPr="008C0731" w:rsidRDefault="00A94FC9" w:rsidP="00A94FC9">
      <w:pPr>
        <w:pStyle w:val="ListParagraph"/>
        <w:numPr>
          <w:ilvl w:val="1"/>
          <w:numId w:val="9"/>
        </w:numPr>
        <w:pBdr>
          <w:top w:val="nil"/>
          <w:left w:val="nil"/>
          <w:bottom w:val="nil"/>
          <w:right w:val="nil"/>
          <w:between w:val="nil"/>
        </w:pBdr>
        <w:tabs>
          <w:tab w:val="left" w:pos="1440"/>
        </w:tabs>
        <w:spacing w:after="240"/>
        <w:jc w:val="left"/>
        <w:rPr>
          <w:szCs w:val="22"/>
        </w:rPr>
      </w:pPr>
      <w:r w:rsidRPr="008C0731">
        <w:t xml:space="preserve"> </w:t>
      </w:r>
      <w:r w:rsidR="00B447C2">
        <w:t xml:space="preserve">It is </w:t>
      </w:r>
      <w:r w:rsidR="00FD6EE3">
        <w:t xml:space="preserve">anticipated </w:t>
      </w:r>
      <w:r w:rsidR="00B447C2">
        <w:t>that m</w:t>
      </w:r>
      <w:r w:rsidRPr="008C0731">
        <w:t xml:space="preserve">ost of the allotment related discussions and updates </w:t>
      </w:r>
      <w:r w:rsidR="006A2675" w:rsidRPr="008C0731">
        <w:t>would</w:t>
      </w:r>
      <w:r w:rsidRPr="008C0731">
        <w:t xml:space="preserve"> be addressed within ICAO (including regional channel planning)</w:t>
      </w:r>
      <w:r w:rsidR="00745973" w:rsidRPr="008C0731">
        <w:t xml:space="preserve"> and then shared with ITU-R</w:t>
      </w:r>
      <w:r w:rsidRPr="008C0731">
        <w:t xml:space="preserve">. </w:t>
      </w:r>
      <w:r w:rsidR="00B447C2">
        <w:t>A</w:t>
      </w:r>
      <w:r w:rsidR="0098221E" w:rsidRPr="008C0731">
        <w:t xml:space="preserve">ny updates/changes recommended </w:t>
      </w:r>
      <w:r w:rsidR="0098221E" w:rsidRPr="008C0731">
        <w:rPr>
          <w:szCs w:val="22"/>
        </w:rPr>
        <w:t xml:space="preserve">at </w:t>
      </w:r>
      <w:r w:rsidRPr="008C0731">
        <w:rPr>
          <w:szCs w:val="22"/>
        </w:rPr>
        <w:t xml:space="preserve">ITU </w:t>
      </w:r>
      <w:r w:rsidR="0098221E" w:rsidRPr="008C0731">
        <w:rPr>
          <w:szCs w:val="22"/>
        </w:rPr>
        <w:t>WP</w:t>
      </w:r>
      <w:r w:rsidR="0098221E" w:rsidRPr="008C0731">
        <w:t> </w:t>
      </w:r>
      <w:r w:rsidR="0098221E" w:rsidRPr="008C0731">
        <w:rPr>
          <w:szCs w:val="22"/>
        </w:rPr>
        <w:t xml:space="preserve">5B </w:t>
      </w:r>
      <w:r w:rsidR="00B447C2">
        <w:rPr>
          <w:szCs w:val="22"/>
        </w:rPr>
        <w:t>are expected to be liaised</w:t>
      </w:r>
      <w:r w:rsidR="00FD6EE3">
        <w:rPr>
          <w:szCs w:val="22"/>
        </w:rPr>
        <w:t xml:space="preserve"> with</w:t>
      </w:r>
      <w:r w:rsidR="0098221E" w:rsidRPr="008C0731">
        <w:rPr>
          <w:szCs w:val="22"/>
        </w:rPr>
        <w:t xml:space="preserve"> ICAO FSMP </w:t>
      </w:r>
      <w:r w:rsidRPr="008C0731">
        <w:rPr>
          <w:szCs w:val="22"/>
        </w:rPr>
        <w:t xml:space="preserve">and other relevant ICAO panels </w:t>
      </w:r>
      <w:r w:rsidR="0098221E" w:rsidRPr="008C0731">
        <w:rPr>
          <w:szCs w:val="22"/>
        </w:rPr>
        <w:t xml:space="preserve">for review and feedback. FSMP stakeholders </w:t>
      </w:r>
      <w:r w:rsidR="00B447C2">
        <w:rPr>
          <w:szCs w:val="22"/>
        </w:rPr>
        <w:t xml:space="preserve">are encouraged </w:t>
      </w:r>
      <w:r w:rsidR="0098221E" w:rsidRPr="008C0731">
        <w:rPr>
          <w:szCs w:val="22"/>
        </w:rPr>
        <w:t>to support the review of recommended updates and plan for updates to Appendix 27.</w:t>
      </w:r>
    </w:p>
    <w:p w14:paraId="47A07713" w14:textId="66A1E9A1" w:rsidR="005D6DC2" w:rsidRPr="001F4CC8" w:rsidRDefault="005D6DC2" w:rsidP="005D6DC2">
      <w:pPr>
        <w:numPr>
          <w:ilvl w:val="1"/>
          <w:numId w:val="9"/>
        </w:numPr>
        <w:pBdr>
          <w:top w:val="nil"/>
          <w:left w:val="nil"/>
          <w:bottom w:val="nil"/>
          <w:right w:val="nil"/>
          <w:between w:val="nil"/>
        </w:pBdr>
        <w:tabs>
          <w:tab w:val="left" w:pos="1440"/>
        </w:tabs>
        <w:spacing w:after="240"/>
        <w:jc w:val="left"/>
      </w:pPr>
      <w:r w:rsidRPr="001F4CC8">
        <w:t>In support of this Appendix 27 update proposal, attache</w:t>
      </w:r>
      <w:r w:rsidR="00B447C2">
        <w:t>d is</w:t>
      </w:r>
      <w:r w:rsidRPr="001F4CC8">
        <w:t xml:space="preserve"> a</w:t>
      </w:r>
      <w:r w:rsidR="00F1231E">
        <w:t>n early</w:t>
      </w:r>
      <w:r w:rsidRPr="001F4CC8">
        <w:t xml:space="preserve"> copy of </w:t>
      </w:r>
      <w:r>
        <w:t>suggested</w:t>
      </w:r>
      <w:r w:rsidRPr="001F4CC8">
        <w:t xml:space="preserve"> updates to Appendix 27 in support of wideband HF. The goal of these recommended updates </w:t>
      </w:r>
      <w:r w:rsidR="00E510E0">
        <w:t xml:space="preserve">is </w:t>
      </w:r>
      <w:r w:rsidRPr="001F4CC8">
        <w:t>to ensure that the changes support the necessary regulatory framework for WBHF while at the same time keep</w:t>
      </w:r>
      <w:r w:rsidR="00007A82">
        <w:t>ing</w:t>
      </w:r>
      <w:r w:rsidRPr="001F4CC8">
        <w:t xml:space="preserve"> the changes to a minimum to not impact the existing usage of aeronautical safety of life legacy HF users.</w:t>
      </w:r>
      <w:r w:rsidR="00F1231E" w:rsidRPr="00F1231E">
        <w:t xml:space="preserve"> </w:t>
      </w:r>
      <w:r w:rsidR="00F1231E">
        <w:t xml:space="preserve"> These are provided to start an early discussion with ICAO on the way forward</w:t>
      </w:r>
      <w:r w:rsidR="003B0895">
        <w:t xml:space="preserve"> and </w:t>
      </w:r>
      <w:r w:rsidR="00F1231E">
        <w:t xml:space="preserve">seek feedback to ensure the potential future agenda item has a head start if approved for WRC-23.   </w:t>
      </w:r>
    </w:p>
    <w:p w14:paraId="332390F3" w14:textId="3789F76E" w:rsidR="005D6DC2" w:rsidRPr="00A94FC9" w:rsidRDefault="005D6DC2" w:rsidP="00A94FC9">
      <w:pPr>
        <w:numPr>
          <w:ilvl w:val="0"/>
          <w:numId w:val="9"/>
        </w:numPr>
        <w:pBdr>
          <w:top w:val="nil"/>
          <w:left w:val="nil"/>
          <w:bottom w:val="nil"/>
          <w:right w:val="nil"/>
          <w:between w:val="nil"/>
        </w:pBdr>
        <w:tabs>
          <w:tab w:val="left" w:pos="1440"/>
        </w:tabs>
        <w:spacing w:after="240"/>
        <w:jc w:val="left"/>
        <w:rPr>
          <w:b/>
          <w:bCs/>
        </w:rPr>
      </w:pPr>
      <w:r w:rsidRPr="007B2955">
        <w:rPr>
          <w:b/>
          <w:bCs/>
        </w:rPr>
        <w:t>AVIATION INDUSTRY IMPLEMENTATION</w:t>
      </w:r>
    </w:p>
    <w:p w14:paraId="1CCF3A7E" w14:textId="12BDA9B5" w:rsidR="00B90B07" w:rsidRPr="001F4CC8" w:rsidRDefault="002B6613" w:rsidP="00B90B07">
      <w:pPr>
        <w:numPr>
          <w:ilvl w:val="1"/>
          <w:numId w:val="9"/>
        </w:numPr>
        <w:pBdr>
          <w:top w:val="nil"/>
          <w:left w:val="nil"/>
          <w:bottom w:val="nil"/>
          <w:right w:val="nil"/>
          <w:between w:val="nil"/>
        </w:pBdr>
        <w:tabs>
          <w:tab w:val="left" w:pos="1440"/>
        </w:tabs>
        <w:spacing w:after="240"/>
        <w:jc w:val="left"/>
      </w:pPr>
      <w:r w:rsidRPr="001F4CC8">
        <w:t>The SARPS and relevant airborne</w:t>
      </w:r>
      <w:r w:rsidR="00E833FE" w:rsidRPr="001F4CC8">
        <w:t xml:space="preserve"> receiver standards update will </w:t>
      </w:r>
      <w:r w:rsidR="0055770F">
        <w:t xml:space="preserve">be </w:t>
      </w:r>
      <w:r w:rsidR="00E833FE" w:rsidRPr="001F4CC8">
        <w:t xml:space="preserve">addressed through the relevant ICAO panel and RTCA / Eurocae special committees. </w:t>
      </w:r>
      <w:r w:rsidR="00B447C2">
        <w:t>T</w:t>
      </w:r>
      <w:r w:rsidR="009557C4">
        <w:t xml:space="preserve">his item </w:t>
      </w:r>
      <w:r w:rsidR="00B447C2">
        <w:t xml:space="preserve">will also be introduced </w:t>
      </w:r>
      <w:r w:rsidR="009557C4">
        <w:t>at the forthcoming DCIWG</w:t>
      </w:r>
      <w:r w:rsidR="00B57A74">
        <w:t xml:space="preserve"> (Data Communication </w:t>
      </w:r>
      <w:r w:rsidR="00B859BA">
        <w:t xml:space="preserve">Infrastructure </w:t>
      </w:r>
      <w:r w:rsidR="00B57A74">
        <w:t>Working Group)</w:t>
      </w:r>
      <w:r w:rsidR="009557C4">
        <w:t xml:space="preserve"> in October of 2019 </w:t>
      </w:r>
      <w:r w:rsidR="00B447C2">
        <w:t xml:space="preserve">together with a </w:t>
      </w:r>
      <w:r w:rsidR="009557C4">
        <w:t>request that a project team be setup towards ICAO SARPS update activities in support of WBHF.</w:t>
      </w:r>
      <w:r w:rsidR="00F1231E">
        <w:t xml:space="preserve"> </w:t>
      </w:r>
      <w:r w:rsidR="00B447C2">
        <w:t>R</w:t>
      </w:r>
      <w:r w:rsidR="00AE46DA" w:rsidRPr="001F4CC8">
        <w:t xml:space="preserve">elevant </w:t>
      </w:r>
      <w:r w:rsidR="00AD2184" w:rsidRPr="001F4CC8">
        <w:t xml:space="preserve">HF NEXT </w:t>
      </w:r>
      <w:r w:rsidR="00AE46DA" w:rsidRPr="001F4CC8">
        <w:t xml:space="preserve">validation data </w:t>
      </w:r>
      <w:r w:rsidR="00B447C2">
        <w:t xml:space="preserve">will be provided </w:t>
      </w:r>
      <w:r w:rsidR="00AE46DA" w:rsidRPr="001F4CC8">
        <w:t xml:space="preserve">in support of the ICAO SARPS development effort. </w:t>
      </w:r>
      <w:r w:rsidR="00C02F87" w:rsidRPr="001F4CC8">
        <w:t xml:space="preserve">Analysis of technical compatibility between the WBHF system and the current legacy use of airborne HF will be addressed through the SARPS development process. </w:t>
      </w:r>
      <w:r w:rsidR="006634B1">
        <w:t xml:space="preserve">Once the SARPS process is underway, RTCA/Eurocae </w:t>
      </w:r>
      <w:r w:rsidR="00B447C2">
        <w:t xml:space="preserve">will be contacted </w:t>
      </w:r>
      <w:r w:rsidR="006634B1">
        <w:t xml:space="preserve">in order to initiate an Airborne </w:t>
      </w:r>
      <w:r w:rsidR="001F69AA">
        <w:t xml:space="preserve">HF </w:t>
      </w:r>
      <w:r w:rsidR="006634B1">
        <w:t xml:space="preserve">radio MOPS development effort in </w:t>
      </w:r>
      <w:r w:rsidR="00EA7D21">
        <w:t>late</w:t>
      </w:r>
      <w:r w:rsidR="006634B1">
        <w:t xml:space="preserve"> 2020. A </w:t>
      </w:r>
      <w:r w:rsidR="008C0731">
        <w:t>full-fledged</w:t>
      </w:r>
      <w:r w:rsidR="006634B1">
        <w:t xml:space="preserve"> rollout of the WBHF system worldwide is anticipated in 2026</w:t>
      </w:r>
      <w:r w:rsidR="00B90B07">
        <w:t xml:space="preserve"> with </w:t>
      </w:r>
      <w:r w:rsidR="00B90B07" w:rsidRPr="001F4CC8">
        <w:t>plans</w:t>
      </w:r>
      <w:r w:rsidR="003E6632">
        <w:t xml:space="preserve"> </w:t>
      </w:r>
      <w:r w:rsidR="00475E16">
        <w:t xml:space="preserve">for </w:t>
      </w:r>
      <w:r w:rsidR="00475E16" w:rsidRPr="001F4CC8">
        <w:t>initial</w:t>
      </w:r>
      <w:r w:rsidR="00B90B07" w:rsidRPr="001F4CC8">
        <w:t xml:space="preserve"> system rollout by the end of 2023. </w:t>
      </w:r>
      <w:r w:rsidR="00B90B07" w:rsidRPr="007F6562">
        <w:t xml:space="preserve"> </w:t>
      </w:r>
      <w:r w:rsidR="00B90B07">
        <w:t>In parallel with the WRC effort, a launch customer</w:t>
      </w:r>
      <w:r w:rsidR="00B447C2">
        <w:t xml:space="preserve"> will be identified to</w:t>
      </w:r>
      <w:r w:rsidR="00B90B07">
        <w:t xml:space="preserve"> </w:t>
      </w:r>
      <w:r w:rsidR="00CC0966">
        <w:t>initiate regional</w:t>
      </w:r>
      <w:r w:rsidR="00B90B07">
        <w:t xml:space="preserve"> </w:t>
      </w:r>
      <w:r w:rsidR="004D2E3A">
        <w:t xml:space="preserve">rollout </w:t>
      </w:r>
      <w:r w:rsidR="00B90B07">
        <w:t xml:space="preserve">and have </w:t>
      </w:r>
      <w:r w:rsidR="004D2E3A">
        <w:t xml:space="preserve">preliminary </w:t>
      </w:r>
      <w:r w:rsidR="00B90B07">
        <w:lastRenderedPageBreak/>
        <w:t>ground station capability in support of WBHF</w:t>
      </w:r>
      <w:r w:rsidR="00475E16">
        <w:t xml:space="preserve"> by the end of 2023</w:t>
      </w:r>
      <w:r w:rsidR="00B90B07">
        <w:t xml:space="preserve">. </w:t>
      </w:r>
      <w:r w:rsidR="00B447C2">
        <w:t>C</w:t>
      </w:r>
      <w:r w:rsidR="00B90B07">
        <w:t xml:space="preserve">hannels assigned under special agreements for the initial service </w:t>
      </w:r>
      <w:r w:rsidR="00B447C2">
        <w:t xml:space="preserve">are planned for use </w:t>
      </w:r>
      <w:r w:rsidR="00B90B07">
        <w:t xml:space="preserve">in the interim </w:t>
      </w:r>
      <w:r w:rsidR="00EB4CFE">
        <w:t>un</w:t>
      </w:r>
      <w:r w:rsidR="00B90B07">
        <w:t xml:space="preserve">til the WRC effort is concluded. </w:t>
      </w:r>
    </w:p>
    <w:p w14:paraId="34849A39" w14:textId="783A04DF" w:rsidR="00402840" w:rsidRDefault="00402840" w:rsidP="00F1231E">
      <w:pPr>
        <w:numPr>
          <w:ilvl w:val="1"/>
          <w:numId w:val="9"/>
        </w:numPr>
        <w:pBdr>
          <w:top w:val="nil"/>
          <w:left w:val="nil"/>
          <w:bottom w:val="nil"/>
          <w:right w:val="nil"/>
          <w:between w:val="nil"/>
        </w:pBdr>
        <w:tabs>
          <w:tab w:val="left" w:pos="1440"/>
        </w:tabs>
        <w:spacing w:after="240"/>
        <w:jc w:val="left"/>
      </w:pPr>
      <w:r w:rsidRPr="001F4CC8">
        <w:t xml:space="preserve">Alternate WBHF approaches espoused by other radio and system designers are expected to co-exist alongside </w:t>
      </w:r>
      <w:r w:rsidR="00B447C2">
        <w:t>the briefed</w:t>
      </w:r>
      <w:r w:rsidRPr="001F4CC8">
        <w:t xml:space="preserve"> contiguous WBHF approach as long as the new entrants meet the out of band airborne HF spectral requirements and ensure compatibility with existing analog uses of HF.  </w:t>
      </w:r>
      <w:r w:rsidR="00B447C2">
        <w:t>Proposed Appendix 27 updates should accommodate all of those approaches.</w:t>
      </w:r>
    </w:p>
    <w:p w14:paraId="15EA8C01" w14:textId="6AD1FCA6" w:rsidR="001405AA" w:rsidRPr="001F4CC8" w:rsidRDefault="003B2015" w:rsidP="001405AA">
      <w:pPr>
        <w:pStyle w:val="ListParagraph"/>
        <w:numPr>
          <w:ilvl w:val="1"/>
          <w:numId w:val="9"/>
        </w:numPr>
        <w:jc w:val="left"/>
        <w:rPr>
          <w:szCs w:val="22"/>
        </w:rPr>
      </w:pPr>
      <w:r>
        <w:rPr>
          <w:szCs w:val="22"/>
        </w:rPr>
        <w:t>As a</w:t>
      </w:r>
      <w:r w:rsidR="001405AA">
        <w:rPr>
          <w:szCs w:val="22"/>
        </w:rPr>
        <w:t xml:space="preserve"> </w:t>
      </w:r>
      <w:r>
        <w:rPr>
          <w:szCs w:val="22"/>
        </w:rPr>
        <w:t>point of reference,</w:t>
      </w:r>
      <w:r w:rsidR="001405AA">
        <w:rPr>
          <w:szCs w:val="22"/>
        </w:rPr>
        <w:t xml:space="preserve"> </w:t>
      </w:r>
      <w:r w:rsidR="001405AA" w:rsidRPr="001F4CC8">
        <w:rPr>
          <w:szCs w:val="22"/>
        </w:rPr>
        <w:t xml:space="preserve">Table D-II, taken from </w:t>
      </w:r>
      <w:r w:rsidR="001405AA">
        <w:rPr>
          <w:szCs w:val="22"/>
        </w:rPr>
        <w:t xml:space="preserve">the openly available </w:t>
      </w:r>
      <w:r w:rsidR="001405AA" w:rsidRPr="001F4CC8">
        <w:rPr>
          <w:szCs w:val="22"/>
        </w:rPr>
        <w:t xml:space="preserve">MIL-STD-188-110D, shows the </w:t>
      </w:r>
      <w:r w:rsidR="001405AA" w:rsidRPr="00EB5E1D">
        <w:rPr>
          <w:szCs w:val="22"/>
        </w:rPr>
        <w:t>theoretical data speeds</w:t>
      </w:r>
      <w:r w:rsidR="001405AA" w:rsidRPr="005B1D10">
        <w:rPr>
          <w:szCs w:val="22"/>
        </w:rPr>
        <w:t xml:space="preserve"> t</w:t>
      </w:r>
      <w:r w:rsidR="001405AA" w:rsidRPr="001F4CC8">
        <w:rPr>
          <w:szCs w:val="22"/>
        </w:rPr>
        <w:t>hat can be achieved with advanced modulation waveforms on contiguous channels utilized as a wide-band channel.</w:t>
      </w:r>
      <w:r w:rsidR="00123D96">
        <w:rPr>
          <w:szCs w:val="22"/>
        </w:rPr>
        <w:t xml:space="preserve"> </w:t>
      </w:r>
    </w:p>
    <w:p w14:paraId="6209CC3E" w14:textId="77777777" w:rsidR="001405AA" w:rsidRPr="001F4CC8" w:rsidRDefault="001405AA" w:rsidP="001405AA">
      <w:pPr>
        <w:jc w:val="left"/>
      </w:pPr>
    </w:p>
    <w:p w14:paraId="2CED441C" w14:textId="77777777" w:rsidR="001405AA" w:rsidRPr="001F4CC8" w:rsidRDefault="001405AA" w:rsidP="001405AA">
      <w:pPr>
        <w:jc w:val="left"/>
      </w:pPr>
    </w:p>
    <w:p w14:paraId="255ABAFE" w14:textId="77777777" w:rsidR="001405AA" w:rsidRPr="001F4CC8" w:rsidRDefault="001405AA" w:rsidP="001405AA">
      <w:pPr>
        <w:jc w:val="center"/>
      </w:pPr>
      <w:r w:rsidRPr="001F4CC8">
        <w:rPr>
          <w:noProof/>
          <w:lang w:val="en-GB" w:eastAsia="zh-CN"/>
        </w:rPr>
        <w:drawing>
          <wp:inline distT="114300" distB="114300" distL="114300" distR="114300" wp14:anchorId="3073E86D" wp14:editId="69A8690D">
            <wp:extent cx="5635943" cy="187864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635943" cy="1878648"/>
                    </a:xfrm>
                    <a:prstGeom prst="rect">
                      <a:avLst/>
                    </a:prstGeom>
                    <a:ln/>
                  </pic:spPr>
                </pic:pic>
              </a:graphicData>
            </a:graphic>
          </wp:inline>
        </w:drawing>
      </w:r>
    </w:p>
    <w:p w14:paraId="24C46D6E" w14:textId="77777777" w:rsidR="001405AA" w:rsidRPr="001F4CC8" w:rsidRDefault="001405AA" w:rsidP="001405AA">
      <w:pPr>
        <w:jc w:val="center"/>
      </w:pPr>
    </w:p>
    <w:p w14:paraId="1EA6CF8F" w14:textId="77777777" w:rsidR="001405AA" w:rsidRPr="001F4CC8" w:rsidRDefault="001405AA" w:rsidP="001405AA">
      <w:pPr>
        <w:jc w:val="center"/>
      </w:pPr>
      <w:r w:rsidRPr="001F4CC8">
        <w:t>TABLE D-II from MIL-STD-188-110D</w:t>
      </w:r>
    </w:p>
    <w:p w14:paraId="00755614" w14:textId="77777777" w:rsidR="001405AA" w:rsidRPr="001F4CC8" w:rsidRDefault="001405AA" w:rsidP="001405AA">
      <w:pPr>
        <w:jc w:val="center"/>
      </w:pPr>
      <w:r w:rsidRPr="001F4CC8">
        <w:t>Modulation used to obtain each data rate.</w:t>
      </w:r>
    </w:p>
    <w:p w14:paraId="64D9E31C" w14:textId="77777777" w:rsidR="001405AA" w:rsidRPr="001F4CC8" w:rsidRDefault="001405AA" w:rsidP="001405AA">
      <w:pPr>
        <w:pBdr>
          <w:top w:val="nil"/>
          <w:left w:val="nil"/>
          <w:bottom w:val="nil"/>
          <w:right w:val="nil"/>
          <w:between w:val="nil"/>
        </w:pBdr>
        <w:tabs>
          <w:tab w:val="left" w:pos="1440"/>
        </w:tabs>
        <w:spacing w:after="240"/>
        <w:ind w:left="720"/>
        <w:jc w:val="left"/>
      </w:pPr>
    </w:p>
    <w:p w14:paraId="03362B95" w14:textId="5469738F" w:rsidR="007F6562" w:rsidRPr="001F4CC8" w:rsidRDefault="007F6562" w:rsidP="008C0731">
      <w:pPr>
        <w:pBdr>
          <w:top w:val="nil"/>
          <w:left w:val="nil"/>
          <w:bottom w:val="nil"/>
          <w:right w:val="nil"/>
          <w:between w:val="nil"/>
        </w:pBdr>
        <w:tabs>
          <w:tab w:val="left" w:pos="1440"/>
        </w:tabs>
        <w:spacing w:after="240"/>
        <w:ind w:left="720"/>
        <w:jc w:val="left"/>
      </w:pPr>
    </w:p>
    <w:p w14:paraId="700B139A" w14:textId="77777777" w:rsidR="00660B51" w:rsidRDefault="00F0516C" w:rsidP="0090063F">
      <w:pPr>
        <w:numPr>
          <w:ilvl w:val="0"/>
          <w:numId w:val="13"/>
        </w:numPr>
        <w:pBdr>
          <w:top w:val="nil"/>
          <w:left w:val="nil"/>
          <w:bottom w:val="nil"/>
          <w:right w:val="nil"/>
          <w:between w:val="nil"/>
        </w:pBdr>
        <w:spacing w:before="240" w:after="240"/>
        <w:ind w:right="2880"/>
      </w:pPr>
      <w:bookmarkStart w:id="4" w:name="_3znysh7" w:colFirst="0" w:colLast="0"/>
      <w:bookmarkEnd w:id="4"/>
      <w:r w:rsidRPr="001F4CC8">
        <w:rPr>
          <w:b/>
          <w:color w:val="000000"/>
        </w:rPr>
        <w:t>ACTION BY THE MEETING</w:t>
      </w:r>
    </w:p>
    <w:p w14:paraId="7162B593" w14:textId="5029D632" w:rsidR="00660B51" w:rsidRDefault="00660B51" w:rsidP="0090063F">
      <w:pPr>
        <w:numPr>
          <w:ilvl w:val="1"/>
          <w:numId w:val="20"/>
        </w:numPr>
        <w:pBdr>
          <w:top w:val="nil"/>
          <w:left w:val="nil"/>
          <w:bottom w:val="nil"/>
          <w:right w:val="nil"/>
          <w:between w:val="nil"/>
        </w:pBdr>
        <w:spacing w:before="240" w:after="240"/>
        <w:ind w:right="2880"/>
      </w:pPr>
      <w:r w:rsidRPr="001F4CC8">
        <w:t xml:space="preserve">The meeting is invited to: </w:t>
      </w:r>
    </w:p>
    <w:p w14:paraId="72DCB9FE" w14:textId="77777777" w:rsidR="00660B51" w:rsidRPr="001F4CC8" w:rsidRDefault="00660B51" w:rsidP="00660B51">
      <w:pPr>
        <w:pStyle w:val="ListParagraph"/>
        <w:pBdr>
          <w:top w:val="nil"/>
          <w:left w:val="nil"/>
          <w:bottom w:val="nil"/>
          <w:right w:val="nil"/>
          <w:between w:val="nil"/>
        </w:pBdr>
        <w:tabs>
          <w:tab w:val="left" w:pos="1440"/>
        </w:tabs>
        <w:spacing w:after="240"/>
        <w:jc w:val="left"/>
      </w:pPr>
    </w:p>
    <w:p w14:paraId="18D82D34" w14:textId="77777777" w:rsidR="00660B51" w:rsidRDefault="00660B51" w:rsidP="00660B51">
      <w:pPr>
        <w:pStyle w:val="ListParagraph"/>
        <w:numPr>
          <w:ilvl w:val="2"/>
          <w:numId w:val="19"/>
        </w:numPr>
        <w:pBdr>
          <w:top w:val="nil"/>
          <w:left w:val="nil"/>
          <w:bottom w:val="nil"/>
          <w:right w:val="nil"/>
          <w:between w:val="nil"/>
        </w:pBdr>
        <w:tabs>
          <w:tab w:val="left" w:pos="1440"/>
        </w:tabs>
        <w:spacing w:after="240"/>
        <w:jc w:val="left"/>
      </w:pPr>
      <w:r w:rsidRPr="001F4CC8">
        <w:t>Review this working paper and enclosed attachment with proposed updates to Appendix 27 of the ITU RR</w:t>
      </w:r>
    </w:p>
    <w:p w14:paraId="384AD4F8" w14:textId="77777777" w:rsidR="00660B51" w:rsidRDefault="00660B51" w:rsidP="00660B51">
      <w:pPr>
        <w:pStyle w:val="ListParagraph"/>
        <w:numPr>
          <w:ilvl w:val="2"/>
          <w:numId w:val="19"/>
        </w:numPr>
        <w:pBdr>
          <w:top w:val="nil"/>
          <w:left w:val="nil"/>
          <w:bottom w:val="nil"/>
          <w:right w:val="nil"/>
          <w:between w:val="nil"/>
        </w:pBdr>
        <w:tabs>
          <w:tab w:val="left" w:pos="1440"/>
        </w:tabs>
        <w:spacing w:after="240"/>
        <w:jc w:val="left"/>
      </w:pPr>
      <w:r>
        <w:t>Provide feedback on the proposed way forward</w:t>
      </w:r>
    </w:p>
    <w:p w14:paraId="29D906F6" w14:textId="77777777" w:rsidR="00660B51" w:rsidRPr="00EB5E1D" w:rsidRDefault="00660B51" w:rsidP="00660B51">
      <w:pPr>
        <w:pStyle w:val="ListParagraph"/>
        <w:numPr>
          <w:ilvl w:val="2"/>
          <w:numId w:val="19"/>
        </w:numPr>
        <w:pBdr>
          <w:top w:val="nil"/>
          <w:left w:val="nil"/>
          <w:bottom w:val="nil"/>
          <w:right w:val="nil"/>
          <w:between w:val="nil"/>
        </w:pBdr>
        <w:tabs>
          <w:tab w:val="left" w:pos="1440"/>
        </w:tabs>
        <w:spacing w:after="240"/>
        <w:jc w:val="left"/>
      </w:pPr>
      <w:r w:rsidRPr="00EB5E1D">
        <w:t xml:space="preserve">Support the proposed activities and direction for a new WRC-23 agenda item. </w:t>
      </w:r>
    </w:p>
    <w:p w14:paraId="5E5D467A" w14:textId="77777777" w:rsidR="00660B51" w:rsidRPr="001F4CC8" w:rsidRDefault="00660B51" w:rsidP="008F454A">
      <w:pPr>
        <w:pBdr>
          <w:top w:val="nil"/>
          <w:left w:val="nil"/>
          <w:bottom w:val="nil"/>
          <w:right w:val="nil"/>
          <w:between w:val="nil"/>
        </w:pBdr>
        <w:spacing w:before="240" w:after="240"/>
        <w:ind w:right="2880"/>
      </w:pPr>
    </w:p>
    <w:p w14:paraId="403AD8A1" w14:textId="77777777" w:rsidR="00660B51" w:rsidRDefault="00660B51" w:rsidP="008F454A">
      <w:pPr>
        <w:pBdr>
          <w:top w:val="nil"/>
          <w:left w:val="nil"/>
          <w:bottom w:val="nil"/>
          <w:right w:val="nil"/>
          <w:between w:val="nil"/>
        </w:pBdr>
        <w:tabs>
          <w:tab w:val="left" w:pos="1440"/>
        </w:tabs>
        <w:spacing w:after="240"/>
        <w:jc w:val="left"/>
      </w:pPr>
    </w:p>
    <w:p w14:paraId="2A9075F0" w14:textId="77777777" w:rsidR="00AD37E8" w:rsidRDefault="00AD37E8">
      <w:pPr>
        <w:spacing w:before="600"/>
        <w:jc w:val="center"/>
      </w:pPr>
    </w:p>
    <w:p w14:paraId="7FC8F200" w14:textId="5EF89128" w:rsidR="00A608C6" w:rsidRDefault="00F0516C" w:rsidP="00A608C6">
      <w:pPr>
        <w:spacing w:before="600"/>
        <w:jc w:val="center"/>
      </w:pPr>
      <w:r w:rsidRPr="001F4CC8">
        <w:lastRenderedPageBreak/>
        <w:t>— END —</w:t>
      </w:r>
    </w:p>
    <w:p w14:paraId="1A62FCE2" w14:textId="31F5BD72" w:rsidR="00A608C6" w:rsidRDefault="00A608C6" w:rsidP="00256168">
      <w:pPr>
        <w:spacing w:before="600"/>
      </w:pPr>
      <w:r>
        <w:t>Attachment:</w:t>
      </w:r>
    </w:p>
    <w:bookmarkStart w:id="5" w:name="_MON_1626789572"/>
    <w:bookmarkEnd w:id="5"/>
    <w:p w14:paraId="0674000E" w14:textId="72B82574" w:rsidR="00A608C6" w:rsidRPr="001F4CC8" w:rsidRDefault="006E6DE7" w:rsidP="00256168">
      <w:pPr>
        <w:spacing w:before="600"/>
      </w:pPr>
      <w:r>
        <w:rPr>
          <w:noProof/>
        </w:rPr>
        <w:object w:dxaOrig="1562" w:dyaOrig="1011" w14:anchorId="6094D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8.05pt;height:51.15pt;mso-width-percent:0;mso-height-percent:0;mso-width-percent:0;mso-height-percent:0" o:ole="">
            <v:imagedata r:id="rId12" o:title=""/>
          </v:shape>
          <o:OLEObject Type="Embed" ProgID="Excel.Sheet.12" ShapeID="_x0000_i1025" DrawAspect="Icon" ObjectID="_1627972633" r:id="rId13"/>
        </w:object>
      </w:r>
    </w:p>
    <w:sectPr w:rsidR="00A608C6" w:rsidRPr="001F4CC8" w:rsidSect="00296A17">
      <w:headerReference w:type="even" r:id="rId14"/>
      <w:headerReference w:type="default" r:id="rId15"/>
      <w:footerReference w:type="even" r:id="rId16"/>
      <w:footerReference w:type="default" r:id="rId17"/>
      <w:headerReference w:type="first" r:id="rId18"/>
      <w:footerReference w:type="first" r:id="rId19"/>
      <w:pgSz w:w="12242" w:h="15842"/>
      <w:pgMar w:top="1627" w:right="1247" w:bottom="1440" w:left="1247" w:header="1009"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19D0C" w14:textId="77777777" w:rsidR="006E6DE7" w:rsidRDefault="006E6DE7">
      <w:r>
        <w:separator/>
      </w:r>
    </w:p>
  </w:endnote>
  <w:endnote w:type="continuationSeparator" w:id="0">
    <w:p w14:paraId="271EF19D" w14:textId="77777777" w:rsidR="006E6DE7" w:rsidRDefault="006E6DE7">
      <w:r>
        <w:continuationSeparator/>
      </w:r>
    </w:p>
  </w:endnote>
  <w:endnote w:type="continuationNotice" w:id="1">
    <w:p w14:paraId="366B5AC5" w14:textId="77777777" w:rsidR="006E6DE7" w:rsidRDefault="006E6D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092B0" w14:textId="77777777" w:rsidR="006828EF" w:rsidRDefault="006828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F9ED9" w14:textId="77777777" w:rsidR="006828EF" w:rsidRDefault="006828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1BC95" w14:textId="77777777" w:rsidR="006828EF" w:rsidRDefault="00682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79551" w14:textId="77777777" w:rsidR="006E6DE7" w:rsidRDefault="006E6DE7">
      <w:r>
        <w:separator/>
      </w:r>
    </w:p>
  </w:footnote>
  <w:footnote w:type="continuationSeparator" w:id="0">
    <w:p w14:paraId="1AC925B8" w14:textId="77777777" w:rsidR="006E6DE7" w:rsidRDefault="006E6DE7">
      <w:r>
        <w:continuationSeparator/>
      </w:r>
    </w:p>
  </w:footnote>
  <w:footnote w:type="continuationNotice" w:id="1">
    <w:p w14:paraId="1A9F0573" w14:textId="77777777" w:rsidR="006E6DE7" w:rsidRDefault="006E6D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A1F6F" w14:textId="6087A96D" w:rsidR="002779EA" w:rsidRDefault="00F0516C" w:rsidP="006828EF">
    <w:pPr>
      <w:tabs>
        <w:tab w:val="center" w:pos="4876"/>
      </w:tabs>
      <w:spacing w:after="600"/>
    </w:pPr>
    <w:r w:rsidRPr="009851A4">
      <w:t>FSMP</w:t>
    </w:r>
    <w:r w:rsidR="009851A4" w:rsidRPr="009851A4">
      <w:t xml:space="preserve"> </w:t>
    </w:r>
    <w:r w:rsidRPr="009851A4">
      <w:t>WG</w:t>
    </w:r>
    <w:r w:rsidR="009851A4" w:rsidRPr="009851A4">
      <w:t>/0</w:t>
    </w:r>
    <w:r w:rsidR="006828EF">
      <w:t>9</w:t>
    </w:r>
    <w:r w:rsidR="009851A4" w:rsidRPr="009851A4">
      <w:t xml:space="preserve"> WP/</w:t>
    </w:r>
    <w:r w:rsidR="006828EF">
      <w:t>11</w:t>
    </w:r>
    <w:r w:rsidR="009851A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2566F" w14:textId="07F32CEC" w:rsidR="002779EA" w:rsidRPr="009851A4" w:rsidRDefault="009851A4" w:rsidP="006828EF">
    <w:pPr>
      <w:tabs>
        <w:tab w:val="center" w:pos="4876"/>
      </w:tabs>
      <w:spacing w:after="600"/>
    </w:pPr>
    <w:r w:rsidRPr="009851A4">
      <w:t>FSMP WG/0</w:t>
    </w:r>
    <w:r w:rsidR="006828EF">
      <w:t>9</w:t>
    </w:r>
    <w:r w:rsidRPr="009851A4">
      <w:t xml:space="preserve"> WP/</w:t>
    </w:r>
    <w:r w:rsidR="006828EF">
      <w:t>11</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851A4" w14:paraId="4AE03AFE" w14:textId="77777777" w:rsidTr="008D7BB5">
      <w:trPr>
        <w:trHeight w:val="1790"/>
      </w:trPr>
      <w:tc>
        <w:tcPr>
          <w:tcW w:w="1915" w:type="dxa"/>
          <w:shd w:val="clear" w:color="auto" w:fill="FFFFFF"/>
        </w:tcPr>
        <w:p w14:paraId="1D8D4424" w14:textId="77777777" w:rsidR="009851A4" w:rsidRDefault="009851A4" w:rsidP="009851A4">
          <w:bookmarkStart w:id="6" w:name="logo"/>
          <w:r>
            <w:rPr>
              <w:noProof/>
              <w:lang w:val="en-GB" w:eastAsia="zh-CN"/>
            </w:rPr>
            <w:drawing>
              <wp:inline distT="0" distB="0" distL="0" distR="0" wp14:anchorId="635A9508" wp14:editId="25143EC2">
                <wp:extent cx="1085850" cy="876300"/>
                <wp:effectExtent l="0" t="0" r="0" b="0"/>
                <wp:docPr id="5"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6"/>
        </w:p>
      </w:tc>
      <w:tc>
        <w:tcPr>
          <w:tcW w:w="3895" w:type="dxa"/>
          <w:shd w:val="clear" w:color="auto" w:fill="FFFFFF"/>
          <w:tcMar>
            <w:right w:w="0" w:type="dxa"/>
          </w:tcMar>
        </w:tcPr>
        <w:p w14:paraId="4F7BE3C8" w14:textId="77777777" w:rsidR="009851A4" w:rsidRPr="00066AB7" w:rsidRDefault="009851A4" w:rsidP="009851A4">
          <w:pPr>
            <w:rPr>
              <w:rFonts w:ascii="Arial" w:hAnsi="Arial" w:cs="Arial"/>
            </w:rPr>
          </w:pPr>
          <w:r>
            <w:rPr>
              <w:rFonts w:ascii="Arial" w:hAnsi="Arial" w:cs="Arial"/>
              <w:noProof/>
              <w:lang w:val="en-GB" w:eastAsia="zh-CN"/>
            </w:rPr>
            <mc:AlternateContent>
              <mc:Choice Requires="wps">
                <w:drawing>
                  <wp:anchor distT="0" distB="0" distL="114300" distR="114300" simplePos="0" relativeHeight="251658240" behindDoc="0" locked="0" layoutInCell="1" allowOverlap="1" wp14:anchorId="14B84CB4" wp14:editId="7D636004">
                    <wp:simplePos x="0" y="0"/>
                    <wp:positionH relativeFrom="column">
                      <wp:posOffset>12700</wp:posOffset>
                    </wp:positionH>
                    <wp:positionV relativeFrom="paragraph">
                      <wp:posOffset>342900</wp:posOffset>
                    </wp:positionV>
                    <wp:extent cx="2400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8E2DF"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tHlEg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SZ6mTymYRu9nCSnugcY6/4HrDoVJiSVojsTktHUepAP0Dgn3KL0RUkaz&#10;pUJ9iRfTyTQGOC0FC4cB5uxhX0mLTiS0S/xCHYDsAWb1UbFI1nLC1re5J0Je54CXKvBBKiDnNrv2&#10;w7dFuljP1/N8lE9m61Ge1vXo/abKR7NN9m5aP9VVVWffg7QsL1rBGFdB3b03s/zvvL+9kmtXDd05&#10;lCF5ZI8pgtj7P4qOXgb7ro2w1+yys6EawVZoxwi+PZ3Q77+uI+rnA1/9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Ola0eUS&#10;AgAAKAQAAA4AAAAAAAAAAAAAAAAALgIAAGRycy9lMm9Eb2MueG1sUEsBAi0AFAAGAAgAAAAhABes&#10;0mLbAAAABwEAAA8AAAAAAAAAAAAAAAAAbAQAAGRycy9kb3ducmV2LnhtbFBLBQYAAAAABAAEAPMA&#10;AAB0BQAAAAA=&#10;"/>
                </w:pict>
              </mc:Fallback>
            </mc:AlternateContent>
          </w:r>
        </w:p>
        <w:p w14:paraId="5EDE4D2A" w14:textId="77777777" w:rsidR="009851A4" w:rsidRPr="00066AB7" w:rsidRDefault="009851A4" w:rsidP="009851A4">
          <w:pPr>
            <w:rPr>
              <w:rFonts w:ascii="Arial" w:hAnsi="Arial" w:cs="Arial"/>
            </w:rPr>
          </w:pPr>
          <w:r w:rsidRPr="00066AB7">
            <w:rPr>
              <w:rFonts w:ascii="Arial" w:hAnsi="Arial" w:cs="Arial"/>
            </w:rPr>
            <w:t>International Civil Aviation Organization</w:t>
          </w:r>
        </w:p>
        <w:p w14:paraId="1143387A" w14:textId="77777777" w:rsidR="009851A4" w:rsidRPr="00066AB7" w:rsidRDefault="009851A4" w:rsidP="009851A4">
          <w:pPr>
            <w:rPr>
              <w:rFonts w:ascii="Arial" w:hAnsi="Arial" w:cs="Arial"/>
            </w:rPr>
          </w:pPr>
        </w:p>
        <w:p w14:paraId="5ADA493B" w14:textId="77777777" w:rsidR="009851A4" w:rsidRPr="00066AB7" w:rsidRDefault="009851A4" w:rsidP="009851A4">
          <w:pPr>
            <w:rPr>
              <w:rFonts w:ascii="Arial" w:hAnsi="Arial" w:cs="Arial"/>
              <w:b/>
              <w:sz w:val="24"/>
            </w:rPr>
          </w:pPr>
          <w:r w:rsidRPr="00066AB7">
            <w:rPr>
              <w:rFonts w:ascii="Arial" w:hAnsi="Arial" w:cs="Arial"/>
              <w:b/>
              <w:sz w:val="24"/>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6"/>
          </w:tblGrid>
          <w:tr w:rsidR="009851A4" w14:paraId="7E0411FE" w14:textId="77777777" w:rsidTr="008D7BB5">
            <w:trPr>
              <w:jc w:val="right"/>
            </w:trPr>
            <w:tc>
              <w:tcPr>
                <w:tcW w:w="0" w:type="auto"/>
              </w:tcPr>
              <w:p w14:paraId="03383D05" w14:textId="6354FD10" w:rsidR="009851A4" w:rsidRPr="00066AB7" w:rsidRDefault="009851A4" w:rsidP="00553FBB">
                <w:pPr>
                  <w:framePr w:hSpace="180" w:wrap="around" w:vAnchor="text" w:hAnchor="text" w:y="1"/>
                  <w:suppressOverlap/>
                  <w:jc w:val="left"/>
                </w:pPr>
                <w:bookmarkStart w:id="7" w:name="document_no"/>
                <w:r>
                  <w:t>FSMP-WG</w:t>
                </w:r>
                <w:r w:rsidRPr="00066AB7">
                  <w:t>/</w:t>
                </w:r>
                <w:r w:rsidR="00EE72E2">
                  <w:t>9</w:t>
                </w:r>
                <w:r>
                  <w:t xml:space="preserve"> </w:t>
                </w:r>
                <w:r w:rsidRPr="00066AB7">
                  <w:t>WP/</w:t>
                </w:r>
                <w:bookmarkEnd w:id="7"/>
                <w:r w:rsidR="006828EF">
                  <w:t>11</w:t>
                </w:r>
              </w:p>
              <w:p w14:paraId="1F89A177" w14:textId="277F2CD5" w:rsidR="009851A4" w:rsidRPr="00066AB7" w:rsidRDefault="009851A4" w:rsidP="00553FBB">
                <w:pPr>
                  <w:framePr w:hSpace="180" w:wrap="around" w:vAnchor="text" w:hAnchor="text" w:y="1"/>
                  <w:suppressOverlap/>
                  <w:jc w:val="left"/>
                  <w:rPr>
                    <w:b/>
                  </w:rPr>
                </w:pPr>
                <w:bookmarkStart w:id="8" w:name="restricted"/>
                <w:bookmarkStart w:id="9" w:name="addendum_corrigendum_appendix"/>
                <w:bookmarkStart w:id="10" w:name="revision_no"/>
                <w:bookmarkStart w:id="11" w:name="revision_date"/>
                <w:bookmarkStart w:id="12" w:name="related_to"/>
                <w:bookmarkEnd w:id="8"/>
                <w:bookmarkEnd w:id="9"/>
                <w:bookmarkEnd w:id="10"/>
                <w:bookmarkEnd w:id="11"/>
                <w:bookmarkEnd w:id="12"/>
                <w:r>
                  <w:rPr>
                    <w:sz w:val="18"/>
                    <w:szCs w:val="18"/>
                  </w:rPr>
                  <w:t>2019-0</w:t>
                </w:r>
                <w:r w:rsidR="00EE72E2">
                  <w:rPr>
                    <w:sz w:val="18"/>
                    <w:szCs w:val="18"/>
                  </w:rPr>
                  <w:t>8-</w:t>
                </w:r>
                <w:r w:rsidR="006828EF">
                  <w:rPr>
                    <w:sz w:val="18"/>
                    <w:szCs w:val="18"/>
                  </w:rPr>
                  <w:t>14</w:t>
                </w:r>
                <w:r w:rsidRPr="00066AB7">
                  <w:rPr>
                    <w:b/>
                    <w:sz w:val="18"/>
                    <w:szCs w:val="18"/>
                  </w:rPr>
                  <w:t xml:space="preserve"> </w:t>
                </w:r>
                <w:bookmarkStart w:id="13" w:name="info_paper"/>
                <w:bookmarkEnd w:id="13"/>
              </w:p>
            </w:tc>
          </w:tr>
          <w:tr w:rsidR="009851A4" w14:paraId="32CCF76E" w14:textId="77777777" w:rsidTr="008D7BB5">
            <w:trPr>
              <w:jc w:val="right"/>
            </w:trPr>
            <w:tc>
              <w:tcPr>
                <w:tcW w:w="0" w:type="auto"/>
              </w:tcPr>
              <w:p w14:paraId="7D334437" w14:textId="77777777" w:rsidR="009851A4" w:rsidRPr="00066AB7" w:rsidRDefault="009851A4" w:rsidP="00553FBB">
                <w:pPr>
                  <w:framePr w:hSpace="180" w:wrap="around" w:vAnchor="text" w:hAnchor="text" w:y="1"/>
                  <w:suppressOverlap/>
                  <w:jc w:val="left"/>
                </w:pPr>
              </w:p>
            </w:tc>
          </w:tr>
        </w:tbl>
        <w:p w14:paraId="7C3CFDC4" w14:textId="77777777" w:rsidR="009851A4" w:rsidRPr="00066AB7" w:rsidRDefault="009851A4" w:rsidP="009851A4">
          <w:pPr>
            <w:tabs>
              <w:tab w:val="left" w:pos="720"/>
              <w:tab w:val="left" w:pos="1440"/>
              <w:tab w:val="left" w:pos="1800"/>
              <w:tab w:val="left" w:pos="2160"/>
              <w:tab w:val="left" w:pos="2520"/>
              <w:tab w:val="left" w:pos="2880"/>
            </w:tabs>
            <w:ind w:left="4320"/>
            <w:rPr>
              <w:b/>
              <w:sz w:val="18"/>
              <w:szCs w:val="18"/>
            </w:rPr>
          </w:pPr>
        </w:p>
      </w:tc>
    </w:tr>
  </w:tbl>
  <w:p w14:paraId="1744069B" w14:textId="77777777" w:rsidR="009851A4" w:rsidRPr="002D01A4" w:rsidRDefault="009851A4" w:rsidP="009851A4">
    <w:pPr>
      <w:pStyle w:val="Header"/>
    </w:pPr>
  </w:p>
  <w:p w14:paraId="27BE241A" w14:textId="77777777" w:rsidR="002779EA" w:rsidRPr="009851A4" w:rsidRDefault="002779EA" w:rsidP="00985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00B15"/>
    <w:multiLevelType w:val="multilevel"/>
    <w:tmpl w:val="895E55FA"/>
    <w:lvl w:ilvl="0">
      <w:start w:val="1"/>
      <w:numFmt w:val="lowerRoman"/>
      <w:lvlText w:val="%1."/>
      <w:lvlJc w:val="right"/>
      <w:pPr>
        <w:ind w:left="2520" w:hanging="360"/>
      </w:pPr>
      <w:rPr>
        <w:u w:val="none"/>
      </w:rPr>
    </w:lvl>
    <w:lvl w:ilvl="1">
      <w:start w:val="1"/>
      <w:numFmt w:val="lowerRoman"/>
      <w:lvlText w:val="%2)"/>
      <w:lvlJc w:val="right"/>
      <w:pPr>
        <w:ind w:left="3240" w:hanging="360"/>
      </w:pPr>
      <w:rPr>
        <w:u w:val="none"/>
      </w:rPr>
    </w:lvl>
    <w:lvl w:ilvl="2">
      <w:start w:val="1"/>
      <w:numFmt w:val="decimal"/>
      <w:lvlText w:val="%3)"/>
      <w:lvlJc w:val="left"/>
      <w:pPr>
        <w:ind w:left="3960" w:hanging="360"/>
      </w:pPr>
      <w:rPr>
        <w:u w:val="none"/>
      </w:rPr>
    </w:lvl>
    <w:lvl w:ilvl="3">
      <w:start w:val="1"/>
      <w:numFmt w:val="lowerLetter"/>
      <w:lvlText w:val="(%4)"/>
      <w:lvlJc w:val="left"/>
      <w:pPr>
        <w:ind w:left="4680" w:hanging="360"/>
      </w:pPr>
      <w:rPr>
        <w:u w:val="none"/>
      </w:rPr>
    </w:lvl>
    <w:lvl w:ilvl="4">
      <w:start w:val="1"/>
      <w:numFmt w:val="lowerRoman"/>
      <w:lvlText w:val="(%5)"/>
      <w:lvlJc w:val="right"/>
      <w:pPr>
        <w:ind w:left="5400" w:hanging="360"/>
      </w:pPr>
      <w:rPr>
        <w:u w:val="none"/>
      </w:rPr>
    </w:lvl>
    <w:lvl w:ilvl="5">
      <w:start w:val="1"/>
      <w:numFmt w:val="decimal"/>
      <w:lvlText w:val="(%6)"/>
      <w:lvlJc w:val="left"/>
      <w:pPr>
        <w:ind w:left="6120" w:hanging="360"/>
      </w:pPr>
      <w:rPr>
        <w:u w:val="none"/>
      </w:rPr>
    </w:lvl>
    <w:lvl w:ilvl="6">
      <w:start w:val="1"/>
      <w:numFmt w:val="lowerLetter"/>
      <w:lvlText w:val="%7."/>
      <w:lvlJc w:val="left"/>
      <w:pPr>
        <w:ind w:left="6840" w:hanging="360"/>
      </w:pPr>
      <w:rPr>
        <w:u w:val="none"/>
      </w:rPr>
    </w:lvl>
    <w:lvl w:ilvl="7">
      <w:start w:val="1"/>
      <w:numFmt w:val="lowerRoman"/>
      <w:lvlText w:val="%8."/>
      <w:lvlJc w:val="right"/>
      <w:pPr>
        <w:ind w:left="7560" w:hanging="360"/>
      </w:pPr>
      <w:rPr>
        <w:u w:val="none"/>
      </w:rPr>
    </w:lvl>
    <w:lvl w:ilvl="8">
      <w:start w:val="1"/>
      <w:numFmt w:val="decimal"/>
      <w:lvlText w:val="%9."/>
      <w:lvlJc w:val="left"/>
      <w:pPr>
        <w:ind w:left="8280" w:hanging="360"/>
      </w:pPr>
      <w:rPr>
        <w:u w:val="none"/>
      </w:rPr>
    </w:lvl>
  </w:abstractNum>
  <w:abstractNum w:abstractNumId="1" w15:restartNumberingAfterBreak="0">
    <w:nsid w:val="0CFA10A0"/>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 w15:restartNumberingAfterBreak="0">
    <w:nsid w:val="10B93E05"/>
    <w:multiLevelType w:val="multilevel"/>
    <w:tmpl w:val="526ED07E"/>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3" w15:restartNumberingAfterBreak="0">
    <w:nsid w:val="15AD48C7"/>
    <w:multiLevelType w:val="multilevel"/>
    <w:tmpl w:val="97BC9874"/>
    <w:lvl w:ilvl="0">
      <w:start w:val="1"/>
      <w:numFmt w:val="decimal"/>
      <w:lvlText w:val="%1."/>
      <w:lvlJc w:val="left"/>
      <w:pPr>
        <w:ind w:left="720" w:hanging="720"/>
      </w:pPr>
      <w:rPr>
        <w:rFonts w:ascii="Times New Roman" w:eastAsia="Times New Roman" w:hAnsi="Times New Roman" w:cs="Times New Roman"/>
        <w:b w:val="0"/>
        <w:i w:val="0"/>
        <w:sz w:val="22"/>
        <w:szCs w:val="22"/>
      </w:rPr>
    </w:lvl>
    <w:lvl w:ilvl="1">
      <w:start w:val="1"/>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4" w15:restartNumberingAfterBreak="0">
    <w:nsid w:val="176B1D8A"/>
    <w:multiLevelType w:val="multilevel"/>
    <w:tmpl w:val="FEF83D94"/>
    <w:lvl w:ilvl="0">
      <w:start w:val="2"/>
      <w:numFmt w:val="decimal"/>
      <w:lvlText w:val="%1."/>
      <w:lvlJc w:val="left"/>
      <w:pPr>
        <w:ind w:left="720" w:hanging="720"/>
      </w:pPr>
      <w:rPr>
        <w:rFonts w:ascii="Times New Roman" w:eastAsia="Times New Roman" w:hAnsi="Times New Roman" w:cs="Times New Roman"/>
        <w:b w:val="0"/>
        <w:i w:val="0"/>
        <w:sz w:val="22"/>
        <w:szCs w:val="22"/>
      </w:rPr>
    </w:lvl>
    <w:lvl w:ilvl="1">
      <w:start w:val="2"/>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5"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E2902"/>
    <w:multiLevelType w:val="hybridMultilevel"/>
    <w:tmpl w:val="D38404BC"/>
    <w:lvl w:ilvl="0" w:tplc="0A5CB4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D50CE8"/>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8" w15:restartNumberingAfterBreak="0">
    <w:nsid w:val="32A63EDB"/>
    <w:multiLevelType w:val="multilevel"/>
    <w:tmpl w:val="0686A37C"/>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9" w15:restartNumberingAfterBreak="0">
    <w:nsid w:val="404B4182"/>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0" w15:restartNumberingAfterBreak="0">
    <w:nsid w:val="42945863"/>
    <w:multiLevelType w:val="multilevel"/>
    <w:tmpl w:val="1D28F560"/>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11" w15:restartNumberingAfterBreak="0">
    <w:nsid w:val="478A3779"/>
    <w:multiLevelType w:val="hybridMultilevel"/>
    <w:tmpl w:val="CC3EE1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3D66E38"/>
    <w:multiLevelType w:val="multilevel"/>
    <w:tmpl w:val="AC6C3CD2"/>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3" w15:restartNumberingAfterBreak="0">
    <w:nsid w:val="5CE9276B"/>
    <w:multiLevelType w:val="hybridMultilevel"/>
    <w:tmpl w:val="F412F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17E76BF"/>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5" w15:restartNumberingAfterBreak="0">
    <w:nsid w:val="657329E9"/>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6" w15:restartNumberingAfterBreak="0">
    <w:nsid w:val="66B870D4"/>
    <w:multiLevelType w:val="multilevel"/>
    <w:tmpl w:val="972C1DF0"/>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7" w15:restartNumberingAfterBreak="0">
    <w:nsid w:val="73962223"/>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8" w15:restartNumberingAfterBreak="0">
    <w:nsid w:val="75063826"/>
    <w:multiLevelType w:val="multilevel"/>
    <w:tmpl w:val="A8E610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760D34A8"/>
    <w:multiLevelType w:val="multilevel"/>
    <w:tmpl w:val="A2BEEDFC"/>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num w:numId="1">
    <w:abstractNumId w:val="19"/>
  </w:num>
  <w:num w:numId="2">
    <w:abstractNumId w:val="10"/>
  </w:num>
  <w:num w:numId="3">
    <w:abstractNumId w:val="0"/>
  </w:num>
  <w:num w:numId="4">
    <w:abstractNumId w:val="14"/>
  </w:num>
  <w:num w:numId="5">
    <w:abstractNumId w:val="4"/>
  </w:num>
  <w:num w:numId="6">
    <w:abstractNumId w:val="18"/>
  </w:num>
  <w:num w:numId="7">
    <w:abstractNumId w:val="3"/>
  </w:num>
  <w:num w:numId="8">
    <w:abstractNumId w:val="13"/>
  </w:num>
  <w:num w:numId="9">
    <w:abstractNumId w:val="17"/>
  </w:num>
  <w:num w:numId="10">
    <w:abstractNumId w:val="1"/>
  </w:num>
  <w:num w:numId="11">
    <w:abstractNumId w:val="5"/>
  </w:num>
  <w:num w:numId="12">
    <w:abstractNumId w:val="6"/>
  </w:num>
  <w:num w:numId="13">
    <w:abstractNumId w:val="8"/>
  </w:num>
  <w:num w:numId="14">
    <w:abstractNumId w:val="11"/>
  </w:num>
  <w:num w:numId="15">
    <w:abstractNumId w:val="15"/>
  </w:num>
  <w:num w:numId="16">
    <w:abstractNumId w:val="7"/>
  </w:num>
  <w:num w:numId="17">
    <w:abstractNumId w:val="9"/>
  </w:num>
  <w:num w:numId="18">
    <w:abstractNumId w:val="12"/>
  </w:num>
  <w:num w:numId="19">
    <w:abstractNumId w:val="1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79EA"/>
    <w:rsid w:val="00004E1A"/>
    <w:rsid w:val="00007A82"/>
    <w:rsid w:val="0003325B"/>
    <w:rsid w:val="00034424"/>
    <w:rsid w:val="0004720A"/>
    <w:rsid w:val="0005010F"/>
    <w:rsid w:val="000660CD"/>
    <w:rsid w:val="000A1045"/>
    <w:rsid w:val="000A5779"/>
    <w:rsid w:val="000C53D9"/>
    <w:rsid w:val="000D713E"/>
    <w:rsid w:val="000E6469"/>
    <w:rsid w:val="000E6761"/>
    <w:rsid w:val="0010073F"/>
    <w:rsid w:val="0010432A"/>
    <w:rsid w:val="0010759A"/>
    <w:rsid w:val="00123D96"/>
    <w:rsid w:val="00124484"/>
    <w:rsid w:val="001405AA"/>
    <w:rsid w:val="001429CD"/>
    <w:rsid w:val="00147B9B"/>
    <w:rsid w:val="00157771"/>
    <w:rsid w:val="001611A6"/>
    <w:rsid w:val="00161D89"/>
    <w:rsid w:val="0016539F"/>
    <w:rsid w:val="00172ED1"/>
    <w:rsid w:val="001A2D26"/>
    <w:rsid w:val="001C41EF"/>
    <w:rsid w:val="001C721E"/>
    <w:rsid w:val="001E2F65"/>
    <w:rsid w:val="001E57D7"/>
    <w:rsid w:val="001E6577"/>
    <w:rsid w:val="001F4CC8"/>
    <w:rsid w:val="001F69AA"/>
    <w:rsid w:val="00241AE1"/>
    <w:rsid w:val="00256168"/>
    <w:rsid w:val="002633EF"/>
    <w:rsid w:val="002658FD"/>
    <w:rsid w:val="002726FD"/>
    <w:rsid w:val="002774B3"/>
    <w:rsid w:val="002779EA"/>
    <w:rsid w:val="00296A17"/>
    <w:rsid w:val="002A1EEB"/>
    <w:rsid w:val="002B10A6"/>
    <w:rsid w:val="002B6613"/>
    <w:rsid w:val="002B723E"/>
    <w:rsid w:val="002E099E"/>
    <w:rsid w:val="00306A0C"/>
    <w:rsid w:val="00314639"/>
    <w:rsid w:val="00323348"/>
    <w:rsid w:val="00328718"/>
    <w:rsid w:val="0033130E"/>
    <w:rsid w:val="00333A96"/>
    <w:rsid w:val="00343CAC"/>
    <w:rsid w:val="0035250B"/>
    <w:rsid w:val="00353F36"/>
    <w:rsid w:val="00354AFE"/>
    <w:rsid w:val="00371C5F"/>
    <w:rsid w:val="00377D67"/>
    <w:rsid w:val="003805D9"/>
    <w:rsid w:val="003839E3"/>
    <w:rsid w:val="00397FBA"/>
    <w:rsid w:val="003B0895"/>
    <w:rsid w:val="003B14B6"/>
    <w:rsid w:val="003B2015"/>
    <w:rsid w:val="003B3CF5"/>
    <w:rsid w:val="003B63CA"/>
    <w:rsid w:val="003C6044"/>
    <w:rsid w:val="003C681C"/>
    <w:rsid w:val="003C7834"/>
    <w:rsid w:val="003E6632"/>
    <w:rsid w:val="003F7BC8"/>
    <w:rsid w:val="00402840"/>
    <w:rsid w:val="004357C4"/>
    <w:rsid w:val="00444530"/>
    <w:rsid w:val="00475E16"/>
    <w:rsid w:val="00496CA6"/>
    <w:rsid w:val="004C7F3F"/>
    <w:rsid w:val="004D2515"/>
    <w:rsid w:val="004D2E3A"/>
    <w:rsid w:val="004D3619"/>
    <w:rsid w:val="004E59DD"/>
    <w:rsid w:val="004F0C1D"/>
    <w:rsid w:val="004F0CA2"/>
    <w:rsid w:val="004F6055"/>
    <w:rsid w:val="00530F59"/>
    <w:rsid w:val="005318C0"/>
    <w:rsid w:val="00532404"/>
    <w:rsid w:val="00537F50"/>
    <w:rsid w:val="00553FBB"/>
    <w:rsid w:val="00555838"/>
    <w:rsid w:val="0055770F"/>
    <w:rsid w:val="005654A9"/>
    <w:rsid w:val="005711A5"/>
    <w:rsid w:val="00585DFF"/>
    <w:rsid w:val="005A0D6E"/>
    <w:rsid w:val="005A0DCF"/>
    <w:rsid w:val="005A45E1"/>
    <w:rsid w:val="005B1D10"/>
    <w:rsid w:val="005C0F00"/>
    <w:rsid w:val="005C391D"/>
    <w:rsid w:val="005C55E4"/>
    <w:rsid w:val="005D6DC2"/>
    <w:rsid w:val="005E7881"/>
    <w:rsid w:val="005F685D"/>
    <w:rsid w:val="00625D96"/>
    <w:rsid w:val="006342E4"/>
    <w:rsid w:val="0064519E"/>
    <w:rsid w:val="00660B51"/>
    <w:rsid w:val="006634B1"/>
    <w:rsid w:val="006828EF"/>
    <w:rsid w:val="006A2675"/>
    <w:rsid w:val="006B3671"/>
    <w:rsid w:val="006C7201"/>
    <w:rsid w:val="006D5CE2"/>
    <w:rsid w:val="006E6DE7"/>
    <w:rsid w:val="006E7463"/>
    <w:rsid w:val="006F0D09"/>
    <w:rsid w:val="0070111E"/>
    <w:rsid w:val="00701CBF"/>
    <w:rsid w:val="00722303"/>
    <w:rsid w:val="00722418"/>
    <w:rsid w:val="007267CA"/>
    <w:rsid w:val="0074384E"/>
    <w:rsid w:val="00743E8B"/>
    <w:rsid w:val="00745973"/>
    <w:rsid w:val="00754760"/>
    <w:rsid w:val="00756FAC"/>
    <w:rsid w:val="00770A1C"/>
    <w:rsid w:val="00777B3D"/>
    <w:rsid w:val="007A62DB"/>
    <w:rsid w:val="007B2955"/>
    <w:rsid w:val="007B5A77"/>
    <w:rsid w:val="007D3959"/>
    <w:rsid w:val="007E7079"/>
    <w:rsid w:val="007F6562"/>
    <w:rsid w:val="0085086E"/>
    <w:rsid w:val="00873E6A"/>
    <w:rsid w:val="008B534B"/>
    <w:rsid w:val="008C0731"/>
    <w:rsid w:val="008C189D"/>
    <w:rsid w:val="008C5CA3"/>
    <w:rsid w:val="008D1AEE"/>
    <w:rsid w:val="008F454A"/>
    <w:rsid w:val="0090063F"/>
    <w:rsid w:val="009015CC"/>
    <w:rsid w:val="00914BB3"/>
    <w:rsid w:val="0092758A"/>
    <w:rsid w:val="009418C5"/>
    <w:rsid w:val="00954DB2"/>
    <w:rsid w:val="009557C4"/>
    <w:rsid w:val="009769FF"/>
    <w:rsid w:val="0098221E"/>
    <w:rsid w:val="00984CA7"/>
    <w:rsid w:val="009851A4"/>
    <w:rsid w:val="0099394E"/>
    <w:rsid w:val="009D710A"/>
    <w:rsid w:val="009E4A05"/>
    <w:rsid w:val="00A0403F"/>
    <w:rsid w:val="00A30E2D"/>
    <w:rsid w:val="00A52525"/>
    <w:rsid w:val="00A55504"/>
    <w:rsid w:val="00A608C6"/>
    <w:rsid w:val="00A945BD"/>
    <w:rsid w:val="00A94FC9"/>
    <w:rsid w:val="00AA3069"/>
    <w:rsid w:val="00AA58F2"/>
    <w:rsid w:val="00AB390A"/>
    <w:rsid w:val="00AC166F"/>
    <w:rsid w:val="00AC4657"/>
    <w:rsid w:val="00AC571B"/>
    <w:rsid w:val="00AD2184"/>
    <w:rsid w:val="00AD37E8"/>
    <w:rsid w:val="00AE46DA"/>
    <w:rsid w:val="00B036E5"/>
    <w:rsid w:val="00B03F1C"/>
    <w:rsid w:val="00B10702"/>
    <w:rsid w:val="00B1248B"/>
    <w:rsid w:val="00B23BE2"/>
    <w:rsid w:val="00B30978"/>
    <w:rsid w:val="00B339E8"/>
    <w:rsid w:val="00B4221B"/>
    <w:rsid w:val="00B43AA4"/>
    <w:rsid w:val="00B447C2"/>
    <w:rsid w:val="00B52679"/>
    <w:rsid w:val="00B540F9"/>
    <w:rsid w:val="00B57A74"/>
    <w:rsid w:val="00B636B2"/>
    <w:rsid w:val="00B64FCE"/>
    <w:rsid w:val="00B67D2E"/>
    <w:rsid w:val="00B72E66"/>
    <w:rsid w:val="00B73BC3"/>
    <w:rsid w:val="00B74CC5"/>
    <w:rsid w:val="00B859BA"/>
    <w:rsid w:val="00B90B07"/>
    <w:rsid w:val="00BA665A"/>
    <w:rsid w:val="00BA68B4"/>
    <w:rsid w:val="00BF5787"/>
    <w:rsid w:val="00BF616C"/>
    <w:rsid w:val="00C02F87"/>
    <w:rsid w:val="00C05CB6"/>
    <w:rsid w:val="00C16E2D"/>
    <w:rsid w:val="00C26488"/>
    <w:rsid w:val="00C269BD"/>
    <w:rsid w:val="00C417A3"/>
    <w:rsid w:val="00C713DD"/>
    <w:rsid w:val="00C760D7"/>
    <w:rsid w:val="00CA17FD"/>
    <w:rsid w:val="00CA5765"/>
    <w:rsid w:val="00CA7942"/>
    <w:rsid w:val="00CB06A1"/>
    <w:rsid w:val="00CB7BC6"/>
    <w:rsid w:val="00CC0966"/>
    <w:rsid w:val="00CD1D46"/>
    <w:rsid w:val="00CD7485"/>
    <w:rsid w:val="00CF224B"/>
    <w:rsid w:val="00D07401"/>
    <w:rsid w:val="00D1446B"/>
    <w:rsid w:val="00D17C95"/>
    <w:rsid w:val="00D3310D"/>
    <w:rsid w:val="00D43C0D"/>
    <w:rsid w:val="00D63871"/>
    <w:rsid w:val="00D721E4"/>
    <w:rsid w:val="00D7673B"/>
    <w:rsid w:val="00D87B4D"/>
    <w:rsid w:val="00D9084C"/>
    <w:rsid w:val="00DA150E"/>
    <w:rsid w:val="00DA2FF0"/>
    <w:rsid w:val="00DA4895"/>
    <w:rsid w:val="00DB518B"/>
    <w:rsid w:val="00DC77A7"/>
    <w:rsid w:val="00DC7E9B"/>
    <w:rsid w:val="00DD0CBE"/>
    <w:rsid w:val="00DE6416"/>
    <w:rsid w:val="00E159E3"/>
    <w:rsid w:val="00E2252E"/>
    <w:rsid w:val="00E33F01"/>
    <w:rsid w:val="00E432EC"/>
    <w:rsid w:val="00E44B04"/>
    <w:rsid w:val="00E500CB"/>
    <w:rsid w:val="00E510E0"/>
    <w:rsid w:val="00E511EF"/>
    <w:rsid w:val="00E833FE"/>
    <w:rsid w:val="00EA31F4"/>
    <w:rsid w:val="00EA7D21"/>
    <w:rsid w:val="00EB0C92"/>
    <w:rsid w:val="00EB4CFE"/>
    <w:rsid w:val="00EB5E1D"/>
    <w:rsid w:val="00EC0D9E"/>
    <w:rsid w:val="00EC24BC"/>
    <w:rsid w:val="00EC4471"/>
    <w:rsid w:val="00EE72E2"/>
    <w:rsid w:val="00F0516C"/>
    <w:rsid w:val="00F06851"/>
    <w:rsid w:val="00F1231E"/>
    <w:rsid w:val="00F7219F"/>
    <w:rsid w:val="00FB1643"/>
    <w:rsid w:val="00FC2DA6"/>
    <w:rsid w:val="00FD6EE3"/>
    <w:rsid w:val="05308FFF"/>
    <w:rsid w:val="0A29EF77"/>
    <w:rsid w:val="0D8737AD"/>
    <w:rsid w:val="2271A1D7"/>
    <w:rsid w:val="39BA5C6C"/>
    <w:rsid w:val="418DF8AB"/>
    <w:rsid w:val="4855DEA9"/>
    <w:rsid w:val="4CC7C1AD"/>
    <w:rsid w:val="4D644D43"/>
    <w:rsid w:val="4F4A815B"/>
    <w:rsid w:val="51BFE7F9"/>
    <w:rsid w:val="63252A80"/>
    <w:rsid w:val="72BB1E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47977"/>
  <w15:docId w15:val="{FF868881-5531-2E4F-86A0-6BDD941B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lang w:val="en-US"/>
    </w:rPr>
  </w:style>
  <w:style w:type="paragraph" w:styleId="Heading1">
    <w:name w:val="heading 1"/>
    <w:basedOn w:val="Normal"/>
    <w:next w:val="Normal"/>
    <w:pPr>
      <w:keepNext/>
      <w:jc w:val="center"/>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7BC6"/>
    <w:rPr>
      <w:rFonts w:ascii="Tahoma" w:hAnsi="Tahoma" w:cs="Tahoma"/>
      <w:sz w:val="16"/>
      <w:szCs w:val="16"/>
    </w:rPr>
  </w:style>
  <w:style w:type="character" w:customStyle="1" w:styleId="BalloonTextChar">
    <w:name w:val="Balloon Text Char"/>
    <w:basedOn w:val="DefaultParagraphFont"/>
    <w:link w:val="BalloonText"/>
    <w:uiPriority w:val="99"/>
    <w:semiHidden/>
    <w:rsid w:val="00CB7BC6"/>
    <w:rPr>
      <w:rFonts w:ascii="Tahoma" w:hAnsi="Tahoma" w:cs="Tahoma"/>
      <w:sz w:val="16"/>
      <w:szCs w:val="16"/>
    </w:rPr>
  </w:style>
  <w:style w:type="paragraph" w:styleId="Footer">
    <w:name w:val="footer"/>
    <w:basedOn w:val="Normal"/>
    <w:link w:val="FooterChar"/>
    <w:uiPriority w:val="99"/>
    <w:unhideWhenUsed/>
    <w:rsid w:val="009851A4"/>
    <w:pPr>
      <w:tabs>
        <w:tab w:val="center" w:pos="4680"/>
        <w:tab w:val="right" w:pos="9360"/>
      </w:tabs>
    </w:pPr>
  </w:style>
  <w:style w:type="character" w:customStyle="1" w:styleId="FooterChar">
    <w:name w:val="Footer Char"/>
    <w:basedOn w:val="DefaultParagraphFont"/>
    <w:link w:val="Footer"/>
    <w:uiPriority w:val="99"/>
    <w:rsid w:val="009851A4"/>
  </w:style>
  <w:style w:type="paragraph" w:styleId="Header">
    <w:name w:val="header"/>
    <w:basedOn w:val="Normal"/>
    <w:link w:val="HeaderChar"/>
    <w:unhideWhenUsed/>
    <w:rsid w:val="009851A4"/>
    <w:pPr>
      <w:tabs>
        <w:tab w:val="center" w:pos="4680"/>
        <w:tab w:val="right" w:pos="9360"/>
      </w:tabs>
    </w:pPr>
  </w:style>
  <w:style w:type="character" w:customStyle="1" w:styleId="HeaderChar">
    <w:name w:val="Header Char"/>
    <w:basedOn w:val="DefaultParagraphFont"/>
    <w:link w:val="Header"/>
    <w:rsid w:val="009851A4"/>
  </w:style>
  <w:style w:type="paragraph" w:styleId="ListParagraph">
    <w:name w:val="List Paragraph"/>
    <w:basedOn w:val="Normal"/>
    <w:uiPriority w:val="34"/>
    <w:qFormat/>
    <w:rsid w:val="00754760"/>
    <w:pPr>
      <w:ind w:left="720"/>
      <w:contextualSpacing/>
    </w:pPr>
    <w:rPr>
      <w:szCs w:val="20"/>
    </w:rPr>
  </w:style>
  <w:style w:type="character" w:styleId="CommentReference">
    <w:name w:val="annotation reference"/>
    <w:basedOn w:val="DefaultParagraphFont"/>
    <w:uiPriority w:val="99"/>
    <w:semiHidden/>
    <w:unhideWhenUsed/>
    <w:rsid w:val="001F4CC8"/>
    <w:rPr>
      <w:sz w:val="16"/>
      <w:szCs w:val="16"/>
    </w:rPr>
  </w:style>
  <w:style w:type="paragraph" w:styleId="CommentText">
    <w:name w:val="annotation text"/>
    <w:basedOn w:val="Normal"/>
    <w:link w:val="CommentTextChar"/>
    <w:uiPriority w:val="99"/>
    <w:semiHidden/>
    <w:unhideWhenUsed/>
    <w:rsid w:val="001F4CC8"/>
    <w:rPr>
      <w:sz w:val="20"/>
      <w:szCs w:val="20"/>
    </w:rPr>
  </w:style>
  <w:style w:type="character" w:customStyle="1" w:styleId="CommentTextChar">
    <w:name w:val="Comment Text Char"/>
    <w:basedOn w:val="DefaultParagraphFont"/>
    <w:link w:val="CommentText"/>
    <w:uiPriority w:val="99"/>
    <w:semiHidden/>
    <w:rsid w:val="001F4CC8"/>
    <w:rPr>
      <w:sz w:val="20"/>
      <w:szCs w:val="20"/>
    </w:rPr>
  </w:style>
  <w:style w:type="paragraph" w:styleId="CommentSubject">
    <w:name w:val="annotation subject"/>
    <w:basedOn w:val="CommentText"/>
    <w:next w:val="CommentText"/>
    <w:link w:val="CommentSubjectChar"/>
    <w:uiPriority w:val="99"/>
    <w:semiHidden/>
    <w:unhideWhenUsed/>
    <w:rsid w:val="001F4CC8"/>
    <w:rPr>
      <w:b/>
      <w:bCs/>
    </w:rPr>
  </w:style>
  <w:style w:type="character" w:customStyle="1" w:styleId="CommentSubjectChar">
    <w:name w:val="Comment Subject Char"/>
    <w:basedOn w:val="CommentTextChar"/>
    <w:link w:val="CommentSubject"/>
    <w:uiPriority w:val="99"/>
    <w:semiHidden/>
    <w:rsid w:val="001F4CC8"/>
    <w:rPr>
      <w:b/>
      <w:bCs/>
      <w:sz w:val="20"/>
      <w:szCs w:val="20"/>
    </w:rPr>
  </w:style>
  <w:style w:type="character" w:styleId="Hyperlink">
    <w:name w:val="Hyperlink"/>
    <w:basedOn w:val="DefaultParagraphFont"/>
    <w:uiPriority w:val="99"/>
    <w:unhideWhenUsed/>
    <w:rsid w:val="00A608C6"/>
    <w:rPr>
      <w:color w:val="0000FF" w:themeColor="hyperlink"/>
      <w:u w:val="single"/>
    </w:rPr>
  </w:style>
  <w:style w:type="paragraph" w:styleId="Revision">
    <w:name w:val="Revision"/>
    <w:hidden/>
    <w:uiPriority w:val="99"/>
    <w:semiHidden/>
    <w:rsid w:val="00743E8B"/>
    <w:pPr>
      <w:jc w:val="left"/>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574B5-F97B-4C1D-A4F5-C7ED013B67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3E6F87-79C5-494F-B180-F322EC2C5341}"/>
</file>

<file path=customXml/itemProps3.xml><?xml version="1.0" encoding="utf-8"?>
<ds:datastoreItem xmlns:ds="http://schemas.openxmlformats.org/officeDocument/2006/customXml" ds:itemID="{4CA824F2-DE10-4D56-ABCB-A5B2F391A06B}">
  <ds:schemaRefs>
    <ds:schemaRef ds:uri="http://schemas.microsoft.com/sharepoint/v3/contenttype/forms"/>
  </ds:schemaRefs>
</ds:datastoreItem>
</file>

<file path=customXml/itemProps4.xml><?xml version="1.0" encoding="utf-8"?>
<ds:datastoreItem xmlns:ds="http://schemas.openxmlformats.org/officeDocument/2006/customXml" ds:itemID="{682DD96E-DE1D-CB4E-A83A-4B69A2D58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McGowan, Ronald J (RMCGOWAN)</dc:creator>
  <cp:lastModifiedBy>Loftur Jonasson</cp:lastModifiedBy>
  <cp:revision>8</cp:revision>
  <dcterms:created xsi:type="dcterms:W3CDTF">2019-08-14T16:36:00Z</dcterms:created>
  <dcterms:modified xsi:type="dcterms:W3CDTF">2019-08-22T13:50:00Z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_AdHocReviewCycleID">
    <vt:i4>128411748</vt:i4>
  </property>
  <property fmtid="{D5CDD505-2E9C-101B-9397-08002B2CF9AE}" pid="4" name="_NewReviewCycle">
    <vt:lpwstr/>
  </property>
  <property fmtid="{D5CDD505-2E9C-101B-9397-08002B2CF9AE}" pid="5" name="_EmailSubject">
    <vt:lpwstr>[External] RE: Pls review the other FSMP paper on WBHF</vt:lpwstr>
  </property>
  <property fmtid="{D5CDD505-2E9C-101B-9397-08002B2CF9AE}" pid="6" name="_AuthorEmail">
    <vt:lpwstr>acr@asri.aero</vt:lpwstr>
  </property>
  <property fmtid="{D5CDD505-2E9C-101B-9397-08002B2CF9AE}" pid="7" name="_AuthorEmailDisplayName">
    <vt:lpwstr>Andrew Roy</vt:lpwstr>
  </property>
  <property fmtid="{D5CDD505-2E9C-101B-9397-08002B2CF9AE}" pid="8" name="_ReviewingToolsShownOnce">
    <vt:lpwstr/>
  </property>
</Properties>
</file>