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560" w14:textId="77777777" w:rsidR="00770160" w:rsidRPr="00D94FD3" w:rsidRDefault="000D26D5" w:rsidP="00725205">
      <w:pPr>
        <w:jc w:val="center"/>
        <w:rPr>
          <w:b/>
          <w:sz w:val="24"/>
          <w:szCs w:val="24"/>
        </w:rPr>
      </w:pPr>
      <w:r w:rsidRPr="00D94FD3">
        <w:rPr>
          <w:b/>
          <w:sz w:val="24"/>
          <w:szCs w:val="24"/>
          <w:lang w:val="en-US"/>
        </w:rPr>
        <w:t>FREQUENCY SPECTRUM</w:t>
      </w:r>
      <w:r w:rsidRPr="00D94FD3">
        <w:rPr>
          <w:b/>
          <w:sz w:val="24"/>
          <w:szCs w:val="24"/>
        </w:rPr>
        <w:t xml:space="preserve"> MAN</w:t>
      </w:r>
      <w:r w:rsidR="00D94FD3" w:rsidRPr="00D94FD3">
        <w:rPr>
          <w:b/>
          <w:sz w:val="24"/>
          <w:szCs w:val="24"/>
        </w:rPr>
        <w:t>AGEMENT</w:t>
      </w:r>
      <w:r w:rsidRPr="00D94FD3">
        <w:rPr>
          <w:b/>
          <w:sz w:val="24"/>
          <w:szCs w:val="24"/>
        </w:rPr>
        <w:t xml:space="preserve"> PANEL (FSMP)</w:t>
      </w:r>
    </w:p>
    <w:p w14:paraId="241D6F19" w14:textId="77777777" w:rsidR="00770160" w:rsidRDefault="00770160">
      <w:pPr>
        <w:tabs>
          <w:tab w:val="left" w:pos="6972"/>
        </w:tabs>
        <w:jc w:val="center"/>
        <w:rPr>
          <w:b/>
        </w:rPr>
      </w:pPr>
    </w:p>
    <w:p w14:paraId="183BE93A" w14:textId="77777777" w:rsidR="00F56F90" w:rsidRDefault="00BC5391" w:rsidP="00F56F90">
      <w:pPr>
        <w:pStyle w:val="Maintitle"/>
      </w:pPr>
      <w:r>
        <w:t>Nin</w:t>
      </w:r>
      <w:r w:rsidR="00F56F90">
        <w:t>th Working Group meeting</w:t>
      </w:r>
    </w:p>
    <w:p w14:paraId="4D6F1310" w14:textId="77777777" w:rsidR="00F56F90" w:rsidRDefault="00F56F90" w:rsidP="00F56F90"/>
    <w:p w14:paraId="393B211C" w14:textId="77777777" w:rsidR="00F56F90" w:rsidRDefault="00BC5391" w:rsidP="00BC5391">
      <w:pPr>
        <w:jc w:val="center"/>
        <w:rPr>
          <w:b/>
          <w:bCs/>
          <w:szCs w:val="22"/>
        </w:rPr>
      </w:pPr>
      <w:bookmarkStart w:id="0" w:name="agenda_item"/>
      <w:bookmarkEnd w:id="0"/>
      <w:r>
        <w:rPr>
          <w:b/>
          <w:bCs/>
          <w:szCs w:val="22"/>
        </w:rPr>
        <w:t>Montréal, Canada, 22 – 30 August</w:t>
      </w:r>
      <w:r w:rsidR="00F56F90">
        <w:rPr>
          <w:b/>
          <w:bCs/>
          <w:szCs w:val="22"/>
        </w:rPr>
        <w:t xml:space="preserve"> 2019</w:t>
      </w:r>
    </w:p>
    <w:p w14:paraId="2C71EFE9" w14:textId="77777777" w:rsidR="00770160" w:rsidRDefault="00770160">
      <w:pPr>
        <w:tabs>
          <w:tab w:val="left" w:pos="0"/>
          <w:tab w:val="left" w:pos="1570"/>
          <w:tab w:val="left" w:pos="1857"/>
        </w:tabs>
      </w:pPr>
      <w:bookmarkStart w:id="1" w:name="_GoBack"/>
      <w:bookmarkEnd w:id="1"/>
    </w:p>
    <w:p w14:paraId="2A0D9516" w14:textId="77777777" w:rsidR="00770160" w:rsidRDefault="00770160">
      <w:pPr>
        <w:tabs>
          <w:tab w:val="left" w:pos="0"/>
          <w:tab w:val="left" w:pos="1570"/>
          <w:tab w:val="left" w:pos="1857"/>
        </w:tabs>
      </w:pPr>
    </w:p>
    <w:p w14:paraId="661D45DB" w14:textId="1EBB1884" w:rsidR="00770160" w:rsidRDefault="00770160">
      <w:pPr>
        <w:pStyle w:val="Agendaitemtitle"/>
        <w:rPr>
          <w:lang w:val="sv-SE"/>
        </w:rPr>
      </w:pPr>
      <w:r w:rsidRPr="00900E76">
        <w:rPr>
          <w:lang w:val="sv-SE"/>
        </w:rPr>
        <w:t>Agenda Item </w:t>
      </w:r>
      <w:r w:rsidR="00EB7F07" w:rsidRPr="00900E76">
        <w:rPr>
          <w:lang w:val="sv-SE"/>
        </w:rPr>
        <w:t>9</w:t>
      </w:r>
      <w:r w:rsidRPr="00900E76">
        <w:rPr>
          <w:lang w:val="sv-SE"/>
        </w:rPr>
        <w:t>:</w:t>
      </w:r>
      <w:r w:rsidRPr="00900E76">
        <w:rPr>
          <w:lang w:val="sv-SE"/>
        </w:rPr>
        <w:tab/>
      </w:r>
      <w:r w:rsidR="00900E76" w:rsidRPr="00900E76">
        <w:rPr>
          <w:rFonts w:eastAsia="Calibri"/>
          <w:bCs/>
        </w:rPr>
        <w:t>Revision of</w:t>
      </w:r>
      <w:r w:rsidR="00900E76" w:rsidRPr="008173BC">
        <w:rPr>
          <w:rFonts w:eastAsia="Calibri"/>
          <w:bCs/>
        </w:rPr>
        <w:t xml:space="preserve"> ICAO Frequency Spectrum Handbook (Doc 9718)</w:t>
      </w:r>
    </w:p>
    <w:p w14:paraId="0C0DCCBC" w14:textId="77777777" w:rsidR="00770160" w:rsidRDefault="00770160">
      <w:pPr>
        <w:pStyle w:val="Agendaitemtitle"/>
        <w:rPr>
          <w:b w:val="0"/>
          <w:lang w:val="sv-SE"/>
        </w:rPr>
      </w:pPr>
    </w:p>
    <w:p w14:paraId="08740A8A" w14:textId="77777777" w:rsidR="00770160" w:rsidRDefault="00770160">
      <w:pPr>
        <w:tabs>
          <w:tab w:val="left" w:pos="6972"/>
        </w:tabs>
        <w:rPr>
          <w:b/>
          <w:lang w:val="sv-SE"/>
        </w:rPr>
      </w:pPr>
    </w:p>
    <w:p w14:paraId="79EB91E8" w14:textId="77777777" w:rsidR="00EB7F07" w:rsidRPr="00EE22CC" w:rsidRDefault="00EB7F07" w:rsidP="00EB7F07">
      <w:pPr>
        <w:pStyle w:val="Maintitle"/>
      </w:pPr>
      <w:r>
        <w:t>SPECTRUM GUIDANCE FOR AVIATION SYSTEMS DEVELOPMENT</w:t>
      </w:r>
    </w:p>
    <w:p w14:paraId="5D495F80" w14:textId="77777777" w:rsidR="00EB7F07" w:rsidRPr="00EE22CC" w:rsidRDefault="00EB7F07" w:rsidP="00EB7F07">
      <w:pPr>
        <w:tabs>
          <w:tab w:val="left" w:pos="6972"/>
        </w:tabs>
      </w:pPr>
    </w:p>
    <w:p w14:paraId="62E192D4" w14:textId="77777777" w:rsidR="00EB7F07" w:rsidRPr="00EE22CC" w:rsidRDefault="00EB7F07" w:rsidP="00EB7F07">
      <w:pPr>
        <w:tabs>
          <w:tab w:val="left" w:pos="6972"/>
        </w:tabs>
      </w:pPr>
    </w:p>
    <w:p w14:paraId="02CACD59" w14:textId="465D4E55" w:rsidR="00EB7F07" w:rsidRPr="00EE22CC" w:rsidRDefault="00EB7F07" w:rsidP="00EB7F07">
      <w:pPr>
        <w:jc w:val="center"/>
      </w:pPr>
      <w:r w:rsidRPr="00EE22CC">
        <w:t>(Presented by</w:t>
      </w:r>
      <w:bookmarkStart w:id="2" w:name="presented_by"/>
      <w:bookmarkEnd w:id="2"/>
      <w:r w:rsidRPr="00EE22CC">
        <w:t xml:space="preserve"> </w:t>
      </w:r>
      <w:r>
        <w:t>Andrew Roy</w:t>
      </w:r>
      <w:r w:rsidRPr="00EE22CC">
        <w:t>)</w:t>
      </w:r>
    </w:p>
    <w:p w14:paraId="39348C40" w14:textId="77777777" w:rsidR="00EB7F07" w:rsidRPr="00EE22CC" w:rsidRDefault="00EB7F07" w:rsidP="00EB7F07"/>
    <w:p w14:paraId="2FF54094" w14:textId="77777777" w:rsidR="00EB7F07" w:rsidRPr="00EE22CC" w:rsidRDefault="00EB7F07" w:rsidP="00EB7F07"/>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EB7F07" w:rsidRPr="00EE22CC" w14:paraId="2204737E" w14:textId="77777777" w:rsidTr="00623C9C">
        <w:trPr>
          <w:cantSplit/>
          <w:trHeight w:hRule="exact" w:val="480"/>
          <w:jc w:val="center"/>
        </w:trPr>
        <w:tc>
          <w:tcPr>
            <w:tcW w:w="7200" w:type="dxa"/>
            <w:vAlign w:val="center"/>
          </w:tcPr>
          <w:p w14:paraId="6EBB49A0" w14:textId="77777777" w:rsidR="00EB7F07" w:rsidRPr="00EE22CC" w:rsidRDefault="00EB7F07" w:rsidP="00623C9C">
            <w:pPr>
              <w:jc w:val="center"/>
              <w:rPr>
                <w:sz w:val="24"/>
                <w:lang w:val="en-US"/>
              </w:rPr>
            </w:pPr>
            <w:r w:rsidRPr="00EE22CC">
              <w:rPr>
                <w:b/>
              </w:rPr>
              <w:t>SUMMARY</w:t>
            </w:r>
          </w:p>
        </w:tc>
      </w:tr>
      <w:tr w:rsidR="00EB7F07" w:rsidRPr="00EE22CC" w14:paraId="71970EF8" w14:textId="77777777" w:rsidTr="00623C9C">
        <w:trPr>
          <w:cantSplit/>
          <w:jc w:val="center"/>
        </w:trPr>
        <w:tc>
          <w:tcPr>
            <w:tcW w:w="7200" w:type="dxa"/>
          </w:tcPr>
          <w:p w14:paraId="1FCF5FB3" w14:textId="77777777" w:rsidR="00EB7F07" w:rsidRPr="00EE22CC" w:rsidRDefault="00EB7F07" w:rsidP="00623C9C">
            <w:pPr>
              <w:rPr>
                <w:lang w:val="en-US"/>
              </w:rPr>
            </w:pPr>
            <w:r>
              <w:rPr>
                <w:lang w:val="en-US"/>
              </w:rPr>
              <w:t>Proposed policy text for the revised ICAO Spectrum Handbook providing guidance for spectrum in the development of new aviation standards at ICAO.  The proposal is provided for incorporation into the new Vol. B – Spectrum Management.</w:t>
            </w:r>
          </w:p>
        </w:tc>
      </w:tr>
    </w:tbl>
    <w:p w14:paraId="4B264218" w14:textId="77777777" w:rsidR="00EB7F07" w:rsidRPr="00EE22CC" w:rsidRDefault="00EB7F07" w:rsidP="00EB7F07"/>
    <w:p w14:paraId="15C27241" w14:textId="77777777" w:rsidR="00EB7F07" w:rsidRPr="00EE22CC" w:rsidRDefault="00EB7F07" w:rsidP="00EB7F07"/>
    <w:p w14:paraId="5FA5F1CA" w14:textId="77777777" w:rsidR="00EB7F07" w:rsidRPr="00EE22CC" w:rsidRDefault="00EB7F07" w:rsidP="00EB7F07">
      <w:pPr>
        <w:pStyle w:val="1Heading"/>
      </w:pPr>
      <w:r w:rsidRPr="00EE22CC">
        <w:t>INTRODUCTION</w:t>
      </w:r>
    </w:p>
    <w:p w14:paraId="7C39CBD7" w14:textId="77777777" w:rsidR="00EB7F07" w:rsidRDefault="00EB7F07" w:rsidP="00EB7F07">
      <w:pPr>
        <w:pStyle w:val="2para"/>
      </w:pPr>
      <w:r>
        <w:t>As discussed in FSMP WG-08 Working Paper 07</w:t>
      </w:r>
      <w:r>
        <w:rPr>
          <w:rStyle w:val="FootnoteReference"/>
        </w:rPr>
        <w:footnoteReference w:id="1"/>
      </w:r>
      <w:r>
        <w:t xml:space="preserve">, aviation has been in a reactionary stance while defending many aviation systems from spectrum changes.  Part of it has been due to unknown system performance, while other issues have centred on unplanned spectrum changes not accounted for in the system design.  With continued pressure on the spectrum, and the subsequent changes made by national spectrum regulators, friction from spectrum changes will only increase.  </w:t>
      </w:r>
    </w:p>
    <w:p w14:paraId="504DE1CD" w14:textId="58ECD31B" w:rsidR="00EB7F07" w:rsidRDefault="00EB7F07" w:rsidP="00EB7F07">
      <w:pPr>
        <w:pStyle w:val="2para"/>
      </w:pPr>
      <w:r>
        <w:t xml:space="preserve">Therefore, aviation must be designing its future system to be mindful of both potential changes and the lessons learnt from previous spectrum incidents.  Unfortunately, experience of spectrum management is not common and a niche subject even amongst experienced RF engineers.  The result is new systems being designed without the knowledge that could greatly increase their resilience (and therefore aviation safety), and even prevent a future retrofit of aircraft systems.  Providing best practice guidance material at the ICAO level to system designers and aviation standards bodies would go a long way to support new system development, and show aviation is considering the long term for spectrum planning.  </w:t>
      </w:r>
    </w:p>
    <w:p w14:paraId="56DC687D" w14:textId="77777777" w:rsidR="00EB7F07" w:rsidRPr="00EE22CC" w:rsidRDefault="00EB7F07" w:rsidP="00EB7F07">
      <w:pPr>
        <w:pStyle w:val="1Heading"/>
      </w:pPr>
      <w:r w:rsidRPr="00EE22CC">
        <w:lastRenderedPageBreak/>
        <w:t>DISCUSSION</w:t>
      </w:r>
    </w:p>
    <w:p w14:paraId="60A15647" w14:textId="77777777" w:rsidR="00EB7F07" w:rsidRDefault="00EB7F07" w:rsidP="00EB7F07">
      <w:pPr>
        <w:pStyle w:val="2para"/>
      </w:pPr>
      <w:r>
        <w:t>Annex A is a draft section for inclusion in spectrum management volume of the revised ICAO spectrum handbook (Doc 9718)</w:t>
      </w:r>
      <w:r w:rsidRPr="00EE22CC">
        <w:t xml:space="preserve">. </w:t>
      </w:r>
      <w:r>
        <w:t xml:space="preserve"> It has drafted text on s</w:t>
      </w:r>
      <w:r w:rsidRPr="00D25AB0">
        <w:t xml:space="preserve">pectrum </w:t>
      </w:r>
      <w:r>
        <w:t>c</w:t>
      </w:r>
      <w:r w:rsidRPr="00D25AB0">
        <w:t xml:space="preserve">onsiderations in </w:t>
      </w:r>
      <w:r>
        <w:t>a</w:t>
      </w:r>
      <w:r w:rsidRPr="00D25AB0">
        <w:t xml:space="preserve">viation </w:t>
      </w:r>
      <w:r>
        <w:t>systems</w:t>
      </w:r>
      <w:r w:rsidRPr="00D25AB0">
        <w:t xml:space="preserve"> </w:t>
      </w:r>
      <w:r>
        <w:t>d</w:t>
      </w:r>
      <w:r w:rsidRPr="00D25AB0">
        <w:t>evelopment</w:t>
      </w:r>
      <w:r>
        <w:t>, providing best practice guidance with the necessary ITU-R requirements for emissions.  Several points should be understood in the writing of the text:</w:t>
      </w:r>
    </w:p>
    <w:p w14:paraId="2877DDF3" w14:textId="77777777" w:rsidR="00EB7F07" w:rsidRDefault="00EB7F07" w:rsidP="00EB7F07">
      <w:pPr>
        <w:pStyle w:val="3para"/>
        <w:numPr>
          <w:ilvl w:val="0"/>
          <w:numId w:val="8"/>
        </w:numPr>
        <w:spacing w:after="0"/>
      </w:pPr>
      <w:r>
        <w:t xml:space="preserve">The guidance is aimed at the ICAO SARPs process, but would obviously be relevant and visible to the RTCA, EUROCAE, AEEC, etc. processes for consideration without ICAO attempting to dictate policy to private standards entities.  </w:t>
      </w:r>
    </w:p>
    <w:p w14:paraId="198A8C4B" w14:textId="77777777" w:rsidR="00EB7F07" w:rsidRDefault="00EB7F07" w:rsidP="00EB7F07">
      <w:pPr>
        <w:pStyle w:val="3para"/>
        <w:numPr>
          <w:ilvl w:val="0"/>
          <w:numId w:val="8"/>
        </w:numPr>
        <w:spacing w:after="0"/>
      </w:pPr>
      <w:r>
        <w:t>The guidance is deliberately framed in a best practice form, using examples where possible given the potentially ranges of audience backgrounds.</w:t>
      </w:r>
    </w:p>
    <w:p w14:paraId="7334EAFD" w14:textId="77777777" w:rsidR="00EB7F07" w:rsidRDefault="00EB7F07" w:rsidP="00EB7F07">
      <w:pPr>
        <w:pStyle w:val="3para"/>
        <w:numPr>
          <w:ilvl w:val="0"/>
          <w:numId w:val="8"/>
        </w:numPr>
        <w:spacing w:after="0"/>
      </w:pPr>
      <w:r>
        <w:t>Explicit statement that this guidance should not be considered retroactively for existing aviation systems unless they are being updated.</w:t>
      </w:r>
    </w:p>
    <w:p w14:paraId="5027F2A1" w14:textId="77777777" w:rsidR="00EB7F07" w:rsidRDefault="00EB7F07" w:rsidP="00EB7F07">
      <w:pPr>
        <w:pStyle w:val="3para"/>
        <w:numPr>
          <w:ilvl w:val="0"/>
          <w:numId w:val="8"/>
        </w:numPr>
        <w:spacing w:after="0"/>
      </w:pPr>
      <w:r>
        <w:t>New material has been added for both transmitter and receiver guidance.  This needs to be clarified further for specific limits given the current uncertainty on their compatibility with each other.</w:t>
      </w:r>
    </w:p>
    <w:p w14:paraId="2793FB1B" w14:textId="77777777" w:rsidR="00EB7F07" w:rsidRDefault="00EB7F07" w:rsidP="00EB7F07">
      <w:pPr>
        <w:pStyle w:val="1Heading"/>
      </w:pPr>
      <w:r>
        <w:t>SUMMARY</w:t>
      </w:r>
    </w:p>
    <w:p w14:paraId="731514DF" w14:textId="77777777" w:rsidR="00EB7F07" w:rsidRDefault="00EB7F07" w:rsidP="00EB7F07">
      <w:pPr>
        <w:pStyle w:val="2para"/>
      </w:pPr>
      <w:r>
        <w:t xml:space="preserve">Ensuring spectrum considerations in future systems should provide greater assurance to aviation in its promotion and protection of aeronautical systems.  Although it will not address immediate issues, planning for the long-term is critical and the review of the ICAO policy provides a good opportunity to implement such a process.  </w:t>
      </w:r>
    </w:p>
    <w:p w14:paraId="0ACE9598" w14:textId="77777777" w:rsidR="00EB7F07" w:rsidRDefault="00EB7F07" w:rsidP="00EB7F07">
      <w:pPr>
        <w:pStyle w:val="1Heading"/>
      </w:pPr>
      <w:r w:rsidRPr="00EE22CC">
        <w:t>ACTION BY THE MEETING</w:t>
      </w:r>
    </w:p>
    <w:p w14:paraId="324D8EF5" w14:textId="77777777" w:rsidR="00EB7F07" w:rsidRPr="00EE22CC" w:rsidRDefault="00EB7F07" w:rsidP="00EB7F07">
      <w:pPr>
        <w:pStyle w:val="2para"/>
      </w:pPr>
      <w:r w:rsidRPr="00EE22CC">
        <w:t>The meeting is invited to:</w:t>
      </w:r>
    </w:p>
    <w:p w14:paraId="64722352" w14:textId="77777777" w:rsidR="00EB7F07" w:rsidRPr="00EE22CC" w:rsidRDefault="00EB7F07" w:rsidP="00EB7F07">
      <w:pPr>
        <w:pStyle w:val="Listabc"/>
      </w:pPr>
      <w:r w:rsidRPr="00EE22CC">
        <w:rPr>
          <w:lang w:val="en-GB"/>
        </w:rPr>
        <w:t>n</w:t>
      </w:r>
      <w:r w:rsidRPr="00EE22CC">
        <w:t>ote and review the contents of this working paper</w:t>
      </w:r>
      <w:r>
        <w:t>.</w:t>
      </w:r>
    </w:p>
    <w:p w14:paraId="09C1E439" w14:textId="77777777" w:rsidR="00EB7F07" w:rsidRPr="00EE22CC" w:rsidRDefault="00EB7F07" w:rsidP="00EB7F07">
      <w:pPr>
        <w:pStyle w:val="Listabc"/>
      </w:pPr>
      <w:r>
        <w:t>Add to the current Vol. B – Spectrum Management draft as a placeholder for further development</w:t>
      </w:r>
    </w:p>
    <w:p w14:paraId="6E5D139B" w14:textId="77777777" w:rsidR="00EB7F07" w:rsidRDefault="00EB7F07" w:rsidP="00EB7F07">
      <w:pPr>
        <w:pStyle w:val="Listabc"/>
      </w:pPr>
      <w:r>
        <w:t>Request contributions on the topic at the next FSMP WG.</w:t>
      </w:r>
    </w:p>
    <w:p w14:paraId="03C6044B" w14:textId="77777777" w:rsidR="00EB7F07" w:rsidRPr="00EE22CC" w:rsidRDefault="00EB7F07" w:rsidP="00EB7F07">
      <w:pPr>
        <w:pStyle w:val="Listabc"/>
        <w:numPr>
          <w:ilvl w:val="0"/>
          <w:numId w:val="0"/>
        </w:numPr>
        <w:ind w:left="1440"/>
        <w:jc w:val="center"/>
      </w:pPr>
      <w:r w:rsidRPr="00EE22CC">
        <w:t>— END —</w:t>
      </w:r>
    </w:p>
    <w:p w14:paraId="5E9F62C6" w14:textId="77777777" w:rsidR="00EB7F07" w:rsidRPr="00EE22CC" w:rsidRDefault="00EB7F07" w:rsidP="00EB7F07">
      <w:pPr>
        <w:jc w:val="center"/>
        <w:rPr>
          <w:b/>
        </w:rPr>
      </w:pPr>
      <w:r w:rsidRPr="00EE22CC">
        <w:br w:type="page"/>
      </w:r>
      <w:r w:rsidRPr="00EE22CC">
        <w:rPr>
          <w:b/>
        </w:rPr>
        <w:lastRenderedPageBreak/>
        <w:t>Annex A</w:t>
      </w:r>
    </w:p>
    <w:p w14:paraId="239D223E" w14:textId="77777777" w:rsidR="00EB7F07" w:rsidRPr="00EE22CC" w:rsidRDefault="00EB7F07" w:rsidP="00EB7F07">
      <w:pPr>
        <w:jc w:val="center"/>
        <w:rPr>
          <w:b/>
        </w:rPr>
      </w:pPr>
      <w:r w:rsidRPr="00EE22CC">
        <w:rPr>
          <w:b/>
        </w:rPr>
        <w:t>Suggested text for ICAO Spectrum Handbook</w:t>
      </w:r>
      <w:r>
        <w:rPr>
          <w:b/>
        </w:rPr>
        <w:t xml:space="preserve"> (Doc 9718)</w:t>
      </w:r>
      <w:r w:rsidRPr="00EE22CC">
        <w:rPr>
          <w:b/>
        </w:rPr>
        <w:t xml:space="preserve"> – Vol. </w:t>
      </w:r>
      <w:r>
        <w:rPr>
          <w:b/>
        </w:rPr>
        <w:t>B</w:t>
      </w:r>
      <w:r w:rsidRPr="00EE22CC">
        <w:rPr>
          <w:b/>
        </w:rPr>
        <w:t xml:space="preserve"> </w:t>
      </w:r>
      <w:r>
        <w:rPr>
          <w:b/>
        </w:rPr>
        <w:t>–</w:t>
      </w:r>
      <w:r w:rsidRPr="00EE22CC">
        <w:rPr>
          <w:b/>
        </w:rPr>
        <w:t xml:space="preserve"> </w:t>
      </w:r>
      <w:r>
        <w:rPr>
          <w:b/>
        </w:rPr>
        <w:t>Spectrum Management</w:t>
      </w:r>
    </w:p>
    <w:p w14:paraId="5E3775F8" w14:textId="77777777" w:rsidR="00EB7F07" w:rsidRPr="00EE22CC" w:rsidRDefault="00EB7F07" w:rsidP="00EB7F07">
      <w:pPr>
        <w:rPr>
          <w:b/>
        </w:rPr>
      </w:pPr>
    </w:p>
    <w:p w14:paraId="10B595F2" w14:textId="77777777" w:rsidR="00EB7F07" w:rsidRPr="00EE22CC" w:rsidRDefault="00EB7F07" w:rsidP="00EB7F07">
      <w:pPr>
        <w:rPr>
          <w:b/>
        </w:rPr>
      </w:pPr>
      <w:r w:rsidRPr="00EE22CC">
        <w:rPr>
          <w:b/>
        </w:rPr>
        <w:t xml:space="preserve">X.X Spectrum Considerations in Aviation </w:t>
      </w:r>
      <w:r>
        <w:rPr>
          <w:b/>
        </w:rPr>
        <w:t>Systems Development</w:t>
      </w:r>
    </w:p>
    <w:p w14:paraId="21461924" w14:textId="77777777" w:rsidR="00EB7F07" w:rsidRPr="00EE22CC" w:rsidRDefault="00EB7F07" w:rsidP="00EB7F07"/>
    <w:p w14:paraId="193F44B6" w14:textId="4948050B" w:rsidR="00EB7F07" w:rsidRDefault="00EB7F07" w:rsidP="00EB7F07">
      <w:r w:rsidRPr="00EE22CC">
        <w:t xml:space="preserve">The design and implementation of aviation systems is a fundamental part of the promotion and protection of aeronautical spectrum.  Since aviation systems are built upon international standards that define and certify performance, spectrum efficiency and protection should be a priority during </w:t>
      </w:r>
      <w:r w:rsidR="00F16F39">
        <w:t xml:space="preserve">their </w:t>
      </w:r>
      <w:r w:rsidRPr="00EE22CC">
        <w:t xml:space="preserve">design and standardization.  While this may increase the complexity of some system designs, the life cycle cost of inefficient or inflexible spectrum usage can often impact a system’s </w:t>
      </w:r>
      <w:r>
        <w:t>operation</w:t>
      </w:r>
      <w:r w:rsidRPr="00EE22CC">
        <w:t xml:space="preserve"> by several orders of magnitudes greater than any savings achieved in the design phase.</w:t>
      </w:r>
      <w:r>
        <w:t xml:space="preserve">  Such design improvements also increase the reliance and efficiency of the systems, supporting aviation safety.  Poor or undocumented aviation system design may be used as justification by national spectrum regulators to ignore aviation concerns and force future retrofits to accommodate spectrum changes.  </w:t>
      </w:r>
    </w:p>
    <w:p w14:paraId="2B3BAA4C" w14:textId="77777777" w:rsidR="00EB7F07" w:rsidRDefault="00EB7F07" w:rsidP="00EB7F07"/>
    <w:p w14:paraId="2B00F795" w14:textId="79E8E24A" w:rsidR="00EB7F07" w:rsidRPr="00EE22CC" w:rsidRDefault="00EB7F07" w:rsidP="00EB7F07">
      <w:r w:rsidRPr="00EE22CC">
        <w:t>To assist the many different standards organizations creating specifications for international aviation systems, the following spectrum guidance is strongly recommended when weighing the necessary performance, cost and operational considerations.</w:t>
      </w:r>
      <w:r>
        <w:t xml:space="preserve">  </w:t>
      </w:r>
      <w:r w:rsidRPr="00EE22CC">
        <w:t>With exception of international requirements</w:t>
      </w:r>
      <w:r>
        <w:t xml:space="preserve"> from the ITU-R,</w:t>
      </w:r>
      <w:r w:rsidRPr="00EE22CC">
        <w:t xml:space="preserve"> these guidelines are not specified as absolute requirements, as it is recognized that multiple trade-offs are required in the development of a system.  However, efforts should be made to test</w:t>
      </w:r>
      <w:r w:rsidR="00F33C99">
        <w:t xml:space="preserve"> new</w:t>
      </w:r>
      <w:r w:rsidRPr="00EE22CC">
        <w:t xml:space="preserve"> </w:t>
      </w:r>
      <w:r w:rsidR="00603778">
        <w:t>systems</w:t>
      </w:r>
      <w:r w:rsidRPr="00EE22CC">
        <w:t xml:space="preserve"> to ensure they are the best practicable design </w:t>
      </w:r>
      <w:r>
        <w:t>for the most efficient</w:t>
      </w:r>
      <w:r w:rsidRPr="00EE22CC">
        <w:t xml:space="preserve"> spectrum usage</w:t>
      </w:r>
      <w:r>
        <w:t>, justifying where such a trade-off has been made</w:t>
      </w:r>
      <w:r w:rsidR="00F33C99">
        <w:t>.</w:t>
      </w:r>
    </w:p>
    <w:p w14:paraId="5F26DE07" w14:textId="77777777" w:rsidR="00EB7F07" w:rsidRPr="00EE22CC" w:rsidRDefault="00EB7F07" w:rsidP="00EB7F07"/>
    <w:p w14:paraId="712096A5" w14:textId="77777777" w:rsidR="00EB7F07" w:rsidRDefault="00EB7F07" w:rsidP="00EB7F07">
      <w:pPr>
        <w:rPr>
          <w:b/>
        </w:rPr>
      </w:pPr>
      <w:r w:rsidRPr="00EF3A45">
        <w:rPr>
          <w:b/>
        </w:rPr>
        <w:t>X.X.X Applicability</w:t>
      </w:r>
    </w:p>
    <w:p w14:paraId="0A402B8F" w14:textId="77777777" w:rsidR="00EB7F07" w:rsidRDefault="00EB7F07" w:rsidP="00EB7F07"/>
    <w:p w14:paraId="5AD3CAEA" w14:textId="3DB0B0BE" w:rsidR="00EB7F07" w:rsidRDefault="00EB7F07" w:rsidP="00EB7F07">
      <w:r w:rsidRPr="00EE22CC">
        <w:t xml:space="preserve">Some or all of these guidelines </w:t>
      </w:r>
      <w:r w:rsidR="00347C08">
        <w:t>should be implemented in the development of future systems within ICAO Annex 10,</w:t>
      </w:r>
      <w:r w:rsidRPr="00EE22CC">
        <w:t xml:space="preserve"> </w:t>
      </w:r>
      <w:r w:rsidR="00603778">
        <w:t>dependent on the system and its operation,</w:t>
      </w:r>
      <w:r w:rsidRPr="00EE22CC">
        <w:t xml:space="preserve"> be</w:t>
      </w:r>
      <w:r w:rsidR="00603778">
        <w:t xml:space="preserve"> it</w:t>
      </w:r>
      <w:r w:rsidRPr="00EE22CC">
        <w:t xml:space="preserve"> for communications, navigation, or surveillance</w:t>
      </w:r>
      <w:r>
        <w:t>.  Although outside of ICAO’s remit, it is recommended that such guidance be considered by regional and domestic standards organizations in the private development of aviation systems.  It shall not be retroactively applied to existing aviation systems unless they are being updated</w:t>
      </w:r>
      <w:r w:rsidRPr="00EE22CC">
        <w:t xml:space="preserve">.  </w:t>
      </w:r>
    </w:p>
    <w:p w14:paraId="0A1C552B" w14:textId="77777777" w:rsidR="00EB7F07" w:rsidRPr="00EF3A45" w:rsidRDefault="00EB7F07" w:rsidP="00EB7F07">
      <w:pPr>
        <w:rPr>
          <w:b/>
        </w:rPr>
      </w:pPr>
    </w:p>
    <w:p w14:paraId="7BFC0425" w14:textId="77777777" w:rsidR="00EB7F07" w:rsidRPr="00EE22CC" w:rsidRDefault="00EB7F07" w:rsidP="00EB7F07">
      <w:pPr>
        <w:rPr>
          <w:b/>
        </w:rPr>
      </w:pPr>
      <w:r w:rsidRPr="00EE22CC">
        <w:rPr>
          <w:b/>
        </w:rPr>
        <w:t xml:space="preserve">X.X.X </w:t>
      </w:r>
      <w:r>
        <w:rPr>
          <w:b/>
        </w:rPr>
        <w:t>International</w:t>
      </w:r>
      <w:r w:rsidRPr="00EE22CC">
        <w:rPr>
          <w:b/>
        </w:rPr>
        <w:t xml:space="preserve"> spectrum requirements</w:t>
      </w:r>
    </w:p>
    <w:p w14:paraId="0E38021F" w14:textId="77777777" w:rsidR="00EB7F07" w:rsidRPr="00EE22CC" w:rsidRDefault="00EB7F07" w:rsidP="00EB7F07"/>
    <w:p w14:paraId="15B60A59" w14:textId="77777777" w:rsidR="00EB7F07" w:rsidRDefault="00EB7F07" w:rsidP="00EB7F07">
      <w:r w:rsidRPr="00EE22CC">
        <w:t>Systems should comply with</w:t>
      </w:r>
      <w:r>
        <w:t xml:space="preserve"> the following</w:t>
      </w:r>
      <w:r w:rsidRPr="00EE22CC">
        <w:t xml:space="preserve"> ITU-R </w:t>
      </w:r>
      <w:r>
        <w:t>publications</w:t>
      </w:r>
      <w:r w:rsidRPr="00EE22CC">
        <w:t xml:space="preserve"> on bandwidth, out-of-band, and </w:t>
      </w:r>
      <w:r w:rsidRPr="00D5435A">
        <w:t>spurious emissions</w:t>
      </w:r>
      <w:r>
        <w:t>.  Definitions on the ITU-R terms can be found in ITU-R Radio Regulations</w:t>
      </w:r>
      <w:r>
        <w:rPr>
          <w:rStyle w:val="FootnoteReference"/>
        </w:rPr>
        <w:footnoteReference w:id="2"/>
      </w:r>
      <w:r>
        <w:t xml:space="preserve"> and R</w:t>
      </w:r>
      <w:r w:rsidRPr="005F6059">
        <w:t>ecommendation ITU-R SM.328</w:t>
      </w:r>
      <w:r>
        <w:t xml:space="preserve"> (</w:t>
      </w:r>
      <w:r w:rsidRPr="005F6059">
        <w:t>Spectra and Emissions</w:t>
      </w:r>
      <w:r>
        <w:t>)</w:t>
      </w:r>
      <w:r>
        <w:rPr>
          <w:rStyle w:val="FootnoteReference"/>
        </w:rPr>
        <w:footnoteReference w:id="3"/>
      </w:r>
      <w:r>
        <w:t>:</w:t>
      </w:r>
    </w:p>
    <w:p w14:paraId="03B7BCD2" w14:textId="77777777" w:rsidR="00EB7F07" w:rsidRDefault="00EB7F07" w:rsidP="00EB7F07">
      <w:pPr>
        <w:pStyle w:val="ListParagraph"/>
        <w:numPr>
          <w:ilvl w:val="0"/>
          <w:numId w:val="7"/>
        </w:numPr>
        <w:rPr>
          <w:rFonts w:ascii="Times New Roman" w:hAnsi="Times New Roman"/>
        </w:rPr>
      </w:pPr>
      <w:r w:rsidRPr="00B469FC">
        <w:rPr>
          <w:rFonts w:ascii="Times New Roman" w:hAnsi="Times New Roman"/>
        </w:rPr>
        <w:t>Maximum permitted power levels for unwanted emissions</w:t>
      </w:r>
      <w:r>
        <w:rPr>
          <w:rFonts w:ascii="Times New Roman" w:hAnsi="Times New Roman"/>
        </w:rPr>
        <w:t xml:space="preserve"> </w:t>
      </w:r>
      <w:r w:rsidRPr="00B469FC">
        <w:rPr>
          <w:rFonts w:ascii="Times New Roman" w:hAnsi="Times New Roman"/>
        </w:rPr>
        <w:t>in the spurious domain</w:t>
      </w:r>
      <w:r>
        <w:rPr>
          <w:rFonts w:ascii="Times New Roman" w:hAnsi="Times New Roman"/>
        </w:rPr>
        <w:t xml:space="preserve"> – ITU-R Radio Regulations, Appendix 3</w:t>
      </w:r>
    </w:p>
    <w:p w14:paraId="3AD37884" w14:textId="77777777" w:rsidR="00EB7F07" w:rsidRDefault="00EB7F07" w:rsidP="00EB7F07">
      <w:pPr>
        <w:pStyle w:val="ListParagraph"/>
        <w:numPr>
          <w:ilvl w:val="0"/>
          <w:numId w:val="7"/>
        </w:numPr>
        <w:rPr>
          <w:rFonts w:ascii="Times New Roman" w:hAnsi="Times New Roman"/>
        </w:rPr>
      </w:pPr>
      <w:r w:rsidRPr="00814FCE">
        <w:rPr>
          <w:rFonts w:ascii="Times New Roman" w:hAnsi="Times New Roman"/>
        </w:rPr>
        <w:t>Unwanted emissions in the spurious domain</w:t>
      </w:r>
      <w:r>
        <w:rPr>
          <w:rFonts w:ascii="Times New Roman" w:hAnsi="Times New Roman"/>
        </w:rPr>
        <w:t xml:space="preserve"> – ITU-R Recommendation SM.329</w:t>
      </w:r>
      <w:r>
        <w:rPr>
          <w:rStyle w:val="FootnoteReference"/>
          <w:rFonts w:ascii="Times New Roman" w:hAnsi="Times New Roman"/>
        </w:rPr>
        <w:footnoteReference w:id="4"/>
      </w:r>
    </w:p>
    <w:p w14:paraId="5DC32A95" w14:textId="77777777" w:rsidR="00EB7F07" w:rsidRDefault="00EB7F07" w:rsidP="00EB7F07">
      <w:pPr>
        <w:pStyle w:val="ListParagraph"/>
        <w:numPr>
          <w:ilvl w:val="0"/>
          <w:numId w:val="7"/>
        </w:numPr>
        <w:rPr>
          <w:rFonts w:ascii="Times New Roman" w:hAnsi="Times New Roman"/>
        </w:rPr>
      </w:pPr>
      <w:r w:rsidRPr="00573423">
        <w:rPr>
          <w:rFonts w:ascii="Times New Roman" w:hAnsi="Times New Roman"/>
        </w:rPr>
        <w:t>Noise and sensitivity of receivers</w:t>
      </w:r>
      <w:r>
        <w:rPr>
          <w:rFonts w:ascii="Times New Roman" w:hAnsi="Times New Roman"/>
        </w:rPr>
        <w:t xml:space="preserve"> – </w:t>
      </w:r>
      <w:r w:rsidRPr="005F6059">
        <w:rPr>
          <w:rFonts w:ascii="Times New Roman" w:hAnsi="Times New Roman"/>
        </w:rPr>
        <w:t>ITU-R Recommendation</w:t>
      </w:r>
      <w:r>
        <w:rPr>
          <w:rFonts w:ascii="Times New Roman" w:hAnsi="Times New Roman"/>
        </w:rPr>
        <w:t xml:space="preserve"> SM.331</w:t>
      </w:r>
      <w:r>
        <w:rPr>
          <w:rStyle w:val="FootnoteReference"/>
          <w:rFonts w:ascii="Times New Roman" w:hAnsi="Times New Roman"/>
        </w:rPr>
        <w:footnoteReference w:id="5"/>
      </w:r>
    </w:p>
    <w:p w14:paraId="23456CAC" w14:textId="77777777" w:rsidR="00EB7F07" w:rsidRDefault="00EB7F07" w:rsidP="00EB7F07">
      <w:pPr>
        <w:pStyle w:val="ListParagraph"/>
        <w:numPr>
          <w:ilvl w:val="0"/>
          <w:numId w:val="7"/>
        </w:numPr>
        <w:rPr>
          <w:rFonts w:ascii="Times New Roman" w:hAnsi="Times New Roman"/>
        </w:rPr>
      </w:pPr>
      <w:r w:rsidRPr="00573423">
        <w:rPr>
          <w:rFonts w:ascii="Times New Roman" w:hAnsi="Times New Roman"/>
        </w:rPr>
        <w:t xml:space="preserve">Selectivity of receivers </w:t>
      </w:r>
      <w:r>
        <w:rPr>
          <w:rFonts w:ascii="Times New Roman" w:hAnsi="Times New Roman"/>
        </w:rPr>
        <w:t xml:space="preserve">- </w:t>
      </w:r>
      <w:r w:rsidRPr="005F6059">
        <w:rPr>
          <w:rFonts w:ascii="Times New Roman" w:hAnsi="Times New Roman"/>
        </w:rPr>
        <w:t>ITU-R Recommendation</w:t>
      </w:r>
      <w:r>
        <w:rPr>
          <w:rFonts w:ascii="Times New Roman" w:hAnsi="Times New Roman"/>
        </w:rPr>
        <w:t xml:space="preserve"> SM.332</w:t>
      </w:r>
      <w:r>
        <w:rPr>
          <w:rStyle w:val="FootnoteReference"/>
          <w:rFonts w:ascii="Times New Roman" w:hAnsi="Times New Roman"/>
        </w:rPr>
        <w:footnoteReference w:id="6"/>
      </w:r>
    </w:p>
    <w:p w14:paraId="3966D475" w14:textId="77777777" w:rsidR="00EB7F07" w:rsidRDefault="00EB7F07" w:rsidP="00EB7F07">
      <w:pPr>
        <w:pStyle w:val="ListParagraph"/>
        <w:numPr>
          <w:ilvl w:val="0"/>
          <w:numId w:val="7"/>
        </w:numPr>
        <w:rPr>
          <w:rFonts w:ascii="Times New Roman" w:hAnsi="Times New Roman"/>
        </w:rPr>
      </w:pPr>
      <w:r>
        <w:rPr>
          <w:rFonts w:ascii="Times New Roman" w:hAnsi="Times New Roman"/>
        </w:rPr>
        <w:t>Defining n</w:t>
      </w:r>
      <w:r w:rsidRPr="003930DA">
        <w:rPr>
          <w:rFonts w:ascii="Times New Roman" w:hAnsi="Times New Roman"/>
        </w:rPr>
        <w:t>ecessary bandwidth</w:t>
      </w:r>
      <w:r>
        <w:rPr>
          <w:rFonts w:ascii="Times New Roman" w:hAnsi="Times New Roman"/>
        </w:rPr>
        <w:t xml:space="preserve"> – </w:t>
      </w:r>
      <w:r w:rsidRPr="005F6059">
        <w:rPr>
          <w:rFonts w:ascii="Times New Roman" w:hAnsi="Times New Roman"/>
        </w:rPr>
        <w:t>ITU-R Recommendation</w:t>
      </w:r>
      <w:r>
        <w:rPr>
          <w:rFonts w:ascii="Times New Roman" w:hAnsi="Times New Roman"/>
        </w:rPr>
        <w:t xml:space="preserve"> SM.853</w:t>
      </w:r>
      <w:r>
        <w:rPr>
          <w:rStyle w:val="FootnoteReference"/>
          <w:rFonts w:ascii="Times New Roman" w:hAnsi="Times New Roman"/>
        </w:rPr>
        <w:footnoteReference w:id="7"/>
      </w:r>
    </w:p>
    <w:p w14:paraId="38F15B67" w14:textId="77777777" w:rsidR="00EB7F07" w:rsidRDefault="00EB7F07" w:rsidP="00EB7F07">
      <w:pPr>
        <w:pStyle w:val="ListParagraph"/>
        <w:numPr>
          <w:ilvl w:val="0"/>
          <w:numId w:val="7"/>
        </w:numPr>
        <w:rPr>
          <w:rFonts w:ascii="Times New Roman" w:hAnsi="Times New Roman"/>
        </w:rPr>
      </w:pPr>
      <w:r w:rsidRPr="003930DA">
        <w:rPr>
          <w:rFonts w:ascii="Times New Roman" w:hAnsi="Times New Roman"/>
        </w:rPr>
        <w:lastRenderedPageBreak/>
        <w:t>Unwanted emissions in the out-of-band domain falling into adjacent allocated bands</w:t>
      </w:r>
      <w:r>
        <w:rPr>
          <w:rFonts w:ascii="Times New Roman" w:hAnsi="Times New Roman"/>
        </w:rPr>
        <w:t xml:space="preserve"> – ITU-R </w:t>
      </w:r>
      <w:r w:rsidRPr="003930DA">
        <w:rPr>
          <w:rFonts w:ascii="Times New Roman" w:hAnsi="Times New Roman"/>
        </w:rPr>
        <w:t>Recommendation SM.1540</w:t>
      </w:r>
      <w:r>
        <w:rPr>
          <w:rStyle w:val="FootnoteReference"/>
          <w:rFonts w:ascii="Times New Roman" w:hAnsi="Times New Roman"/>
        </w:rPr>
        <w:footnoteReference w:id="8"/>
      </w:r>
    </w:p>
    <w:p w14:paraId="1E4C6286" w14:textId="77777777" w:rsidR="00EB7F07" w:rsidRDefault="00EB7F07" w:rsidP="00EB7F07">
      <w:pPr>
        <w:pStyle w:val="ListParagraph"/>
        <w:numPr>
          <w:ilvl w:val="0"/>
          <w:numId w:val="7"/>
        </w:numPr>
        <w:rPr>
          <w:rFonts w:ascii="Times New Roman" w:hAnsi="Times New Roman"/>
        </w:rPr>
      </w:pPr>
      <w:r w:rsidRPr="005F6059">
        <w:rPr>
          <w:rFonts w:ascii="Times New Roman" w:hAnsi="Times New Roman"/>
        </w:rPr>
        <w:t xml:space="preserve">Out of band emissions </w:t>
      </w:r>
      <w:r>
        <w:rPr>
          <w:rFonts w:ascii="Times New Roman" w:hAnsi="Times New Roman"/>
        </w:rPr>
        <w:t xml:space="preserve">limits </w:t>
      </w:r>
      <w:r w:rsidRPr="005F6059">
        <w:rPr>
          <w:rFonts w:ascii="Times New Roman" w:hAnsi="Times New Roman"/>
        </w:rPr>
        <w:t>– ITU-R Recommendation SM.1541-6</w:t>
      </w:r>
      <w:r>
        <w:rPr>
          <w:rStyle w:val="FootnoteReference"/>
          <w:rFonts w:ascii="Times New Roman" w:hAnsi="Times New Roman"/>
        </w:rPr>
        <w:footnoteReference w:id="9"/>
      </w:r>
    </w:p>
    <w:p w14:paraId="736C7BEE" w14:textId="77777777" w:rsidR="00EB7F07" w:rsidRDefault="00EB7F07" w:rsidP="00EB7F07">
      <w:pPr>
        <w:rPr>
          <w:i/>
        </w:rPr>
      </w:pPr>
    </w:p>
    <w:p w14:paraId="23DB3DB8" w14:textId="77777777" w:rsidR="00EB7F07" w:rsidRPr="00EE22CC" w:rsidRDefault="00EB7F07" w:rsidP="00EB7F07">
      <w:pPr>
        <w:rPr>
          <w:b/>
        </w:rPr>
      </w:pPr>
      <w:r>
        <w:rPr>
          <w:b/>
        </w:rPr>
        <w:t xml:space="preserve">X.X.X </w:t>
      </w:r>
      <w:r w:rsidRPr="00EE22CC">
        <w:rPr>
          <w:b/>
        </w:rPr>
        <w:t>Conceptual</w:t>
      </w:r>
      <w:r>
        <w:rPr>
          <w:b/>
        </w:rPr>
        <w:t xml:space="preserve"> spectrum</w:t>
      </w:r>
      <w:r w:rsidRPr="00EE22CC">
        <w:rPr>
          <w:b/>
        </w:rPr>
        <w:t xml:space="preserve"> guid</w:t>
      </w:r>
      <w:r>
        <w:rPr>
          <w:b/>
        </w:rPr>
        <w:t>ance</w:t>
      </w:r>
    </w:p>
    <w:p w14:paraId="2CDB70D2" w14:textId="589CC022" w:rsidR="00EB7F07" w:rsidRPr="00EE22CC" w:rsidRDefault="00EB7F07" w:rsidP="00EB7F07">
      <w:pPr>
        <w:pStyle w:val="ListParagraph"/>
        <w:numPr>
          <w:ilvl w:val="0"/>
          <w:numId w:val="6"/>
        </w:numPr>
        <w:rPr>
          <w:rFonts w:ascii="Times New Roman" w:hAnsi="Times New Roman"/>
        </w:rPr>
      </w:pPr>
      <w:r w:rsidRPr="00EE22CC">
        <w:rPr>
          <w:rFonts w:ascii="Times New Roman" w:hAnsi="Times New Roman"/>
        </w:rPr>
        <w:t xml:space="preserve">The RF interference environment should not be assumed to remain constant over the life of the system.  All aviation receivers should implement the best practicable internal or external filtering to mitigate </w:t>
      </w:r>
      <w:r>
        <w:rPr>
          <w:rFonts w:ascii="Times New Roman" w:hAnsi="Times New Roman"/>
        </w:rPr>
        <w:t>possible or likely</w:t>
      </w:r>
      <w:r w:rsidRPr="00EE22CC">
        <w:rPr>
          <w:rFonts w:ascii="Times New Roman" w:hAnsi="Times New Roman"/>
        </w:rPr>
        <w:t xml:space="preserve"> future changes in the same, or adjacent, frequency bands.  </w:t>
      </w:r>
    </w:p>
    <w:p w14:paraId="7983EBDF" w14:textId="5FBE753A" w:rsidR="00EB7F07" w:rsidRPr="00EE22CC" w:rsidRDefault="00EB7F07" w:rsidP="00EB7F07">
      <w:pPr>
        <w:pStyle w:val="ListParagraph"/>
        <w:numPr>
          <w:ilvl w:val="0"/>
          <w:numId w:val="6"/>
        </w:numPr>
        <w:rPr>
          <w:rFonts w:ascii="Times New Roman" w:hAnsi="Times New Roman"/>
        </w:rPr>
      </w:pPr>
      <w:r w:rsidRPr="00EE22CC">
        <w:rPr>
          <w:rFonts w:ascii="Times New Roman" w:hAnsi="Times New Roman"/>
        </w:rPr>
        <w:t xml:space="preserve">Ambiguous/missing </w:t>
      </w:r>
      <w:r>
        <w:rPr>
          <w:rFonts w:ascii="Times New Roman" w:hAnsi="Times New Roman"/>
        </w:rPr>
        <w:t xml:space="preserve">parameters in aviation standards </w:t>
      </w:r>
      <w:r w:rsidRPr="00EE22CC">
        <w:rPr>
          <w:rFonts w:ascii="Times New Roman" w:hAnsi="Times New Roman"/>
        </w:rPr>
        <w:t xml:space="preserve">may </w:t>
      </w:r>
      <w:r>
        <w:rPr>
          <w:rFonts w:ascii="Times New Roman" w:hAnsi="Times New Roman"/>
        </w:rPr>
        <w:t>cause</w:t>
      </w:r>
      <w:r w:rsidRPr="00EE22CC">
        <w:rPr>
          <w:rFonts w:ascii="Times New Roman" w:hAnsi="Times New Roman"/>
        </w:rPr>
        <w:t xml:space="preserve"> non-aviation audiences </w:t>
      </w:r>
      <w:r>
        <w:rPr>
          <w:rFonts w:ascii="Times New Roman" w:hAnsi="Times New Roman"/>
        </w:rPr>
        <w:t xml:space="preserve">to </w:t>
      </w:r>
      <w:r w:rsidRPr="00EE22CC">
        <w:rPr>
          <w:rFonts w:ascii="Times New Roman" w:hAnsi="Times New Roman"/>
        </w:rPr>
        <w:t>misinterpret the necessary protection requirements when assessing spectrum compatibility between non-aviation and aviation systems. All relevant transmitter and receiver RF performance for both in-band and the adjacent frequency bands should be clearly specified</w:t>
      </w:r>
      <w:r w:rsidR="00114983">
        <w:rPr>
          <w:rFonts w:ascii="Times New Roman" w:hAnsi="Times New Roman"/>
        </w:rPr>
        <w:t xml:space="preserve"> to prevent ambiguity</w:t>
      </w:r>
      <w:r w:rsidRPr="00EE22CC">
        <w:rPr>
          <w:rFonts w:ascii="Times New Roman" w:hAnsi="Times New Roman"/>
        </w:rPr>
        <w:t xml:space="preserve">. </w:t>
      </w:r>
    </w:p>
    <w:p w14:paraId="54FCC412" w14:textId="77777777" w:rsidR="00EB7F07" w:rsidRDefault="00EB7F07" w:rsidP="00EB7F07">
      <w:pPr>
        <w:pStyle w:val="ListParagraph"/>
        <w:numPr>
          <w:ilvl w:val="0"/>
          <w:numId w:val="6"/>
        </w:numPr>
        <w:rPr>
          <w:rFonts w:ascii="Times New Roman" w:hAnsi="Times New Roman"/>
        </w:rPr>
      </w:pPr>
      <w:r w:rsidRPr="00EE22CC">
        <w:rPr>
          <w:rFonts w:ascii="Times New Roman" w:hAnsi="Times New Roman"/>
        </w:rPr>
        <w:t xml:space="preserve">Aviation spectrum and infrastructure will continue to be constrained in the future, and </w:t>
      </w:r>
      <w:r>
        <w:rPr>
          <w:rFonts w:ascii="Times New Roman" w:hAnsi="Times New Roman"/>
        </w:rPr>
        <w:t>systems unable to adapt to these changes will be limited their</w:t>
      </w:r>
      <w:r w:rsidRPr="00EE22CC">
        <w:rPr>
          <w:rFonts w:ascii="Times New Roman" w:hAnsi="Times New Roman"/>
        </w:rPr>
        <w:t xml:space="preserve"> full potential.  </w:t>
      </w:r>
      <w:r>
        <w:rPr>
          <w:rFonts w:ascii="Times New Roman" w:hAnsi="Times New Roman"/>
        </w:rPr>
        <w:t xml:space="preserve">Operating/technical requirements </w:t>
      </w:r>
      <w:r w:rsidRPr="00EE22CC">
        <w:rPr>
          <w:rFonts w:ascii="Times New Roman" w:hAnsi="Times New Roman"/>
        </w:rPr>
        <w:t xml:space="preserve">to overcome design issues </w:t>
      </w:r>
      <w:r>
        <w:rPr>
          <w:rFonts w:ascii="Times New Roman" w:hAnsi="Times New Roman"/>
        </w:rPr>
        <w:t>should not assume a consistent</w:t>
      </w:r>
      <w:r w:rsidRPr="00EE22CC">
        <w:rPr>
          <w:rFonts w:ascii="Times New Roman" w:hAnsi="Times New Roman"/>
        </w:rPr>
        <w:t xml:space="preserve"> channel planning or external guard bands</w:t>
      </w:r>
      <w:r>
        <w:rPr>
          <w:rFonts w:ascii="Times New Roman" w:hAnsi="Times New Roman"/>
        </w:rPr>
        <w:t xml:space="preserve"> outside of the system’s frequency allocation</w:t>
      </w:r>
      <w:r w:rsidRPr="00EE22CC">
        <w:rPr>
          <w:rFonts w:ascii="Times New Roman" w:hAnsi="Times New Roman"/>
        </w:rPr>
        <w:t>.</w:t>
      </w:r>
    </w:p>
    <w:p w14:paraId="7FFABC54" w14:textId="57D1AF21" w:rsidR="00EB7F07" w:rsidRPr="00EE22CC" w:rsidRDefault="00EB7F07" w:rsidP="00EB7F07">
      <w:pPr>
        <w:pStyle w:val="ListParagraph"/>
        <w:numPr>
          <w:ilvl w:val="0"/>
          <w:numId w:val="6"/>
        </w:numPr>
        <w:rPr>
          <w:rFonts w:ascii="Times New Roman" w:hAnsi="Times New Roman"/>
        </w:rPr>
      </w:pPr>
      <w:r>
        <w:rPr>
          <w:rFonts w:ascii="Times New Roman" w:hAnsi="Times New Roman"/>
        </w:rPr>
        <w:t xml:space="preserve">Aviation systems should ensure that the information types and domains (safety/non-safety) are suitable for the spectrum allocation </w:t>
      </w:r>
      <w:r w:rsidR="00114983">
        <w:rPr>
          <w:rFonts w:ascii="Times New Roman" w:hAnsi="Times New Roman"/>
        </w:rPr>
        <w:t>they</w:t>
      </w:r>
      <w:r>
        <w:rPr>
          <w:rFonts w:ascii="Times New Roman" w:hAnsi="Times New Roman"/>
        </w:rPr>
        <w:t xml:space="preserve"> operate within.  Unless suitable mitigation</w:t>
      </w:r>
      <w:r w:rsidR="0009324C">
        <w:rPr>
          <w:rFonts w:ascii="Times New Roman" w:hAnsi="Times New Roman"/>
        </w:rPr>
        <w:t>s</w:t>
      </w:r>
      <w:r>
        <w:rPr>
          <w:rFonts w:ascii="Times New Roman" w:hAnsi="Times New Roman"/>
        </w:rPr>
        <w:t xml:space="preserve"> can be demonstrated to the approval of aviation regulators, safety of life aviation information and signals should be kept within the appropriate aeronautical safety allocations.  </w:t>
      </w:r>
    </w:p>
    <w:p w14:paraId="5117E1E5" w14:textId="77777777" w:rsidR="00EB7F07" w:rsidRPr="00EE22CC" w:rsidRDefault="00EB7F07" w:rsidP="00EB7F07">
      <w:pPr>
        <w:pStyle w:val="ListParagraph"/>
        <w:numPr>
          <w:ilvl w:val="0"/>
          <w:numId w:val="6"/>
        </w:numPr>
        <w:rPr>
          <w:rFonts w:ascii="Times New Roman" w:hAnsi="Times New Roman"/>
        </w:rPr>
      </w:pPr>
      <w:r>
        <w:rPr>
          <w:rFonts w:ascii="Times New Roman" w:hAnsi="Times New Roman"/>
        </w:rPr>
        <w:t>Spectrum re-use of systems operating co-site, by m</w:t>
      </w:r>
      <w:r w:rsidRPr="00EE22CC">
        <w:rPr>
          <w:rFonts w:ascii="Times New Roman" w:hAnsi="Times New Roman"/>
        </w:rPr>
        <w:t>inimiz</w:t>
      </w:r>
      <w:r>
        <w:rPr>
          <w:rFonts w:ascii="Times New Roman" w:hAnsi="Times New Roman"/>
        </w:rPr>
        <w:t>ing</w:t>
      </w:r>
      <w:r w:rsidRPr="00EE22CC">
        <w:rPr>
          <w:rFonts w:ascii="Times New Roman" w:hAnsi="Times New Roman"/>
        </w:rPr>
        <w:t xml:space="preserve"> adjacent band planning restrictions</w:t>
      </w:r>
      <w:r>
        <w:rPr>
          <w:rFonts w:ascii="Times New Roman" w:hAnsi="Times New Roman"/>
        </w:rPr>
        <w:t>, should be strongly encouraged for efficient channel planning</w:t>
      </w:r>
      <w:r w:rsidRPr="00EE22CC">
        <w:rPr>
          <w:rFonts w:ascii="Times New Roman" w:hAnsi="Times New Roman"/>
        </w:rPr>
        <w:t>.</w:t>
      </w:r>
    </w:p>
    <w:p w14:paraId="1C41DFF1" w14:textId="77777777" w:rsidR="00EB7F07" w:rsidRDefault="00EB7F07" w:rsidP="00EB7F07"/>
    <w:p w14:paraId="2638DA8C" w14:textId="77777777" w:rsidR="00EB7F07" w:rsidRPr="00EE22CC" w:rsidRDefault="00EB7F07" w:rsidP="00EB7F07">
      <w:pPr>
        <w:rPr>
          <w:b/>
        </w:rPr>
      </w:pPr>
      <w:r>
        <w:rPr>
          <w:b/>
        </w:rPr>
        <w:t xml:space="preserve">X.X.X </w:t>
      </w:r>
      <w:r w:rsidRPr="00EE22CC">
        <w:rPr>
          <w:b/>
        </w:rPr>
        <w:t xml:space="preserve">Technical </w:t>
      </w:r>
      <w:r>
        <w:rPr>
          <w:b/>
        </w:rPr>
        <w:t xml:space="preserve">spectrum </w:t>
      </w:r>
      <w:r w:rsidRPr="00EE22CC">
        <w:rPr>
          <w:b/>
        </w:rPr>
        <w:t>guid</w:t>
      </w:r>
      <w:r>
        <w:rPr>
          <w:b/>
        </w:rPr>
        <w:t>ance – Transmitter functions</w:t>
      </w:r>
    </w:p>
    <w:p w14:paraId="6E24F6F6" w14:textId="77777777" w:rsidR="00EB7F07" w:rsidRPr="00EE22CC" w:rsidRDefault="00EB7F07" w:rsidP="00EB7F07">
      <w:pPr>
        <w:pStyle w:val="ListParagraph"/>
        <w:numPr>
          <w:ilvl w:val="0"/>
          <w:numId w:val="6"/>
        </w:numPr>
        <w:rPr>
          <w:rFonts w:ascii="Times New Roman" w:hAnsi="Times New Roman"/>
        </w:rPr>
      </w:pPr>
      <w:r w:rsidRPr="00EE22CC">
        <w:rPr>
          <w:rFonts w:ascii="Times New Roman" w:hAnsi="Times New Roman"/>
        </w:rPr>
        <w:t>Transmission power (and potentially bandwidth depending on the system) should only</w:t>
      </w:r>
      <w:r>
        <w:rPr>
          <w:rFonts w:ascii="Times New Roman" w:hAnsi="Times New Roman"/>
        </w:rPr>
        <w:t xml:space="preserve"> use</w:t>
      </w:r>
      <w:r w:rsidRPr="00EE22CC">
        <w:rPr>
          <w:rFonts w:ascii="Times New Roman" w:hAnsi="Times New Roman"/>
        </w:rPr>
        <w:t xml:space="preserve"> the minimum levels needed to achieve performance</w:t>
      </w:r>
      <w:r>
        <w:rPr>
          <w:rFonts w:ascii="Times New Roman" w:hAnsi="Times New Roman"/>
        </w:rPr>
        <w:t>, d</w:t>
      </w:r>
      <w:r w:rsidRPr="00EE22CC">
        <w:rPr>
          <w:rFonts w:ascii="Times New Roman" w:hAnsi="Times New Roman"/>
        </w:rPr>
        <w:t>ynamically adapt</w:t>
      </w:r>
      <w:r>
        <w:rPr>
          <w:rFonts w:ascii="Times New Roman" w:hAnsi="Times New Roman"/>
        </w:rPr>
        <w:t>ing</w:t>
      </w:r>
      <w:r w:rsidRPr="00EE22CC">
        <w:rPr>
          <w:rFonts w:ascii="Times New Roman" w:hAnsi="Times New Roman"/>
        </w:rPr>
        <w:t xml:space="preserve"> to the RF conditions and operational requirements</w:t>
      </w:r>
      <w:r>
        <w:rPr>
          <w:rFonts w:ascii="Times New Roman" w:hAnsi="Times New Roman"/>
        </w:rPr>
        <w:t>.</w:t>
      </w:r>
      <w:r w:rsidRPr="00EE22CC">
        <w:rPr>
          <w:rFonts w:ascii="Times New Roman" w:hAnsi="Times New Roman"/>
        </w:rPr>
        <w:t xml:space="preserve"> </w:t>
      </w:r>
    </w:p>
    <w:p w14:paraId="1B232DDC" w14:textId="77777777" w:rsidR="00EB7F07" w:rsidRPr="00EE22CC" w:rsidRDefault="00EB7F07" w:rsidP="00EB7F07">
      <w:pPr>
        <w:pStyle w:val="ListParagraph"/>
        <w:numPr>
          <w:ilvl w:val="0"/>
          <w:numId w:val="6"/>
        </w:numPr>
        <w:rPr>
          <w:rFonts w:ascii="Times New Roman" w:hAnsi="Times New Roman"/>
        </w:rPr>
      </w:pPr>
      <w:r w:rsidRPr="00EE22CC">
        <w:rPr>
          <w:rFonts w:ascii="Times New Roman" w:hAnsi="Times New Roman"/>
        </w:rPr>
        <w:t>Minimize use of needed spectrum through more efficient waveforms and reduction/compression of information to be sent.</w:t>
      </w:r>
    </w:p>
    <w:p w14:paraId="2FA31961" w14:textId="77777777" w:rsidR="00EB7F07" w:rsidRDefault="00EB7F07" w:rsidP="00EB7F07">
      <w:pPr>
        <w:pStyle w:val="ListParagraph"/>
        <w:numPr>
          <w:ilvl w:val="0"/>
          <w:numId w:val="6"/>
        </w:numPr>
        <w:rPr>
          <w:rFonts w:ascii="Times New Roman" w:hAnsi="Times New Roman"/>
        </w:rPr>
      </w:pPr>
      <w:r w:rsidRPr="00EE22CC">
        <w:rPr>
          <w:rFonts w:ascii="Times New Roman" w:hAnsi="Times New Roman"/>
        </w:rPr>
        <w:t>Out of band emissions from transmitters should be reduced to the lowest practicable levels</w:t>
      </w:r>
      <w:r>
        <w:rPr>
          <w:rFonts w:ascii="Times New Roman" w:hAnsi="Times New Roman"/>
        </w:rPr>
        <w:t>, and compared to the mean power should roll off to at least:</w:t>
      </w:r>
    </w:p>
    <w:p w14:paraId="1F116A85" w14:textId="77777777" w:rsidR="00EB7F07" w:rsidRPr="006B76C0" w:rsidRDefault="00EB7F07" w:rsidP="00EB7F07">
      <w:pPr>
        <w:pStyle w:val="ListParagraph"/>
        <w:rPr>
          <w:rFonts w:ascii="Times New Roman" w:hAnsi="Times New Roman"/>
          <w:i/>
          <w:iCs/>
        </w:rPr>
      </w:pPr>
      <w:r>
        <w:rPr>
          <w:rFonts w:ascii="Times New Roman" w:hAnsi="Times New Roman"/>
          <w:i/>
          <w:iCs/>
        </w:rPr>
        <w:t>[Note: these are a placeholder and should be expected to be revised once more clarification is sought.]</w:t>
      </w:r>
    </w:p>
    <w:p w14:paraId="7A302058" w14:textId="77777777" w:rsidR="00EB7F07" w:rsidRDefault="00EB7F07" w:rsidP="00EB7F07">
      <w:pPr>
        <w:pStyle w:val="ListParagraph"/>
        <w:numPr>
          <w:ilvl w:val="1"/>
          <w:numId w:val="6"/>
        </w:numPr>
        <w:rPr>
          <w:rFonts w:ascii="Times New Roman" w:hAnsi="Times New Roman"/>
        </w:rPr>
      </w:pPr>
      <w:r>
        <w:rPr>
          <w:rFonts w:ascii="Times New Roman" w:hAnsi="Times New Roman"/>
        </w:rPr>
        <w:t xml:space="preserve">-25 dBC between 50-150 % of the channel necessary bandwidth offset from the center frequency (see ITU-R </w:t>
      </w:r>
      <w:r w:rsidRPr="003930DA">
        <w:rPr>
          <w:rFonts w:ascii="Times New Roman" w:hAnsi="Times New Roman"/>
        </w:rPr>
        <w:t>Recommendation SM.1540</w:t>
      </w:r>
      <w:r>
        <w:rPr>
          <w:rFonts w:ascii="Times New Roman" w:hAnsi="Times New Roman"/>
        </w:rPr>
        <w:t>)</w:t>
      </w:r>
    </w:p>
    <w:p w14:paraId="2355BA5E" w14:textId="77777777" w:rsidR="00EB7F07" w:rsidRDefault="00EB7F07" w:rsidP="00EB7F07">
      <w:pPr>
        <w:pStyle w:val="ListParagraph"/>
        <w:numPr>
          <w:ilvl w:val="1"/>
          <w:numId w:val="6"/>
        </w:numPr>
        <w:rPr>
          <w:rFonts w:ascii="Times New Roman" w:hAnsi="Times New Roman"/>
        </w:rPr>
      </w:pPr>
      <w:r>
        <w:rPr>
          <w:rFonts w:ascii="Times New Roman" w:hAnsi="Times New Roman"/>
        </w:rPr>
        <w:t xml:space="preserve">-35 dBC between 150-250% of the channel necessary bandwidth offset from the center frequency (ITU-R </w:t>
      </w:r>
      <w:r w:rsidRPr="003930DA">
        <w:rPr>
          <w:rFonts w:ascii="Times New Roman" w:hAnsi="Times New Roman"/>
        </w:rPr>
        <w:t>Recommendation SM.1540</w:t>
      </w:r>
      <w:r>
        <w:rPr>
          <w:rFonts w:ascii="Times New Roman" w:hAnsi="Times New Roman"/>
        </w:rPr>
        <w:t>)</w:t>
      </w:r>
    </w:p>
    <w:p w14:paraId="2ADB7F4B" w14:textId="77777777" w:rsidR="00EB7F07" w:rsidRDefault="00EB7F07" w:rsidP="00EB7F07">
      <w:pPr>
        <w:pStyle w:val="ListParagraph"/>
        <w:numPr>
          <w:ilvl w:val="1"/>
          <w:numId w:val="6"/>
        </w:numPr>
        <w:rPr>
          <w:rFonts w:ascii="Times New Roman" w:hAnsi="Times New Roman"/>
        </w:rPr>
      </w:pPr>
      <w:r>
        <w:rPr>
          <w:rFonts w:ascii="Times New Roman" w:hAnsi="Times New Roman"/>
        </w:rPr>
        <w:t>–(</w:t>
      </w:r>
      <w:r w:rsidRPr="008568EB">
        <w:rPr>
          <w:rFonts w:ascii="Times New Roman" w:hAnsi="Times New Roman"/>
        </w:rPr>
        <w:t>43 + 10 log P</w:t>
      </w:r>
      <w:r>
        <w:rPr>
          <w:rFonts w:ascii="Times New Roman" w:hAnsi="Times New Roman"/>
        </w:rPr>
        <w:t>)</w:t>
      </w:r>
      <w:r w:rsidRPr="008568EB">
        <w:rPr>
          <w:rFonts w:ascii="Times New Roman" w:hAnsi="Times New Roman"/>
        </w:rPr>
        <w:t xml:space="preserve"> or </w:t>
      </w:r>
      <w:r>
        <w:rPr>
          <w:rFonts w:ascii="Times New Roman" w:hAnsi="Times New Roman"/>
        </w:rPr>
        <w:t>-</w:t>
      </w:r>
      <w:r w:rsidRPr="008568EB">
        <w:rPr>
          <w:rFonts w:ascii="Times New Roman" w:hAnsi="Times New Roman"/>
        </w:rPr>
        <w:t xml:space="preserve">70 dBc </w:t>
      </w:r>
      <w:r>
        <w:rPr>
          <w:rFonts w:ascii="Times New Roman" w:hAnsi="Times New Roman"/>
        </w:rPr>
        <w:t>(</w:t>
      </w:r>
      <w:r w:rsidRPr="008568EB">
        <w:rPr>
          <w:rFonts w:ascii="Times New Roman" w:hAnsi="Times New Roman"/>
        </w:rPr>
        <w:t>whichever is less stringent</w:t>
      </w:r>
      <w:r>
        <w:rPr>
          <w:rFonts w:ascii="Times New Roman" w:hAnsi="Times New Roman"/>
        </w:rPr>
        <w:t>),</w:t>
      </w:r>
      <w:r w:rsidRPr="008568EB">
        <w:rPr>
          <w:rFonts w:ascii="Times New Roman" w:hAnsi="Times New Roman"/>
        </w:rPr>
        <w:t xml:space="preserve"> </w:t>
      </w:r>
      <w:r>
        <w:rPr>
          <w:rFonts w:ascii="Times New Roman" w:hAnsi="Times New Roman"/>
        </w:rPr>
        <w:t>above 250% of the channel necessary bandwidth offset from the center frequency (</w:t>
      </w:r>
      <w:r w:rsidRPr="00680064">
        <w:rPr>
          <w:rFonts w:ascii="Times New Roman" w:hAnsi="Times New Roman"/>
        </w:rPr>
        <w:t>ITU-R Recommendation SM.329</w:t>
      </w:r>
      <w:r>
        <w:rPr>
          <w:rFonts w:ascii="Times New Roman" w:hAnsi="Times New Roman"/>
        </w:rPr>
        <w:t>)</w:t>
      </w:r>
    </w:p>
    <w:p w14:paraId="41AF1D3D" w14:textId="77777777" w:rsidR="00EB7F07" w:rsidRPr="00EE22CC" w:rsidRDefault="00EB7F07" w:rsidP="00EB7F07">
      <w:pPr>
        <w:pStyle w:val="ListParagraph"/>
        <w:numPr>
          <w:ilvl w:val="1"/>
          <w:numId w:val="6"/>
        </w:numPr>
        <w:rPr>
          <w:rFonts w:ascii="Times New Roman" w:hAnsi="Times New Roman"/>
        </w:rPr>
      </w:pPr>
      <w:r>
        <w:rPr>
          <w:rFonts w:ascii="Times New Roman" w:hAnsi="Times New Roman"/>
        </w:rPr>
        <w:t>-23 dBC by the edge of the spectrum allocation (overrides the above requirements if applicable)</w:t>
      </w:r>
    </w:p>
    <w:p w14:paraId="76018174" w14:textId="77777777" w:rsidR="00EB7F07" w:rsidRPr="00EE22CC" w:rsidRDefault="00EB7F07" w:rsidP="00EB7F07"/>
    <w:p w14:paraId="32D0263E" w14:textId="77777777" w:rsidR="00EB7F07" w:rsidRPr="00EE22CC" w:rsidRDefault="00EB7F07" w:rsidP="00EB7F07">
      <w:pPr>
        <w:rPr>
          <w:b/>
        </w:rPr>
      </w:pPr>
      <w:r>
        <w:rPr>
          <w:b/>
        </w:rPr>
        <w:t xml:space="preserve">X.X.X </w:t>
      </w:r>
      <w:r w:rsidRPr="00EE22CC">
        <w:rPr>
          <w:b/>
        </w:rPr>
        <w:t xml:space="preserve">Technical </w:t>
      </w:r>
      <w:r>
        <w:rPr>
          <w:b/>
        </w:rPr>
        <w:t xml:space="preserve">spectrum </w:t>
      </w:r>
      <w:r w:rsidRPr="00EE22CC">
        <w:rPr>
          <w:b/>
        </w:rPr>
        <w:t>guid</w:t>
      </w:r>
      <w:r>
        <w:rPr>
          <w:b/>
        </w:rPr>
        <w:t>ance – Receiver functions</w:t>
      </w:r>
    </w:p>
    <w:p w14:paraId="7657EFF6" w14:textId="54BE483A" w:rsidR="00EB7F07" w:rsidRDefault="00EB7F07" w:rsidP="00EB7F07">
      <w:pPr>
        <w:pStyle w:val="ListParagraph"/>
        <w:numPr>
          <w:ilvl w:val="0"/>
          <w:numId w:val="6"/>
        </w:numPr>
        <w:rPr>
          <w:rFonts w:ascii="Times New Roman" w:hAnsi="Times New Roman"/>
        </w:rPr>
      </w:pPr>
      <w:r w:rsidRPr="00EE22CC">
        <w:rPr>
          <w:rFonts w:ascii="Times New Roman" w:hAnsi="Times New Roman"/>
        </w:rPr>
        <w:t>Robust interference protection against</w:t>
      </w:r>
      <w:r>
        <w:rPr>
          <w:rFonts w:ascii="Times New Roman" w:hAnsi="Times New Roman"/>
        </w:rPr>
        <w:t xml:space="preserve"> adjacent frequency overload from both</w:t>
      </w:r>
      <w:r w:rsidRPr="00EE22CC">
        <w:rPr>
          <w:rFonts w:ascii="Times New Roman" w:hAnsi="Times New Roman"/>
        </w:rPr>
        <w:t xml:space="preserve"> CW and pulsed RF sources.</w:t>
      </w:r>
      <w:r>
        <w:rPr>
          <w:rFonts w:ascii="Times New Roman" w:hAnsi="Times New Roman"/>
        </w:rPr>
        <w:t xml:space="preserve">  Although this could come from many sources, most spectrum changes currently focus on new cellular spectrum, with terrestrial towers and handsets using OFDM carriers that can peak at 45 </w:t>
      </w:r>
      <w:r>
        <w:rPr>
          <w:rFonts w:ascii="Times New Roman" w:hAnsi="Times New Roman"/>
        </w:rPr>
        <w:lastRenderedPageBreak/>
        <w:t>dBW over 1-100 MHz bandwidths (more characteristics can be found in ITU-R Report M.2292).</w:t>
      </w:r>
      <w:r>
        <w:rPr>
          <w:rStyle w:val="FootnoteReference"/>
          <w:rFonts w:ascii="Times New Roman" w:hAnsi="Times New Roman"/>
        </w:rPr>
        <w:footnoteReference w:id="10"/>
      </w:r>
      <w:r>
        <w:rPr>
          <w:rFonts w:ascii="Times New Roman" w:hAnsi="Times New Roman"/>
        </w:rPr>
        <w:t xml:space="preserve">  Although this may </w:t>
      </w:r>
      <w:r w:rsidR="00A22D2F">
        <w:rPr>
          <w:rFonts w:ascii="Times New Roman" w:hAnsi="Times New Roman"/>
        </w:rPr>
        <w:t xml:space="preserve">not </w:t>
      </w:r>
      <w:r>
        <w:rPr>
          <w:rFonts w:ascii="Times New Roman" w:hAnsi="Times New Roman"/>
        </w:rPr>
        <w:t>cover all worst case</w:t>
      </w:r>
      <w:r w:rsidR="00A22D2F">
        <w:rPr>
          <w:rFonts w:ascii="Times New Roman" w:hAnsi="Times New Roman"/>
        </w:rPr>
        <w:t xml:space="preserve"> scenarios</w:t>
      </w:r>
      <w:r>
        <w:rPr>
          <w:rFonts w:ascii="Times New Roman" w:hAnsi="Times New Roman"/>
        </w:rPr>
        <w:t>, it is currently the most common new spectrum entrant.</w:t>
      </w:r>
    </w:p>
    <w:p w14:paraId="269DAF99" w14:textId="62BE0486" w:rsidR="00EB7F07" w:rsidRPr="00EE22CC" w:rsidRDefault="00EB7F07" w:rsidP="00EB7F07">
      <w:pPr>
        <w:pStyle w:val="ListParagraph"/>
        <w:numPr>
          <w:ilvl w:val="0"/>
          <w:numId w:val="6"/>
        </w:numPr>
        <w:rPr>
          <w:rFonts w:ascii="Times New Roman" w:hAnsi="Times New Roman"/>
        </w:rPr>
      </w:pPr>
      <w:r>
        <w:rPr>
          <w:rFonts w:ascii="Times New Roman" w:hAnsi="Times New Roman"/>
        </w:rPr>
        <w:t xml:space="preserve">Tolerance from increased external noise into the wanted frequency of the receiver.  Aviation has seen increased examples of wideband noise sources (LED lighting, ultra-wide band systems) affecting aviation systems.  Anecdotal evidence also suggests the </w:t>
      </w:r>
      <w:r w:rsidR="00F1296E">
        <w:rPr>
          <w:rFonts w:ascii="Times New Roman" w:hAnsi="Times New Roman"/>
        </w:rPr>
        <w:t xml:space="preserve">RF </w:t>
      </w:r>
      <w:r>
        <w:rPr>
          <w:rFonts w:ascii="Times New Roman" w:hAnsi="Times New Roman"/>
        </w:rPr>
        <w:t xml:space="preserve">noise floor is slowly rising due to additional man-made sources of RF noise.  </w:t>
      </w:r>
      <w:r w:rsidR="00A22D2F">
        <w:rPr>
          <w:rFonts w:ascii="Times New Roman" w:hAnsi="Times New Roman"/>
        </w:rPr>
        <w:t>Therefore,</w:t>
      </w:r>
      <w:r>
        <w:rPr>
          <w:rFonts w:ascii="Times New Roman" w:hAnsi="Times New Roman"/>
        </w:rPr>
        <w:t xml:space="preserve"> system design should consider options to counter this where possible, such as modulation detection and accuracy/integrity detection.</w:t>
      </w:r>
    </w:p>
    <w:p w14:paraId="65169B5F" w14:textId="3061B4FF" w:rsidR="00A12CBA" w:rsidRDefault="00A12CBA" w:rsidP="00EB7F07">
      <w:pPr>
        <w:pStyle w:val="Maintitle"/>
      </w:pPr>
    </w:p>
    <w:sectPr w:rsidR="00A12CBA">
      <w:headerReference w:type="even" r:id="rId10"/>
      <w:headerReference w:type="default" r:id="rId11"/>
      <w:headerReference w:type="first" r:id="rId12"/>
      <w:footerReference w:type="first" r:id="rId13"/>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C314" w14:textId="77777777" w:rsidR="003912EF" w:rsidRDefault="003912EF">
      <w:r>
        <w:separator/>
      </w:r>
    </w:p>
  </w:endnote>
  <w:endnote w:type="continuationSeparator" w:id="0">
    <w:p w14:paraId="06772AC5" w14:textId="77777777" w:rsidR="003912EF" w:rsidRDefault="0039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97DB"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C5391">
      <w:rPr>
        <w:noProof/>
        <w:sz w:val="18"/>
        <w:lang w:val="fr-FR"/>
      </w:rPr>
      <w:t>3</w:t>
    </w:r>
    <w:r>
      <w:rPr>
        <w:sz w:val="18"/>
        <w:lang w:val="en-US"/>
      </w:rPr>
      <w:fldChar w:fldCharType="end"/>
    </w:r>
    <w:r>
      <w:rPr>
        <w:sz w:val="18"/>
        <w:lang w:val="fr-FR"/>
      </w:rPr>
      <w:t xml:space="preserve"> pages)</w:t>
    </w:r>
  </w:p>
  <w:p w14:paraId="2A12984F" w14:textId="73BEE372"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2C4981">
      <w:rPr>
        <w:noProof/>
        <w:sz w:val="18"/>
        <w:lang w:val="en-US"/>
      </w:rPr>
      <w:t>FSMP-WG09-WP19_Spectrum Guidance for Aviation Systems Development.docx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24D3B" w14:textId="77777777" w:rsidR="003912EF" w:rsidRDefault="003912EF">
      <w:r>
        <w:separator/>
      </w:r>
    </w:p>
  </w:footnote>
  <w:footnote w:type="continuationSeparator" w:id="0">
    <w:p w14:paraId="1198CFDE" w14:textId="77777777" w:rsidR="003912EF" w:rsidRDefault="003912EF">
      <w:r>
        <w:continuationSeparator/>
      </w:r>
    </w:p>
  </w:footnote>
  <w:footnote w:id="1">
    <w:p w14:paraId="0A66448C" w14:textId="77777777" w:rsidR="00EB7F07" w:rsidRPr="00346354" w:rsidRDefault="00EB7F07" w:rsidP="00EB7F07">
      <w:pPr>
        <w:pStyle w:val="FootnoteText"/>
        <w:rPr>
          <w:lang w:val="en-US"/>
        </w:rPr>
      </w:pPr>
      <w:r>
        <w:rPr>
          <w:rStyle w:val="FootnoteReference"/>
        </w:rPr>
        <w:footnoteRef/>
      </w:r>
      <w:r>
        <w:t xml:space="preserve"> See </w:t>
      </w:r>
      <w:hyperlink r:id="rId1" w:history="1">
        <w:r w:rsidRPr="00DB4375">
          <w:rPr>
            <w:rStyle w:val="Hyperlink"/>
          </w:rPr>
          <w:t>FSMP WG-08 WP07</w:t>
        </w:r>
      </w:hyperlink>
      <w:r>
        <w:t xml:space="preserve"> (behind ICAO FSMP protected area)</w:t>
      </w:r>
    </w:p>
  </w:footnote>
  <w:footnote w:id="2">
    <w:p w14:paraId="106058AC" w14:textId="77777777" w:rsidR="00EB7F07" w:rsidRPr="00B469FC" w:rsidRDefault="00EB7F07" w:rsidP="00EB7F07">
      <w:pPr>
        <w:pStyle w:val="FootnoteText"/>
        <w:rPr>
          <w:lang w:val="en-US"/>
        </w:rPr>
      </w:pPr>
      <w:r>
        <w:rPr>
          <w:rStyle w:val="FootnoteReference"/>
        </w:rPr>
        <w:footnoteRef/>
      </w:r>
      <w:r>
        <w:t xml:space="preserve"> </w:t>
      </w:r>
      <w:hyperlink r:id="rId2" w:history="1">
        <w:r w:rsidRPr="00C4147A">
          <w:rPr>
            <w:rStyle w:val="Hyperlink"/>
          </w:rPr>
          <w:t>https://www.itu.int/pub/R-REG-RR-2016</w:t>
        </w:r>
      </w:hyperlink>
      <w:r>
        <w:t xml:space="preserve"> </w:t>
      </w:r>
    </w:p>
  </w:footnote>
  <w:footnote w:id="3">
    <w:p w14:paraId="5B367F99" w14:textId="77777777" w:rsidR="00EB7F07" w:rsidRPr="005F6059" w:rsidRDefault="00EB7F07" w:rsidP="00EB7F07">
      <w:pPr>
        <w:pStyle w:val="FootnoteText"/>
        <w:rPr>
          <w:lang w:val="en-US"/>
        </w:rPr>
      </w:pPr>
      <w:r>
        <w:rPr>
          <w:rStyle w:val="FootnoteReference"/>
        </w:rPr>
        <w:footnoteRef/>
      </w:r>
      <w:r>
        <w:t xml:space="preserve"> </w:t>
      </w:r>
      <w:hyperlink r:id="rId3" w:history="1">
        <w:r w:rsidRPr="006846AE">
          <w:rPr>
            <w:rStyle w:val="Hyperlink"/>
          </w:rPr>
          <w:t>https://www.itu.int/rec/R-REC-SM.328/en</w:t>
        </w:r>
      </w:hyperlink>
      <w:r>
        <w:t xml:space="preserve"> </w:t>
      </w:r>
    </w:p>
  </w:footnote>
  <w:footnote w:id="4">
    <w:p w14:paraId="54C9E480" w14:textId="77777777" w:rsidR="00EB7F07" w:rsidRPr="00814FCE" w:rsidRDefault="00EB7F07" w:rsidP="00EB7F07">
      <w:pPr>
        <w:pStyle w:val="FootnoteText"/>
        <w:rPr>
          <w:lang w:val="en-US"/>
        </w:rPr>
      </w:pPr>
      <w:r>
        <w:rPr>
          <w:rStyle w:val="FootnoteReference"/>
        </w:rPr>
        <w:footnoteRef/>
      </w:r>
      <w:r>
        <w:t xml:space="preserve"> </w:t>
      </w:r>
      <w:hyperlink r:id="rId4" w:history="1">
        <w:r w:rsidRPr="006846AE">
          <w:rPr>
            <w:rStyle w:val="Hyperlink"/>
          </w:rPr>
          <w:t>https://www.itu.int/rec/R-REC-SM.329/en</w:t>
        </w:r>
      </w:hyperlink>
      <w:r>
        <w:t xml:space="preserve"> </w:t>
      </w:r>
    </w:p>
  </w:footnote>
  <w:footnote w:id="5">
    <w:p w14:paraId="604FED1F" w14:textId="77777777" w:rsidR="00EB7F07" w:rsidRPr="003930DA" w:rsidRDefault="00EB7F07" w:rsidP="00EB7F07">
      <w:pPr>
        <w:pStyle w:val="FootnoteText"/>
        <w:rPr>
          <w:lang w:val="en-US"/>
        </w:rPr>
      </w:pPr>
      <w:r>
        <w:rPr>
          <w:rStyle w:val="FootnoteReference"/>
        </w:rPr>
        <w:footnoteRef/>
      </w:r>
      <w:r>
        <w:t xml:space="preserve"> </w:t>
      </w:r>
      <w:hyperlink r:id="rId5" w:history="1">
        <w:r w:rsidRPr="00C4147A">
          <w:rPr>
            <w:rStyle w:val="Hyperlink"/>
          </w:rPr>
          <w:t>https://www.itu.int/rec/R-REC-SM.331/en</w:t>
        </w:r>
      </w:hyperlink>
      <w:r>
        <w:t xml:space="preserve"> </w:t>
      </w:r>
    </w:p>
  </w:footnote>
  <w:footnote w:id="6">
    <w:p w14:paraId="7548AA4E" w14:textId="77777777" w:rsidR="00EB7F07" w:rsidRPr="003930DA" w:rsidRDefault="00EB7F07" w:rsidP="00EB7F07">
      <w:pPr>
        <w:pStyle w:val="FootnoteText"/>
        <w:rPr>
          <w:lang w:val="en-US"/>
        </w:rPr>
      </w:pPr>
      <w:r>
        <w:rPr>
          <w:rStyle w:val="FootnoteReference"/>
        </w:rPr>
        <w:footnoteRef/>
      </w:r>
      <w:r>
        <w:t xml:space="preserve"> </w:t>
      </w:r>
      <w:hyperlink r:id="rId6" w:history="1">
        <w:r w:rsidRPr="00C4147A">
          <w:rPr>
            <w:rStyle w:val="Hyperlink"/>
          </w:rPr>
          <w:t>https://www.itu.int/rec/R-REC-SM.332/en</w:t>
        </w:r>
      </w:hyperlink>
      <w:r>
        <w:t xml:space="preserve"> </w:t>
      </w:r>
    </w:p>
  </w:footnote>
  <w:footnote w:id="7">
    <w:p w14:paraId="7FBA6FB0" w14:textId="77777777" w:rsidR="00EB7F07" w:rsidRPr="003930DA" w:rsidRDefault="00EB7F07" w:rsidP="00EB7F07">
      <w:pPr>
        <w:pStyle w:val="FootnoteText"/>
        <w:rPr>
          <w:lang w:val="en-US"/>
        </w:rPr>
      </w:pPr>
      <w:r>
        <w:rPr>
          <w:rStyle w:val="FootnoteReference"/>
        </w:rPr>
        <w:footnoteRef/>
      </w:r>
      <w:r>
        <w:t xml:space="preserve"> </w:t>
      </w:r>
      <w:hyperlink r:id="rId7" w:history="1">
        <w:r w:rsidRPr="00C4147A">
          <w:rPr>
            <w:rStyle w:val="Hyperlink"/>
          </w:rPr>
          <w:t>https://www.itu.int/rec/R-REC-SM.853/en</w:t>
        </w:r>
      </w:hyperlink>
      <w:r>
        <w:t xml:space="preserve"> </w:t>
      </w:r>
    </w:p>
  </w:footnote>
  <w:footnote w:id="8">
    <w:p w14:paraId="2E5BAECC" w14:textId="77777777" w:rsidR="00EB7F07" w:rsidRPr="003930DA" w:rsidRDefault="00EB7F07" w:rsidP="00EB7F07">
      <w:pPr>
        <w:pStyle w:val="FootnoteText"/>
        <w:rPr>
          <w:lang w:val="en-US"/>
        </w:rPr>
      </w:pPr>
      <w:r>
        <w:rPr>
          <w:rStyle w:val="FootnoteReference"/>
        </w:rPr>
        <w:footnoteRef/>
      </w:r>
      <w:r>
        <w:t xml:space="preserve"> </w:t>
      </w:r>
      <w:hyperlink r:id="rId8" w:history="1">
        <w:r w:rsidRPr="00C4147A">
          <w:rPr>
            <w:rStyle w:val="Hyperlink"/>
          </w:rPr>
          <w:t>https://www.itu.int/rec/R-REC-SM.1540/en</w:t>
        </w:r>
      </w:hyperlink>
      <w:r>
        <w:t xml:space="preserve"> </w:t>
      </w:r>
    </w:p>
  </w:footnote>
  <w:footnote w:id="9">
    <w:p w14:paraId="0E4D8554" w14:textId="77777777" w:rsidR="00EB7F07" w:rsidRPr="005F6059" w:rsidRDefault="00EB7F07" w:rsidP="00EB7F07">
      <w:pPr>
        <w:pStyle w:val="FootnoteText"/>
        <w:rPr>
          <w:lang w:val="en-US"/>
        </w:rPr>
      </w:pPr>
      <w:r>
        <w:rPr>
          <w:rStyle w:val="FootnoteReference"/>
        </w:rPr>
        <w:footnoteRef/>
      </w:r>
      <w:r>
        <w:t xml:space="preserve"> </w:t>
      </w:r>
      <w:hyperlink r:id="rId9" w:history="1">
        <w:r w:rsidRPr="006846AE">
          <w:rPr>
            <w:rStyle w:val="Hyperlink"/>
          </w:rPr>
          <w:t>https://www.itu.int/rec/R-REC-SM.1541/en</w:t>
        </w:r>
      </w:hyperlink>
      <w:r>
        <w:t xml:space="preserve"> </w:t>
      </w:r>
    </w:p>
  </w:footnote>
  <w:footnote w:id="10">
    <w:p w14:paraId="4F00AA5A" w14:textId="77777777" w:rsidR="00EB7F07" w:rsidRPr="003A049D" w:rsidRDefault="00EB7F07" w:rsidP="00EB7F07">
      <w:pPr>
        <w:pStyle w:val="FootnoteText"/>
        <w:rPr>
          <w:lang w:val="en-US"/>
        </w:rPr>
      </w:pPr>
      <w:r>
        <w:rPr>
          <w:rStyle w:val="FootnoteReference"/>
        </w:rPr>
        <w:footnoteRef/>
      </w:r>
      <w:r>
        <w:t xml:space="preserve"> </w:t>
      </w:r>
      <w:hyperlink r:id="rId10" w:history="1">
        <w:r w:rsidRPr="00703D93">
          <w:rPr>
            <w:rStyle w:val="Hyperlink"/>
          </w:rPr>
          <w:t>Report ITU-R M.2292-0</w:t>
        </w:r>
      </w:hyperlink>
      <w:r>
        <w:t>, Characteristics of terrestrial IMT-Advanced systems for frequency sharing/interference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428C5" w14:textId="6B8B3F66" w:rsidR="00770160" w:rsidRDefault="000D26D5" w:rsidP="00F56F90">
    <w:pPr>
      <w:tabs>
        <w:tab w:val="center" w:pos="4876"/>
      </w:tabs>
      <w:spacing w:after="600"/>
    </w:pPr>
    <w:r>
      <w:t>FS</w:t>
    </w:r>
    <w:r w:rsidR="00725205">
      <w:t>MP</w:t>
    </w:r>
    <w:r w:rsidR="007E6A06">
      <w:t>-WG</w:t>
    </w:r>
    <w:r w:rsidR="00770160">
      <w:t>/</w:t>
    </w:r>
    <w:r w:rsidR="00BC5391">
      <w:t>9</w:t>
    </w:r>
    <w:r w:rsidR="007E6A06">
      <w:t xml:space="preserve"> </w:t>
    </w:r>
    <w:r w:rsidR="00770160">
      <w:t>WP/</w:t>
    </w:r>
    <w:r w:rsidR="002C4981">
      <w:t>19</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BC5391">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5045" w14:textId="68127EF8"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BC5391">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BC5391">
      <w:t>9</w:t>
    </w:r>
    <w:r w:rsidR="007E6A06">
      <w:t xml:space="preserve"> </w:t>
    </w:r>
    <w:r>
      <w:t>WP/</w:t>
    </w:r>
    <w:r w:rsidR="002C4981">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7D1876F5" w14:textId="77777777" w:rsidTr="00664C07">
      <w:trPr>
        <w:trHeight w:val="1790"/>
      </w:trPr>
      <w:tc>
        <w:tcPr>
          <w:tcW w:w="1915" w:type="dxa"/>
          <w:shd w:val="clear" w:color="auto" w:fill="FFFFFF"/>
        </w:tcPr>
        <w:p w14:paraId="37335FC5" w14:textId="76E4A6C2" w:rsidR="00920C27" w:rsidRDefault="005F1EB3" w:rsidP="00664C07">
          <w:bookmarkStart w:id="3" w:name="logo"/>
          <w:r w:rsidRPr="00484298">
            <w:rPr>
              <w:noProof/>
              <w:lang w:eastAsia="zh-CN"/>
            </w:rPr>
            <w:drawing>
              <wp:inline distT="0" distB="0" distL="0" distR="0" wp14:anchorId="43DA6C0E" wp14:editId="3B9C5138">
                <wp:extent cx="1087755"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48EDD96A" w14:textId="2C5CC964" w:rsidR="00920C27" w:rsidRPr="00066AB7" w:rsidRDefault="005F1EB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2D70232A" wp14:editId="364FBEF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D85B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7BA90F8"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B5875A6" w14:textId="77777777" w:rsidR="00920C27" w:rsidRPr="00066AB7" w:rsidRDefault="00920C27" w:rsidP="00664C07">
          <w:pPr>
            <w:rPr>
              <w:rFonts w:ascii="Arial" w:hAnsi="Arial" w:cs="Arial"/>
              <w:szCs w:val="22"/>
            </w:rPr>
          </w:pPr>
        </w:p>
        <w:p w14:paraId="0BA64F4E"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920C27" w14:paraId="615091DE" w14:textId="77777777" w:rsidTr="00664C07">
            <w:trPr>
              <w:jc w:val="right"/>
            </w:trPr>
            <w:tc>
              <w:tcPr>
                <w:tcW w:w="0" w:type="auto"/>
              </w:tcPr>
              <w:p w14:paraId="063D0954" w14:textId="54BBB0C1" w:rsidR="00920C27" w:rsidRPr="00066AB7" w:rsidRDefault="000D26D5" w:rsidP="00931A07">
                <w:pPr>
                  <w:framePr w:hSpace="180" w:wrap="around" w:vAnchor="text" w:hAnchor="text" w:y="1"/>
                  <w:suppressOverlap/>
                  <w:jc w:val="left"/>
                  <w:rPr>
                    <w:szCs w:val="22"/>
                  </w:rPr>
                </w:pPr>
                <w:bookmarkStart w:id="4" w:name="document_no"/>
                <w:r>
                  <w:rPr>
                    <w:szCs w:val="22"/>
                  </w:rPr>
                  <w:t>FS</w:t>
                </w:r>
                <w:r w:rsidR="00725205">
                  <w:rPr>
                    <w:szCs w:val="22"/>
                  </w:rPr>
                  <w:t>MP</w:t>
                </w:r>
                <w:r w:rsidR="007E6A06">
                  <w:rPr>
                    <w:szCs w:val="22"/>
                  </w:rPr>
                  <w:t>-WG</w:t>
                </w:r>
                <w:r w:rsidR="00920C27" w:rsidRPr="00066AB7">
                  <w:rPr>
                    <w:szCs w:val="22"/>
                  </w:rPr>
                  <w:t>/</w:t>
                </w:r>
                <w:r w:rsidR="00BC5391">
                  <w:rPr>
                    <w:szCs w:val="22"/>
                  </w:rPr>
                  <w:t>9</w:t>
                </w:r>
                <w:r w:rsidR="007E6A06">
                  <w:rPr>
                    <w:szCs w:val="22"/>
                  </w:rPr>
                  <w:t xml:space="preserve"> </w:t>
                </w:r>
                <w:r w:rsidR="00920C27" w:rsidRPr="00066AB7">
                  <w:rPr>
                    <w:szCs w:val="22"/>
                  </w:rPr>
                  <w:t>WP/</w:t>
                </w:r>
                <w:bookmarkEnd w:id="4"/>
                <w:r w:rsidR="002C4981">
                  <w:rPr>
                    <w:szCs w:val="22"/>
                  </w:rPr>
                  <w:t>19</w:t>
                </w:r>
              </w:p>
              <w:p w14:paraId="6E9B9283" w14:textId="4D33E312" w:rsidR="00920C27" w:rsidRPr="002C4981" w:rsidRDefault="002C4981" w:rsidP="00931A07">
                <w:pPr>
                  <w:framePr w:hSpace="180" w:wrap="around" w:vAnchor="text" w:hAnchor="text" w:y="1"/>
                  <w:suppressOverlap/>
                  <w:jc w:val="left"/>
                  <w:rPr>
                    <w:bCs/>
                  </w:rPr>
                </w:pPr>
                <w:bookmarkStart w:id="5" w:name="restricted"/>
                <w:bookmarkStart w:id="6" w:name="addendum_corrigendum_appendix"/>
                <w:bookmarkStart w:id="7" w:name="revision_no"/>
                <w:bookmarkStart w:id="8" w:name="revision_date"/>
                <w:bookmarkStart w:id="9" w:name="related_to"/>
                <w:bookmarkStart w:id="10" w:name="info_paper"/>
                <w:bookmarkEnd w:id="5"/>
                <w:bookmarkEnd w:id="6"/>
                <w:bookmarkEnd w:id="7"/>
                <w:bookmarkEnd w:id="8"/>
                <w:bookmarkEnd w:id="9"/>
                <w:bookmarkEnd w:id="10"/>
                <w:r w:rsidRPr="00931A07">
                  <w:rPr>
                    <w:bCs/>
                    <w:sz w:val="18"/>
                    <w:szCs w:val="15"/>
                  </w:rPr>
                  <w:t>2019-08-16</w:t>
                </w:r>
              </w:p>
            </w:tc>
          </w:tr>
          <w:tr w:rsidR="00920C27" w14:paraId="654D0FF6" w14:textId="77777777" w:rsidTr="00664C07">
            <w:trPr>
              <w:jc w:val="right"/>
            </w:trPr>
            <w:tc>
              <w:tcPr>
                <w:tcW w:w="0" w:type="auto"/>
              </w:tcPr>
              <w:p w14:paraId="6AF8C93D" w14:textId="77777777" w:rsidR="00920C27" w:rsidRPr="00066AB7" w:rsidRDefault="00920C27" w:rsidP="00931A07">
                <w:pPr>
                  <w:framePr w:hSpace="180" w:wrap="around" w:vAnchor="text" w:hAnchor="text" w:y="1"/>
                  <w:suppressOverlap/>
                  <w:jc w:val="left"/>
                  <w:rPr>
                    <w:szCs w:val="22"/>
                  </w:rPr>
                </w:pPr>
              </w:p>
            </w:tc>
          </w:tr>
        </w:tbl>
        <w:p w14:paraId="586A324C"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B1A4C9C" w14:textId="5B3B9A55" w:rsidR="00770160" w:rsidRDefault="00A12CBA" w:rsidP="002C4981">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E725AD4"/>
    <w:multiLevelType w:val="hybridMultilevel"/>
    <w:tmpl w:val="66D80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52D25"/>
    <w:multiLevelType w:val="multilevel"/>
    <w:tmpl w:val="284C5A46"/>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30BC61EB"/>
    <w:multiLevelType w:val="hybridMultilevel"/>
    <w:tmpl w:val="F938A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5"/>
  </w:num>
  <w:num w:numId="2">
    <w:abstractNumId w:val="6"/>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9324C"/>
    <w:rsid w:val="000D26D5"/>
    <w:rsid w:val="000E218A"/>
    <w:rsid w:val="00114983"/>
    <w:rsid w:val="002C2D0B"/>
    <w:rsid w:val="002C4981"/>
    <w:rsid w:val="00347C08"/>
    <w:rsid w:val="003912EF"/>
    <w:rsid w:val="003D7FD8"/>
    <w:rsid w:val="00423C6F"/>
    <w:rsid w:val="004735BC"/>
    <w:rsid w:val="0049280E"/>
    <w:rsid w:val="00505F6E"/>
    <w:rsid w:val="005F1EB3"/>
    <w:rsid w:val="00603778"/>
    <w:rsid w:val="00625E2A"/>
    <w:rsid w:val="00664C07"/>
    <w:rsid w:val="00725205"/>
    <w:rsid w:val="00760654"/>
    <w:rsid w:val="00770160"/>
    <w:rsid w:val="007B1601"/>
    <w:rsid w:val="007E6A06"/>
    <w:rsid w:val="00860FB4"/>
    <w:rsid w:val="008B54C4"/>
    <w:rsid w:val="00900E76"/>
    <w:rsid w:val="0090204A"/>
    <w:rsid w:val="00920C27"/>
    <w:rsid w:val="00931A07"/>
    <w:rsid w:val="009602EE"/>
    <w:rsid w:val="00A03CFF"/>
    <w:rsid w:val="00A12CBA"/>
    <w:rsid w:val="00A22D2F"/>
    <w:rsid w:val="00A232A8"/>
    <w:rsid w:val="00BC5391"/>
    <w:rsid w:val="00C2608A"/>
    <w:rsid w:val="00CF72A2"/>
    <w:rsid w:val="00D22255"/>
    <w:rsid w:val="00D8375B"/>
    <w:rsid w:val="00D87EC5"/>
    <w:rsid w:val="00D94FD3"/>
    <w:rsid w:val="00DF76D3"/>
    <w:rsid w:val="00E77340"/>
    <w:rsid w:val="00EB7F07"/>
    <w:rsid w:val="00EC53C8"/>
    <w:rsid w:val="00F1296E"/>
    <w:rsid w:val="00F16F39"/>
    <w:rsid w:val="00F33C99"/>
    <w:rsid w:val="00F54A14"/>
    <w:rsid w:val="00F56F90"/>
    <w:rsid w:val="00F975FD"/>
    <w:rsid w:val="00FF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26D1F"/>
  <w15:chartTrackingRefBased/>
  <w15:docId w15:val="{873DDC7D-0560-4F42-861A-DAB5B2AD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ListParagraph">
    <w:name w:val="List Paragraph"/>
    <w:basedOn w:val="Normal"/>
    <w:uiPriority w:val="34"/>
    <w:qFormat/>
    <w:rsid w:val="00EB7F07"/>
    <w:pPr>
      <w:ind w:left="720"/>
      <w:contextualSpacing/>
      <w:jc w:val="left"/>
    </w:pPr>
    <w:rPr>
      <w:rFonts w:ascii="Calibri" w:eastAsia="Calibri" w:hAnsi="Calibri"/>
      <w:szCs w:val="22"/>
      <w:lang w:val="en-US"/>
    </w:rPr>
  </w:style>
  <w:style w:type="paragraph" w:styleId="FootnoteText">
    <w:name w:val="footnote text"/>
    <w:basedOn w:val="Normal"/>
    <w:link w:val="FootnoteTextChar"/>
    <w:rsid w:val="00EB7F07"/>
    <w:rPr>
      <w:sz w:val="20"/>
    </w:rPr>
  </w:style>
  <w:style w:type="character" w:customStyle="1" w:styleId="FootnoteTextChar">
    <w:name w:val="Footnote Text Char"/>
    <w:basedOn w:val="DefaultParagraphFont"/>
    <w:link w:val="FootnoteText"/>
    <w:rsid w:val="00EB7F07"/>
    <w:rPr>
      <w:lang w:val="en-GB"/>
    </w:rPr>
  </w:style>
  <w:style w:type="character" w:styleId="FootnoteReference">
    <w:name w:val="footnote reference"/>
    <w:basedOn w:val="DefaultParagraphFont"/>
    <w:rsid w:val="00EB7F07"/>
    <w:rPr>
      <w:vertAlign w:val="superscript"/>
    </w:rPr>
  </w:style>
  <w:style w:type="character" w:styleId="Hyperlink">
    <w:name w:val="Hyperlink"/>
    <w:basedOn w:val="DefaultParagraphFont"/>
    <w:rsid w:val="00EB7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tu.int/rec/R-REC-SM.1540/en" TargetMode="External"/><Relationship Id="rId3" Type="http://schemas.openxmlformats.org/officeDocument/2006/relationships/hyperlink" Target="https://www.itu.int/rec/R-REC-SM.328/en" TargetMode="External"/><Relationship Id="rId7" Type="http://schemas.openxmlformats.org/officeDocument/2006/relationships/hyperlink" Target="https://www.itu.int/rec/R-REC-SM.853/en" TargetMode="External"/><Relationship Id="rId2" Type="http://schemas.openxmlformats.org/officeDocument/2006/relationships/hyperlink" Target="https://www.itu.int/pub/R-REG-RR-2016" TargetMode="External"/><Relationship Id="rId1" Type="http://schemas.openxmlformats.org/officeDocument/2006/relationships/hyperlink" Target="https://portal.icao.int/FSMP/Documents/FSMP-WG8_restricted_documents/WP" TargetMode="External"/><Relationship Id="rId6" Type="http://schemas.openxmlformats.org/officeDocument/2006/relationships/hyperlink" Target="https://www.itu.int/rec/R-REC-SM.332/en" TargetMode="External"/><Relationship Id="rId5" Type="http://schemas.openxmlformats.org/officeDocument/2006/relationships/hyperlink" Target="https://www.itu.int/rec/R-REC-SM.331/en" TargetMode="External"/><Relationship Id="rId10" Type="http://schemas.openxmlformats.org/officeDocument/2006/relationships/hyperlink" Target="https://www.itu.int/pub/R-REP-M.2292-2014" TargetMode="External"/><Relationship Id="rId4" Type="http://schemas.openxmlformats.org/officeDocument/2006/relationships/hyperlink" Target="https://www.itu.int/rec/R-REC-SM.329/en" TargetMode="External"/><Relationship Id="rId9" Type="http://schemas.openxmlformats.org/officeDocument/2006/relationships/hyperlink" Target="https://www.itu.int/rec/R-REC-SM.1541/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809C9-D0F9-4CDF-8A96-1A4BA731A254}">
  <ds:schemaRefs>
    <ds:schemaRef ds:uri="http://schemas.microsoft.com/sharepoint/v3/contenttype/forms"/>
  </ds:schemaRefs>
</ds:datastoreItem>
</file>

<file path=customXml/itemProps2.xml><?xml version="1.0" encoding="utf-8"?>
<ds:datastoreItem xmlns:ds="http://schemas.openxmlformats.org/officeDocument/2006/customXml" ds:itemID="{2F25EA88-F687-4313-AF89-6FB9223E3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18EBB7-C019-45C1-8FE1-E24A168832B6}"/>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66</TotalTime>
  <Pages>5</Pages>
  <Words>1510</Words>
  <Characters>8656</Characters>
  <Application>Microsoft Office Word</Application>
  <DocSecurity>0</DocSecurity>
  <Lines>270</Lines>
  <Paragraphs>111</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17</cp:revision>
  <cp:lastPrinted>2005-03-16T17:26:00Z</cp:lastPrinted>
  <dcterms:created xsi:type="dcterms:W3CDTF">2019-08-16T11:22:00Z</dcterms:created>
  <dcterms:modified xsi:type="dcterms:W3CDTF">2019-08-16T12:58:00Z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-2030626395</vt:i4>
  </property>
  <property fmtid="{D5CDD505-2E9C-101B-9397-08002B2CF9AE}" pid="3" name="_NewReviewCycle">
    <vt:lpwstr/>
  </property>
  <property fmtid="{D5CDD505-2E9C-101B-9397-08002B2CF9AE}" pid="4" name="_EmailSubject">
    <vt:lpwstr>ICAO Handbook Papers</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ContentTypeId">
    <vt:lpwstr>0x010100B372B09A9A77C4438999FF1325BEF759</vt:lpwstr>
  </property>
</Properties>
</file>