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05E6" w14:textId="77777777" w:rsidR="00C32F4A" w:rsidRPr="00032308" w:rsidRDefault="00C32F4A" w:rsidP="00C32F4A">
      <w:pPr>
        <w:jc w:val="center"/>
        <w:rPr>
          <w:b/>
          <w:lang w:val="en-US"/>
        </w:rPr>
      </w:pPr>
      <w:r w:rsidRPr="00032308">
        <w:rPr>
          <w:b/>
          <w:lang w:val="en-US"/>
        </w:rPr>
        <w:t>FREQUENCY SPECTRUM MANAGEMENT PANEL (FSMP)</w:t>
      </w:r>
    </w:p>
    <w:p w14:paraId="30532431" w14:textId="77777777" w:rsidR="00C32F4A" w:rsidRPr="00032308" w:rsidRDefault="00C32F4A" w:rsidP="00C32F4A">
      <w:pPr>
        <w:tabs>
          <w:tab w:val="left" w:pos="6972"/>
        </w:tabs>
        <w:jc w:val="center"/>
        <w:rPr>
          <w:b/>
          <w:lang w:val="en-US"/>
        </w:rPr>
      </w:pPr>
    </w:p>
    <w:p w14:paraId="00A04B43" w14:textId="77777777" w:rsidR="00FC389A" w:rsidRPr="00032308" w:rsidRDefault="0020272F" w:rsidP="00FC389A">
      <w:pPr>
        <w:widowControl w:val="0"/>
        <w:autoSpaceDE w:val="0"/>
        <w:autoSpaceDN w:val="0"/>
        <w:adjustRightInd w:val="0"/>
        <w:ind w:right="4"/>
        <w:jc w:val="center"/>
        <w:rPr>
          <w:rFonts w:eastAsia="SimSun"/>
          <w:b/>
          <w:caps/>
          <w:szCs w:val="24"/>
          <w:lang w:val="en-US"/>
        </w:rPr>
      </w:pPr>
      <w:r w:rsidRPr="00032308">
        <w:rPr>
          <w:rFonts w:eastAsia="SimSun"/>
          <w:b/>
          <w:szCs w:val="24"/>
          <w:lang w:val="en-US"/>
        </w:rPr>
        <w:t>Nineteenth</w:t>
      </w:r>
      <w:r w:rsidR="00FC389A" w:rsidRPr="00032308">
        <w:rPr>
          <w:rFonts w:eastAsia="SimSun"/>
          <w:b/>
          <w:szCs w:val="24"/>
          <w:lang w:val="en-US"/>
        </w:rPr>
        <w:t xml:space="preserve"> Working Group Meeting </w:t>
      </w:r>
    </w:p>
    <w:p w14:paraId="20740C8E" w14:textId="77777777" w:rsidR="0009326E" w:rsidRPr="00032308" w:rsidRDefault="0009326E" w:rsidP="0009326E">
      <w:pPr>
        <w:pStyle w:val="Maintitle"/>
        <w:rPr>
          <w:lang w:val="en-US"/>
        </w:rPr>
      </w:pPr>
    </w:p>
    <w:p w14:paraId="1F125471" w14:textId="77777777" w:rsidR="0009326E" w:rsidRPr="00032308" w:rsidRDefault="0020272F" w:rsidP="0009326E">
      <w:pPr>
        <w:pStyle w:val="Maintitle"/>
        <w:rPr>
          <w:lang w:val="en-US"/>
        </w:rPr>
      </w:pPr>
      <w:r w:rsidRPr="00032308">
        <w:rPr>
          <w:lang w:val="en-US"/>
        </w:rPr>
        <w:t>Montréal, Canada, 15</w:t>
      </w:r>
      <w:r w:rsidR="0009326E" w:rsidRPr="00032308">
        <w:rPr>
          <w:lang w:val="en-US"/>
        </w:rPr>
        <w:t xml:space="preserve"> to </w:t>
      </w:r>
      <w:r w:rsidRPr="00032308">
        <w:rPr>
          <w:lang w:val="en-US"/>
        </w:rPr>
        <w:t>2</w:t>
      </w:r>
      <w:r w:rsidR="0009326E" w:rsidRPr="00032308">
        <w:rPr>
          <w:lang w:val="en-US"/>
        </w:rPr>
        <w:t xml:space="preserve">6 </w:t>
      </w:r>
      <w:r w:rsidRPr="00032308">
        <w:rPr>
          <w:lang w:val="en-US"/>
        </w:rPr>
        <w:t xml:space="preserve">July </w:t>
      </w:r>
      <w:r w:rsidR="0009326E" w:rsidRPr="00032308">
        <w:rPr>
          <w:lang w:val="en-US"/>
        </w:rPr>
        <w:t>2024</w:t>
      </w:r>
    </w:p>
    <w:p w14:paraId="1D3E4284" w14:textId="77777777" w:rsidR="00770160" w:rsidRPr="00032308" w:rsidRDefault="00770160">
      <w:pPr>
        <w:tabs>
          <w:tab w:val="left" w:pos="0"/>
          <w:tab w:val="left" w:pos="1570"/>
          <w:tab w:val="left" w:pos="1857"/>
        </w:tabs>
        <w:rPr>
          <w:lang w:val="en-US"/>
        </w:rPr>
      </w:pPr>
    </w:p>
    <w:p w14:paraId="788A7A69" w14:textId="77777777" w:rsidR="0020272F" w:rsidRPr="00032308" w:rsidRDefault="0020272F">
      <w:pPr>
        <w:tabs>
          <w:tab w:val="left" w:pos="0"/>
          <w:tab w:val="left" w:pos="1570"/>
          <w:tab w:val="left" w:pos="1857"/>
        </w:tabs>
        <w:rPr>
          <w:lang w:val="en-US"/>
        </w:rPr>
      </w:pPr>
    </w:p>
    <w:p w14:paraId="7386F608" w14:textId="10B6204C" w:rsidR="00770160" w:rsidRPr="00032308" w:rsidRDefault="00770160">
      <w:pPr>
        <w:pStyle w:val="Agendaitemtitle"/>
        <w:rPr>
          <w:lang w:val="en-US"/>
        </w:rPr>
      </w:pPr>
      <w:r w:rsidRPr="00032308">
        <w:rPr>
          <w:lang w:val="en-US"/>
        </w:rPr>
        <w:t>Agenda Item </w:t>
      </w:r>
      <w:r w:rsidR="002670AE">
        <w:rPr>
          <w:lang w:val="en-US"/>
        </w:rPr>
        <w:t>8</w:t>
      </w:r>
      <w:r w:rsidRPr="00032308">
        <w:rPr>
          <w:lang w:val="en-US"/>
        </w:rPr>
        <w:t>:</w:t>
      </w:r>
      <w:r w:rsidRPr="00032308">
        <w:rPr>
          <w:lang w:val="en-US"/>
        </w:rPr>
        <w:tab/>
      </w:r>
      <w:r w:rsidR="002670AE">
        <w:rPr>
          <w:lang w:val="en-US"/>
        </w:rPr>
        <w:t>Any other business</w:t>
      </w:r>
    </w:p>
    <w:p w14:paraId="1B997816" w14:textId="77777777" w:rsidR="00770160" w:rsidRPr="00032308" w:rsidRDefault="00770160">
      <w:pPr>
        <w:pStyle w:val="Agendaitemtitle"/>
        <w:rPr>
          <w:b w:val="0"/>
          <w:lang w:val="en-US"/>
        </w:rPr>
      </w:pPr>
    </w:p>
    <w:p w14:paraId="69A09C1C" w14:textId="77777777" w:rsidR="00770160" w:rsidRPr="00032308" w:rsidRDefault="00770160">
      <w:pPr>
        <w:tabs>
          <w:tab w:val="left" w:pos="6972"/>
        </w:tabs>
        <w:rPr>
          <w:b/>
          <w:lang w:val="en-US"/>
        </w:rPr>
      </w:pPr>
    </w:p>
    <w:p w14:paraId="5191E03F" w14:textId="554A2883" w:rsidR="00770160" w:rsidRPr="00032308" w:rsidRDefault="00222D23">
      <w:pPr>
        <w:pStyle w:val="Maintitle"/>
        <w:rPr>
          <w:lang w:val="en-US"/>
        </w:rPr>
      </w:pPr>
      <w:r w:rsidRPr="00032308">
        <w:rPr>
          <w:lang w:val="en-US"/>
        </w:rPr>
        <w:t>Frequency band for RPAS DAA</w:t>
      </w:r>
    </w:p>
    <w:p w14:paraId="6454B750" w14:textId="77777777" w:rsidR="00770160" w:rsidRPr="00032308" w:rsidRDefault="00770160">
      <w:pPr>
        <w:tabs>
          <w:tab w:val="left" w:pos="6972"/>
        </w:tabs>
        <w:rPr>
          <w:lang w:val="en-US"/>
        </w:rPr>
      </w:pPr>
    </w:p>
    <w:p w14:paraId="21095D85" w14:textId="77777777" w:rsidR="00770160" w:rsidRPr="00032308" w:rsidRDefault="00770160">
      <w:pPr>
        <w:tabs>
          <w:tab w:val="left" w:pos="6972"/>
        </w:tabs>
        <w:rPr>
          <w:lang w:val="en-US"/>
        </w:rPr>
      </w:pPr>
    </w:p>
    <w:p w14:paraId="7F55688A" w14:textId="113841A8" w:rsidR="00770160" w:rsidRPr="00032308" w:rsidRDefault="00770160">
      <w:pPr>
        <w:jc w:val="center"/>
        <w:rPr>
          <w:lang w:val="en-US"/>
        </w:rPr>
      </w:pPr>
      <w:r w:rsidRPr="00032308">
        <w:rPr>
          <w:lang w:val="en-US"/>
        </w:rPr>
        <w:t>(Presented by</w:t>
      </w:r>
      <w:bookmarkStart w:id="0" w:name="presented_by"/>
      <w:bookmarkEnd w:id="0"/>
      <w:r w:rsidRPr="00032308">
        <w:rPr>
          <w:lang w:val="en-US"/>
        </w:rPr>
        <w:t xml:space="preserve"> </w:t>
      </w:r>
      <w:r w:rsidR="00AA6C93">
        <w:rPr>
          <w:lang w:val="en-US"/>
        </w:rPr>
        <w:t>Guillaume Novella</w:t>
      </w:r>
      <w:r w:rsidR="00AA6C93" w:rsidRPr="00032308">
        <w:rPr>
          <w:lang w:val="en-US"/>
        </w:rPr>
        <w:t>)</w:t>
      </w:r>
    </w:p>
    <w:p w14:paraId="0A98834D" w14:textId="77777777" w:rsidR="00770160" w:rsidRPr="00032308" w:rsidRDefault="00770160">
      <w:pPr>
        <w:rPr>
          <w:lang w:val="en-US"/>
        </w:rPr>
      </w:pPr>
    </w:p>
    <w:p w14:paraId="17F1DC8B" w14:textId="77777777" w:rsidR="00770160" w:rsidRPr="00032308"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032308" w14:paraId="730EEE5B" w14:textId="77777777">
        <w:trPr>
          <w:cantSplit/>
          <w:trHeight w:hRule="exact" w:val="480"/>
          <w:jc w:val="center"/>
        </w:trPr>
        <w:tc>
          <w:tcPr>
            <w:tcW w:w="7200" w:type="dxa"/>
            <w:vAlign w:val="center"/>
          </w:tcPr>
          <w:p w14:paraId="34A6837C" w14:textId="77777777" w:rsidR="00770160" w:rsidRPr="00032308" w:rsidRDefault="00770160">
            <w:pPr>
              <w:jc w:val="center"/>
              <w:rPr>
                <w:sz w:val="24"/>
                <w:lang w:val="en-US"/>
              </w:rPr>
            </w:pPr>
            <w:r w:rsidRPr="00032308">
              <w:rPr>
                <w:b/>
                <w:lang w:val="en-US"/>
              </w:rPr>
              <w:t>SUMMARY</w:t>
            </w:r>
          </w:p>
        </w:tc>
      </w:tr>
      <w:tr w:rsidR="00770160" w:rsidRPr="00032308" w14:paraId="54F7E16F" w14:textId="77777777">
        <w:trPr>
          <w:cantSplit/>
          <w:jc w:val="center"/>
        </w:trPr>
        <w:tc>
          <w:tcPr>
            <w:tcW w:w="7200" w:type="dxa"/>
          </w:tcPr>
          <w:p w14:paraId="1EDB0FBF" w14:textId="426C29F3" w:rsidR="00770160" w:rsidRPr="00032308" w:rsidRDefault="00222D23">
            <w:pPr>
              <w:rPr>
                <w:lang w:val="en-US"/>
              </w:rPr>
            </w:pPr>
            <w:r w:rsidRPr="00032308">
              <w:rPr>
                <w:lang w:val="en-US"/>
              </w:rPr>
              <w:t xml:space="preserve">This WP continues discussion regarding the identification of suitable frequency band(s) to accommodate </w:t>
            </w:r>
            <w:r w:rsidR="007800BB">
              <w:rPr>
                <w:lang w:val="en-US"/>
              </w:rPr>
              <w:t xml:space="preserve">on-board </w:t>
            </w:r>
            <w:r w:rsidRPr="00032308">
              <w:rPr>
                <w:lang w:val="en-US"/>
              </w:rPr>
              <w:t>Detect and Avoid need for RPAS.</w:t>
            </w:r>
            <w:r w:rsidR="00770160" w:rsidRPr="00032308">
              <w:rPr>
                <w:lang w:val="en-US"/>
              </w:rPr>
              <w:t xml:space="preserve"> </w:t>
            </w:r>
          </w:p>
        </w:tc>
      </w:tr>
    </w:tbl>
    <w:p w14:paraId="4490515D" w14:textId="77777777" w:rsidR="00770160" w:rsidRPr="00032308" w:rsidRDefault="00770160">
      <w:pPr>
        <w:rPr>
          <w:lang w:val="en-US"/>
        </w:rPr>
      </w:pPr>
    </w:p>
    <w:p w14:paraId="6F8E4828" w14:textId="77777777" w:rsidR="00770160" w:rsidRPr="00032308" w:rsidRDefault="00770160">
      <w:pPr>
        <w:rPr>
          <w:lang w:val="en-US"/>
        </w:rPr>
      </w:pPr>
    </w:p>
    <w:p w14:paraId="40730B89" w14:textId="77777777" w:rsidR="00770160" w:rsidRPr="00032308" w:rsidRDefault="00770160">
      <w:pPr>
        <w:pStyle w:val="1Heading"/>
        <w:rPr>
          <w:lang w:val="en-US"/>
        </w:rPr>
      </w:pPr>
      <w:r w:rsidRPr="00032308">
        <w:rPr>
          <w:lang w:val="en-US"/>
        </w:rPr>
        <w:t>INTRODUCTION</w:t>
      </w:r>
    </w:p>
    <w:p w14:paraId="4BB4A7E0" w14:textId="3F319D92" w:rsidR="00222D23" w:rsidRPr="00032308" w:rsidRDefault="00222D23">
      <w:pPr>
        <w:pStyle w:val="2para"/>
        <w:rPr>
          <w:lang w:val="en-US"/>
        </w:rPr>
      </w:pPr>
      <w:r w:rsidRPr="00032308">
        <w:rPr>
          <w:lang w:val="en-US"/>
        </w:rPr>
        <w:t>The standardization of Detect and Avoid for RPAS is being finalized with</w:t>
      </w:r>
      <w:r w:rsidR="009608BC">
        <w:rPr>
          <w:lang w:val="en-US"/>
        </w:rPr>
        <w:t>in ICAO and RTCA</w:t>
      </w:r>
      <w:r w:rsidRPr="00032308">
        <w:rPr>
          <w:lang w:val="en-US"/>
        </w:rPr>
        <w:t xml:space="preserve"> </w:t>
      </w:r>
      <w:r w:rsidR="009608BC">
        <w:rPr>
          <w:lang w:val="en-US"/>
        </w:rPr>
        <w:t xml:space="preserve">as contained in the following </w:t>
      </w:r>
      <w:r w:rsidRPr="00032308">
        <w:rPr>
          <w:lang w:val="en-US"/>
        </w:rPr>
        <w:t>deliv</w:t>
      </w:r>
      <w:r w:rsidR="009608BC">
        <w:rPr>
          <w:lang w:val="en-US"/>
        </w:rPr>
        <w:t>e</w:t>
      </w:r>
      <w:r w:rsidRPr="00032308">
        <w:rPr>
          <w:lang w:val="en-US"/>
        </w:rPr>
        <w:t>rables:</w:t>
      </w:r>
    </w:p>
    <w:p w14:paraId="4A8E0FC7" w14:textId="7293F57D" w:rsidR="00222D23" w:rsidRPr="00032308" w:rsidRDefault="00222D23" w:rsidP="00222D23">
      <w:pPr>
        <w:pStyle w:val="2para"/>
        <w:numPr>
          <w:ilvl w:val="0"/>
          <w:numId w:val="7"/>
        </w:numPr>
        <w:rPr>
          <w:lang w:val="en-US"/>
        </w:rPr>
      </w:pPr>
      <w:r w:rsidRPr="00032308">
        <w:rPr>
          <w:lang w:val="en-US"/>
        </w:rPr>
        <w:t>DAA SARPs</w:t>
      </w:r>
    </w:p>
    <w:p w14:paraId="27996EDF" w14:textId="2E6F8F00" w:rsidR="00222D23" w:rsidRDefault="00222D23" w:rsidP="00222D23">
      <w:pPr>
        <w:pStyle w:val="2para"/>
        <w:numPr>
          <w:ilvl w:val="0"/>
          <w:numId w:val="7"/>
        </w:numPr>
        <w:rPr>
          <w:lang w:val="en-US"/>
        </w:rPr>
      </w:pPr>
      <w:r w:rsidRPr="00032308">
        <w:rPr>
          <w:lang w:val="en-US"/>
        </w:rPr>
        <w:t>DAA Manual (RPAS Panel)</w:t>
      </w:r>
    </w:p>
    <w:p w14:paraId="2DC721A7" w14:textId="66178CDF" w:rsidR="009202EA" w:rsidRPr="00032308" w:rsidRDefault="009202EA" w:rsidP="00222D23">
      <w:pPr>
        <w:pStyle w:val="2para"/>
        <w:numPr>
          <w:ilvl w:val="0"/>
          <w:numId w:val="7"/>
        </w:numPr>
        <w:rPr>
          <w:lang w:val="en-US"/>
        </w:rPr>
      </w:pPr>
      <w:r>
        <w:rPr>
          <w:lang w:val="en-US"/>
        </w:rPr>
        <w:t xml:space="preserve">RTCA DO-365C: </w:t>
      </w:r>
      <w:r w:rsidRPr="00226565">
        <w:rPr>
          <w:lang w:val="en-US"/>
        </w:rPr>
        <w:t>Minimum Operational Performance Standard (MOPS)</w:t>
      </w:r>
      <w:r>
        <w:rPr>
          <w:lang w:val="en-US"/>
        </w:rPr>
        <w:t xml:space="preserve"> for Detect and Avoid (DAA) Systems</w:t>
      </w:r>
    </w:p>
    <w:p w14:paraId="5AB0E058" w14:textId="6498CCB4" w:rsidR="00222D23" w:rsidRPr="00226565" w:rsidRDefault="00222D23" w:rsidP="00134C41">
      <w:pPr>
        <w:pStyle w:val="2para"/>
        <w:numPr>
          <w:ilvl w:val="0"/>
          <w:numId w:val="7"/>
        </w:numPr>
        <w:rPr>
          <w:lang w:val="en-US"/>
        </w:rPr>
      </w:pPr>
      <w:r w:rsidRPr="00226565">
        <w:rPr>
          <w:lang w:val="en-US"/>
        </w:rPr>
        <w:t>RTCA DO-366</w:t>
      </w:r>
      <w:r w:rsidR="00226565" w:rsidRPr="00226565">
        <w:rPr>
          <w:lang w:val="en-US"/>
        </w:rPr>
        <w:t>A: Minimum Operational Performance Standard (MOPS) for an Air-to-Air</w:t>
      </w:r>
      <w:r w:rsidR="00226565">
        <w:rPr>
          <w:lang w:val="en-US"/>
        </w:rPr>
        <w:t xml:space="preserve"> </w:t>
      </w:r>
      <w:r w:rsidR="00226565" w:rsidRPr="00226565">
        <w:rPr>
          <w:lang w:val="en-US"/>
        </w:rPr>
        <w:t>Primary Surveillance Radar</w:t>
      </w:r>
      <w:r w:rsidR="0001736D">
        <w:rPr>
          <w:lang w:val="en-US"/>
        </w:rPr>
        <w:t xml:space="preserve"> (New version DO-366B – Revision of DO-366A in progress to </w:t>
      </w:r>
      <w:proofErr w:type="gramStart"/>
      <w:r w:rsidR="0001736D">
        <w:rPr>
          <w:lang w:val="en-US"/>
        </w:rPr>
        <w:t>take into account</w:t>
      </w:r>
      <w:proofErr w:type="gramEnd"/>
      <w:r w:rsidR="0001736D">
        <w:rPr>
          <w:lang w:val="en-US"/>
        </w:rPr>
        <w:t xml:space="preserve"> Class B2 - Low Swap Radar)</w:t>
      </w:r>
    </w:p>
    <w:p w14:paraId="698284DA" w14:textId="7B12B355" w:rsidR="000A6AD2" w:rsidRDefault="00222D23">
      <w:pPr>
        <w:pStyle w:val="2para"/>
        <w:rPr>
          <w:lang w:val="en-US"/>
        </w:rPr>
      </w:pPr>
      <w:r w:rsidRPr="00032308">
        <w:rPr>
          <w:lang w:val="en-US"/>
        </w:rPr>
        <w:t xml:space="preserve"> These standards address performance requirements for DAA systems, but do not address technical characteristics of DAA equipment. In particular, the frequency band </w:t>
      </w:r>
      <w:r w:rsidR="00052922">
        <w:rPr>
          <w:lang w:val="en-US"/>
        </w:rPr>
        <w:t xml:space="preserve">appropriate </w:t>
      </w:r>
      <w:r w:rsidRPr="00032308">
        <w:rPr>
          <w:lang w:val="en-US"/>
        </w:rPr>
        <w:t>to be used by RPAS DAA is not identified.</w:t>
      </w:r>
    </w:p>
    <w:p w14:paraId="0CCF0031" w14:textId="6D76C73F" w:rsidR="009202EA" w:rsidRDefault="009202EA" w:rsidP="009202EA">
      <w:pPr>
        <w:pStyle w:val="2para"/>
        <w:rPr>
          <w:lang w:val="en-US"/>
        </w:rPr>
      </w:pPr>
      <w:r w:rsidRPr="009202EA">
        <w:rPr>
          <w:lang w:val="en-US"/>
        </w:rPr>
        <w:lastRenderedPageBreak/>
        <w:t xml:space="preserve">ICAO Annex 6 Vol IV </w:t>
      </w:r>
      <w:r>
        <w:rPr>
          <w:lang w:val="en-US"/>
        </w:rPr>
        <w:t>contains the following provisions</w:t>
      </w:r>
      <w:r w:rsidR="00822F3F">
        <w:rPr>
          <w:lang w:val="en-US"/>
        </w:rPr>
        <w:t xml:space="preserve"> related to the requirements to have a DAA on-board RPA</w:t>
      </w:r>
      <w:r>
        <w:rPr>
          <w:lang w:val="en-US"/>
        </w:rPr>
        <w:t>:</w:t>
      </w:r>
    </w:p>
    <w:p w14:paraId="0E7183EF" w14:textId="4074A3F2" w:rsidR="009202EA" w:rsidRPr="009202EA" w:rsidRDefault="009202EA" w:rsidP="009202EA">
      <w:pPr>
        <w:pStyle w:val="2para"/>
        <w:numPr>
          <w:ilvl w:val="0"/>
          <w:numId w:val="0"/>
        </w:numPr>
        <w:rPr>
          <w:i/>
          <w:iCs/>
          <w:lang w:val="en-US"/>
        </w:rPr>
      </w:pPr>
      <w:r>
        <w:rPr>
          <w:i/>
          <w:iCs/>
          <w:lang w:val="en-US"/>
        </w:rPr>
        <w:t>“</w:t>
      </w:r>
      <w:r w:rsidRPr="009202EA">
        <w:rPr>
          <w:i/>
          <w:iCs/>
          <w:lang w:val="en-US"/>
        </w:rPr>
        <w:t xml:space="preserve">6.20.2.1 </w:t>
      </w:r>
      <w:r w:rsidRPr="009202EA">
        <w:rPr>
          <w:i/>
          <w:iCs/>
          <w:lang w:val="en-US"/>
        </w:rPr>
        <w:tab/>
        <w:t xml:space="preserve">The RPA shall be equipped with an automated system that performs appropriate collision avoidance </w:t>
      </w:r>
      <w:proofErr w:type="spellStart"/>
      <w:r w:rsidRPr="009202EA">
        <w:rPr>
          <w:i/>
          <w:iCs/>
          <w:lang w:val="en-US"/>
        </w:rPr>
        <w:t>manoeuvres</w:t>
      </w:r>
      <w:proofErr w:type="spellEnd"/>
      <w:r w:rsidRPr="009202EA">
        <w:rPr>
          <w:i/>
          <w:iCs/>
          <w:lang w:val="en-US"/>
        </w:rPr>
        <w:t>, except when the collision avoidance responsibilities of the remote pilot can be adequately exercised using other means.</w:t>
      </w:r>
    </w:p>
    <w:p w14:paraId="71AD4D37" w14:textId="2659AA8A" w:rsidR="009202EA" w:rsidRPr="009202EA" w:rsidRDefault="009202EA" w:rsidP="009202EA">
      <w:pPr>
        <w:pStyle w:val="2para"/>
        <w:numPr>
          <w:ilvl w:val="0"/>
          <w:numId w:val="0"/>
        </w:numPr>
        <w:rPr>
          <w:i/>
          <w:iCs/>
          <w:lang w:val="en-US"/>
        </w:rPr>
      </w:pPr>
      <w:r w:rsidRPr="009202EA">
        <w:rPr>
          <w:i/>
          <w:iCs/>
          <w:lang w:val="en-US"/>
        </w:rPr>
        <w:t xml:space="preserve">6.20.2.2 </w:t>
      </w:r>
      <w:r w:rsidRPr="009202EA">
        <w:rPr>
          <w:i/>
          <w:iCs/>
          <w:lang w:val="en-US"/>
        </w:rPr>
        <w:tab/>
        <w:t>Notwithstanding the provisions in 6.20.2.1, the State of the Operator may approve RPAS operations without automated collision avoidance, based on the results of a specific safety risk assessment conducted by the operator which demonstrates how an equivalent level of safety will be maintained. The specific safety risk assessment shall include at least the:</w:t>
      </w:r>
    </w:p>
    <w:p w14:paraId="2078225B" w14:textId="59C26659" w:rsidR="009202EA" w:rsidRPr="009202EA" w:rsidRDefault="009202EA" w:rsidP="00FC23C4">
      <w:pPr>
        <w:pStyle w:val="2para"/>
        <w:numPr>
          <w:ilvl w:val="0"/>
          <w:numId w:val="0"/>
        </w:numPr>
        <w:ind w:left="720"/>
        <w:rPr>
          <w:i/>
          <w:iCs/>
          <w:lang w:val="en-US"/>
        </w:rPr>
      </w:pPr>
      <w:r w:rsidRPr="009202EA">
        <w:rPr>
          <w:i/>
          <w:iCs/>
          <w:lang w:val="en-US"/>
        </w:rPr>
        <w:t>a) integrity and performance of the C2 Link;</w:t>
      </w:r>
    </w:p>
    <w:p w14:paraId="3BCABBC6" w14:textId="11DD5999" w:rsidR="009202EA" w:rsidRPr="009202EA" w:rsidRDefault="009202EA" w:rsidP="00FC23C4">
      <w:pPr>
        <w:pStyle w:val="2para"/>
        <w:numPr>
          <w:ilvl w:val="0"/>
          <w:numId w:val="0"/>
        </w:numPr>
        <w:ind w:left="720"/>
        <w:rPr>
          <w:i/>
          <w:iCs/>
          <w:lang w:val="en-US"/>
        </w:rPr>
      </w:pPr>
      <w:r w:rsidRPr="009202EA">
        <w:rPr>
          <w:i/>
          <w:iCs/>
          <w:lang w:val="en-US"/>
        </w:rPr>
        <w:t>b) diversity of multiple C2 Links, if installed; and</w:t>
      </w:r>
    </w:p>
    <w:p w14:paraId="6D319709" w14:textId="1697075C" w:rsidR="009202EA" w:rsidRPr="009202EA" w:rsidRDefault="009202EA" w:rsidP="00FC23C4">
      <w:pPr>
        <w:pStyle w:val="2para"/>
        <w:numPr>
          <w:ilvl w:val="0"/>
          <w:numId w:val="0"/>
        </w:numPr>
        <w:ind w:left="720"/>
        <w:rPr>
          <w:i/>
          <w:iCs/>
          <w:lang w:val="en-US"/>
        </w:rPr>
      </w:pPr>
      <w:r w:rsidRPr="009202EA">
        <w:rPr>
          <w:i/>
          <w:iCs/>
          <w:lang w:val="en-US"/>
        </w:rPr>
        <w:t>c) reliability of other systems that are required to allow the remote pilot to exercise control of the RPA flight trajectory.</w:t>
      </w:r>
      <w:r>
        <w:rPr>
          <w:i/>
          <w:iCs/>
          <w:lang w:val="en-US"/>
        </w:rPr>
        <w:t>”</w:t>
      </w:r>
    </w:p>
    <w:p w14:paraId="7A1AB05F" w14:textId="3EFA51A8" w:rsidR="00A5187D" w:rsidRPr="00A5187D" w:rsidRDefault="00A5187D">
      <w:pPr>
        <w:pStyle w:val="2para"/>
        <w:rPr>
          <w:lang w:val="en-US"/>
        </w:rPr>
      </w:pPr>
      <w:r>
        <w:rPr>
          <w:lang w:val="en-US"/>
        </w:rPr>
        <w:t xml:space="preserve">The </w:t>
      </w:r>
      <w:r w:rsidR="00EF04FD">
        <w:rPr>
          <w:lang w:val="en-US"/>
        </w:rPr>
        <w:t xml:space="preserve">most appropriate </w:t>
      </w:r>
      <w:r>
        <w:rPr>
          <w:lang w:val="en-US"/>
        </w:rPr>
        <w:t xml:space="preserve">way to </w:t>
      </w:r>
      <w:r w:rsidR="003D62E1">
        <w:rPr>
          <w:lang w:val="en-US"/>
        </w:rPr>
        <w:t xml:space="preserve">comply with </w:t>
      </w:r>
      <w:r>
        <w:rPr>
          <w:lang w:val="en-US"/>
        </w:rPr>
        <w:t xml:space="preserve">the above provisions is to implement an on-board DAA system. </w:t>
      </w:r>
      <w:r w:rsidR="003D62E1">
        <w:rPr>
          <w:lang w:val="en-US"/>
        </w:rPr>
        <w:t>T</w:t>
      </w:r>
      <w:r w:rsidR="0020213F">
        <w:rPr>
          <w:lang w:val="en-US"/>
        </w:rPr>
        <w:t xml:space="preserve">he identification of frequency for ground-based DAA </w:t>
      </w:r>
      <w:r w:rsidR="002D725D">
        <w:rPr>
          <w:lang w:val="en-US"/>
        </w:rPr>
        <w:t xml:space="preserve">would </w:t>
      </w:r>
      <w:r w:rsidR="0020213F">
        <w:rPr>
          <w:lang w:val="en-US"/>
        </w:rPr>
        <w:t xml:space="preserve">be easier since it can be achieved on a </w:t>
      </w:r>
      <w:proofErr w:type="gramStart"/>
      <w:r w:rsidR="0020213F">
        <w:rPr>
          <w:lang w:val="en-US"/>
        </w:rPr>
        <w:t>case by case</w:t>
      </w:r>
      <w:proofErr w:type="gramEnd"/>
      <w:r w:rsidR="0020213F">
        <w:rPr>
          <w:lang w:val="en-US"/>
        </w:rPr>
        <w:t xml:space="preserve"> basis</w:t>
      </w:r>
      <w:r w:rsidR="002D725D">
        <w:rPr>
          <w:lang w:val="en-US"/>
        </w:rPr>
        <w:t xml:space="preserve"> due to </w:t>
      </w:r>
      <w:r w:rsidR="007800BB">
        <w:rPr>
          <w:lang w:val="en-US"/>
        </w:rPr>
        <w:t>local coverage</w:t>
      </w:r>
      <w:r w:rsidR="00533ECF">
        <w:rPr>
          <w:lang w:val="en-US"/>
        </w:rPr>
        <w:t xml:space="preserve"> and can be addressed when air-air DAA </w:t>
      </w:r>
      <w:r w:rsidR="00F50D61">
        <w:rPr>
          <w:lang w:val="en-US"/>
        </w:rPr>
        <w:t xml:space="preserve">suitable frequency band(s) would </w:t>
      </w:r>
      <w:r w:rsidR="00533ECF">
        <w:rPr>
          <w:lang w:val="en-US"/>
        </w:rPr>
        <w:t>ha</w:t>
      </w:r>
      <w:r w:rsidR="00F50D61">
        <w:rPr>
          <w:lang w:val="en-US"/>
        </w:rPr>
        <w:t>ve</w:t>
      </w:r>
      <w:r w:rsidR="00533ECF">
        <w:rPr>
          <w:lang w:val="en-US"/>
        </w:rPr>
        <w:t xml:space="preserve"> identified </w:t>
      </w:r>
      <w:r w:rsidR="00F50D61">
        <w:rPr>
          <w:lang w:val="en-US"/>
        </w:rPr>
        <w:t>first</w:t>
      </w:r>
      <w:r w:rsidR="0020213F">
        <w:rPr>
          <w:lang w:val="en-US"/>
        </w:rPr>
        <w:t xml:space="preserve">. </w:t>
      </w:r>
      <w:proofErr w:type="gramStart"/>
      <w:r w:rsidR="0020213F">
        <w:rPr>
          <w:lang w:val="en-US"/>
        </w:rPr>
        <w:t>As a consequence</w:t>
      </w:r>
      <w:proofErr w:type="gramEnd"/>
      <w:r w:rsidR="0020213F">
        <w:rPr>
          <w:lang w:val="en-US"/>
        </w:rPr>
        <w:t>,</w:t>
      </w:r>
      <w:r>
        <w:rPr>
          <w:lang w:val="en-US"/>
        </w:rPr>
        <w:t xml:space="preserve"> this WP only </w:t>
      </w:r>
      <w:r w:rsidR="0001736D">
        <w:rPr>
          <w:lang w:val="en-US"/>
        </w:rPr>
        <w:t>focusses on</w:t>
      </w:r>
      <w:r>
        <w:rPr>
          <w:lang w:val="en-US"/>
        </w:rPr>
        <w:t xml:space="preserve"> on-board DAA. </w:t>
      </w:r>
    </w:p>
    <w:p w14:paraId="188E5AEB" w14:textId="06410DA3" w:rsidR="00770160" w:rsidRPr="00032308" w:rsidRDefault="00CA05A9">
      <w:pPr>
        <w:pStyle w:val="2para"/>
        <w:rPr>
          <w:lang w:val="en-US"/>
        </w:rPr>
      </w:pPr>
      <w:hyperlink r:id="rId11" w:history="1">
        <w:r w:rsidR="000A6AD2" w:rsidRPr="00032308">
          <w:rPr>
            <w:rStyle w:val="Hyperlink"/>
            <w:lang w:val="en-US"/>
          </w:rPr>
          <w:t>FSMP-WG18-IP06</w:t>
        </w:r>
      </w:hyperlink>
      <w:r w:rsidR="000A6AD2" w:rsidRPr="00032308">
        <w:rPr>
          <w:lang w:val="en-US"/>
        </w:rPr>
        <w:t xml:space="preserve"> ini</w:t>
      </w:r>
      <w:r w:rsidR="0001736D">
        <w:rPr>
          <w:lang w:val="en-US"/>
        </w:rPr>
        <w:t>ti</w:t>
      </w:r>
      <w:r w:rsidR="000A6AD2" w:rsidRPr="00032308">
        <w:rPr>
          <w:lang w:val="en-US"/>
        </w:rPr>
        <w:t>ated the identification process of suitable frequency band for RPAS DAA. This WP continues the discussion regarding the identification of suitable frequency band(s) to accommodate Detect and Avoid need for RPAS.</w:t>
      </w:r>
    </w:p>
    <w:p w14:paraId="28429C2D" w14:textId="77777777" w:rsidR="00770160" w:rsidRPr="00032308" w:rsidRDefault="00770160">
      <w:pPr>
        <w:pStyle w:val="1Heading"/>
        <w:rPr>
          <w:lang w:val="en-US"/>
        </w:rPr>
      </w:pPr>
      <w:r w:rsidRPr="00032308">
        <w:rPr>
          <w:lang w:val="en-US"/>
        </w:rPr>
        <w:t>DISCUSSION</w:t>
      </w:r>
    </w:p>
    <w:p w14:paraId="1789373E" w14:textId="19D5FE05" w:rsidR="000A6AD2" w:rsidRPr="00886363" w:rsidRDefault="00B22662" w:rsidP="000A6AD2">
      <w:pPr>
        <w:pStyle w:val="2para"/>
        <w:rPr>
          <w:b/>
          <w:bCs/>
          <w:lang w:val="en-US"/>
        </w:rPr>
      </w:pPr>
      <w:r w:rsidRPr="00886363">
        <w:rPr>
          <w:b/>
          <w:bCs/>
          <w:lang w:val="en-US"/>
        </w:rPr>
        <w:t>Summary of previous work regarding DAA frequency band</w:t>
      </w:r>
    </w:p>
    <w:p w14:paraId="38BECEB5" w14:textId="0CC4A985" w:rsidR="00226565" w:rsidRDefault="00226565" w:rsidP="00226565">
      <w:pPr>
        <w:pStyle w:val="3para"/>
        <w:rPr>
          <w:lang w:val="en-US"/>
        </w:rPr>
      </w:pPr>
      <w:r w:rsidRPr="00886363">
        <w:rPr>
          <w:u w:val="single"/>
          <w:lang w:val="en-US"/>
        </w:rPr>
        <w:t>ICAO work</w:t>
      </w:r>
      <w:r>
        <w:rPr>
          <w:lang w:val="en-US"/>
        </w:rPr>
        <w:t>: DAA manual is performance oriented and does not contain technical characteristics. DAA manual contains the following statement concerning the frequency band to be used for air to air radar:</w:t>
      </w:r>
    </w:p>
    <w:p w14:paraId="1AC8BF7F" w14:textId="1FE12A51" w:rsidR="00226565" w:rsidRPr="001D373B" w:rsidRDefault="001D373B" w:rsidP="00226565">
      <w:pPr>
        <w:pStyle w:val="3para"/>
        <w:numPr>
          <w:ilvl w:val="0"/>
          <w:numId w:val="0"/>
        </w:numPr>
        <w:rPr>
          <w:i/>
          <w:iCs/>
          <w:lang w:val="en-US"/>
        </w:rPr>
      </w:pPr>
      <w:r w:rsidRPr="001D373B">
        <w:rPr>
          <w:i/>
          <w:iCs/>
          <w:lang w:val="en-US"/>
        </w:rPr>
        <w:t>“</w:t>
      </w:r>
      <w:r w:rsidR="00226565" w:rsidRPr="001D373B">
        <w:rPr>
          <w:i/>
          <w:iCs/>
          <w:lang w:val="en-US"/>
        </w:rPr>
        <w:t xml:space="preserve">3.3.1.6 </w:t>
      </w:r>
      <w:r w:rsidR="00226565" w:rsidRPr="001D373B">
        <w:rPr>
          <w:i/>
          <w:iCs/>
          <w:lang w:val="en-US"/>
        </w:rPr>
        <w:tab/>
      </w:r>
      <w:r w:rsidR="00226565" w:rsidRPr="001D373B">
        <w:rPr>
          <w:i/>
          <w:iCs/>
          <w:lang w:val="en-US"/>
        </w:rPr>
        <w:tab/>
        <w:t>Air-to-air radar (ATAR)</w:t>
      </w:r>
    </w:p>
    <w:p w14:paraId="13E77959" w14:textId="2B9A7816" w:rsidR="00226565" w:rsidRPr="001D373B" w:rsidRDefault="00226565" w:rsidP="00226565">
      <w:pPr>
        <w:pStyle w:val="3para"/>
        <w:numPr>
          <w:ilvl w:val="0"/>
          <w:numId w:val="0"/>
        </w:numPr>
        <w:rPr>
          <w:i/>
          <w:iCs/>
          <w:lang w:val="en-US"/>
        </w:rPr>
      </w:pPr>
      <w:r w:rsidRPr="001D373B">
        <w:rPr>
          <w:i/>
          <w:iCs/>
          <w:lang w:val="en-US"/>
        </w:rPr>
        <w:t>A DAA ATAR generate tracks for all intruders, cooperative and non-cooperative, within the radar detection volume. The radar should operate within designated frequency bands of the radionavigation service (RNS) or aeronautical radionavigation service (ARNS).</w:t>
      </w:r>
    </w:p>
    <w:p w14:paraId="524A4455" w14:textId="2076BC5C" w:rsidR="007C72BF" w:rsidRPr="007C72BF" w:rsidRDefault="00226565" w:rsidP="007C72BF">
      <w:pPr>
        <w:pStyle w:val="3para"/>
        <w:numPr>
          <w:ilvl w:val="0"/>
          <w:numId w:val="0"/>
        </w:numPr>
        <w:rPr>
          <w:i/>
          <w:iCs/>
          <w:lang w:val="en-US"/>
        </w:rPr>
      </w:pPr>
      <w:proofErr w:type="gramStart"/>
      <w:r w:rsidRPr="001D373B">
        <w:rPr>
          <w:i/>
          <w:iCs/>
          <w:lang w:val="en-US"/>
        </w:rPr>
        <w:t>Note.—</w:t>
      </w:r>
      <w:proofErr w:type="gramEnd"/>
      <w:r w:rsidRPr="001D373B">
        <w:rPr>
          <w:i/>
          <w:iCs/>
          <w:lang w:val="en-US"/>
        </w:rPr>
        <w:t xml:space="preserve"> ICAO DOC 9718, Handbook on Radio Frequency Spectrum Requirements for Civil Aviation, also contains</w:t>
      </w:r>
      <w:r w:rsidR="001D373B" w:rsidRPr="001D373B">
        <w:rPr>
          <w:i/>
          <w:iCs/>
          <w:lang w:val="en-US"/>
        </w:rPr>
        <w:t xml:space="preserve"> </w:t>
      </w:r>
      <w:r w:rsidRPr="001D373B">
        <w:rPr>
          <w:i/>
          <w:iCs/>
          <w:lang w:val="en-US"/>
        </w:rPr>
        <w:t>guidance and information relevant to designers and regulators. ITU-R Report M.2204, Characteristics and spectrum</w:t>
      </w:r>
      <w:r w:rsidR="001D373B" w:rsidRPr="001D373B">
        <w:rPr>
          <w:i/>
          <w:iCs/>
          <w:lang w:val="en-US"/>
        </w:rPr>
        <w:t xml:space="preserve"> </w:t>
      </w:r>
      <w:r w:rsidRPr="001D373B">
        <w:rPr>
          <w:i/>
          <w:iCs/>
          <w:lang w:val="en-US"/>
        </w:rPr>
        <w:t>considerations for sense and avoid systems use on unmanned aircraft systems, provides details on the spectrum related</w:t>
      </w:r>
      <w:r w:rsidR="001D373B" w:rsidRPr="001D373B">
        <w:rPr>
          <w:i/>
          <w:iCs/>
          <w:lang w:val="en-US"/>
        </w:rPr>
        <w:t xml:space="preserve"> </w:t>
      </w:r>
      <w:r w:rsidRPr="001D373B">
        <w:rPr>
          <w:i/>
          <w:iCs/>
          <w:lang w:val="en-US"/>
        </w:rPr>
        <w:t>aspects of air-to-air radars.</w:t>
      </w:r>
      <w:r w:rsidR="001D373B" w:rsidRPr="001D373B">
        <w:rPr>
          <w:i/>
          <w:iCs/>
          <w:lang w:val="en-US"/>
        </w:rPr>
        <w:t>”</w:t>
      </w:r>
    </w:p>
    <w:p w14:paraId="201426EE" w14:textId="50D68F74" w:rsidR="00E01EF2" w:rsidRDefault="00E01EF2" w:rsidP="00E01EF2">
      <w:pPr>
        <w:pStyle w:val="3para"/>
        <w:rPr>
          <w:lang w:val="en-US"/>
        </w:rPr>
      </w:pPr>
      <w:r w:rsidRPr="00886363">
        <w:rPr>
          <w:u w:val="single"/>
          <w:lang w:val="en-US"/>
        </w:rPr>
        <w:t>RTCA work</w:t>
      </w:r>
      <w:r>
        <w:rPr>
          <w:lang w:val="en-US"/>
        </w:rPr>
        <w:t>: DO-366</w:t>
      </w:r>
      <w:r w:rsidR="00886363">
        <w:rPr>
          <w:lang w:val="en-US"/>
        </w:rPr>
        <w:t>A</w:t>
      </w:r>
      <w:r>
        <w:rPr>
          <w:lang w:val="en-US"/>
        </w:rPr>
        <w:t xml:space="preserve"> identifies </w:t>
      </w:r>
      <w:r w:rsidR="00886363">
        <w:rPr>
          <w:lang w:val="en-US"/>
        </w:rPr>
        <w:t>radionavigation and aeronautical radionavigation frequency bands in Table 2-4:</w:t>
      </w:r>
    </w:p>
    <w:p w14:paraId="412E13FF" w14:textId="0481EEA8" w:rsidR="00886363" w:rsidRDefault="00886363" w:rsidP="00886363">
      <w:pPr>
        <w:pStyle w:val="3para"/>
        <w:numPr>
          <w:ilvl w:val="0"/>
          <w:numId w:val="0"/>
        </w:numPr>
        <w:jc w:val="center"/>
        <w:rPr>
          <w:lang w:val="en-US"/>
        </w:rPr>
      </w:pPr>
      <w:r>
        <w:rPr>
          <w:noProof/>
        </w:rPr>
        <w:lastRenderedPageBreak/>
        <w:drawing>
          <wp:inline distT="0" distB="0" distL="0" distR="0" wp14:anchorId="07AD54CA" wp14:editId="66ABD8A6">
            <wp:extent cx="3752850" cy="2457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057" t="20792" r="9315" b="8627"/>
                    <a:stretch/>
                  </pic:blipFill>
                  <pic:spPr bwMode="auto">
                    <a:xfrm>
                      <a:off x="0" y="0"/>
                      <a:ext cx="3752850" cy="2457450"/>
                    </a:xfrm>
                    <a:prstGeom prst="rect">
                      <a:avLst/>
                    </a:prstGeom>
                    <a:ln>
                      <a:noFill/>
                    </a:ln>
                    <a:extLst>
                      <a:ext uri="{53640926-AAD7-44D8-BBD7-CCE9431645EC}">
                        <a14:shadowObscured xmlns:a14="http://schemas.microsoft.com/office/drawing/2010/main"/>
                      </a:ext>
                    </a:extLst>
                  </pic:spPr>
                </pic:pic>
              </a:graphicData>
            </a:graphic>
          </wp:inline>
        </w:drawing>
      </w:r>
    </w:p>
    <w:p w14:paraId="3A95A441" w14:textId="6D07ABF1" w:rsidR="00886363" w:rsidRDefault="00886363" w:rsidP="00886363">
      <w:pPr>
        <w:pStyle w:val="3para"/>
        <w:numPr>
          <w:ilvl w:val="0"/>
          <w:numId w:val="0"/>
        </w:numPr>
        <w:rPr>
          <w:lang w:val="en-US"/>
        </w:rPr>
      </w:pPr>
      <w:r>
        <w:rPr>
          <w:lang w:val="en-US"/>
        </w:rPr>
        <w:t>Further discussion concerning the suitability of each frequency band is given in Appendix A of DO-366A.</w:t>
      </w:r>
    </w:p>
    <w:p w14:paraId="7BBD7A96" w14:textId="77777777" w:rsidR="0001736D" w:rsidRPr="0058161F" w:rsidRDefault="00886363" w:rsidP="00906113">
      <w:pPr>
        <w:pStyle w:val="3para"/>
        <w:rPr>
          <w:lang w:val="en-US"/>
        </w:rPr>
      </w:pPr>
      <w:r w:rsidRPr="007C45F0">
        <w:rPr>
          <w:u w:val="single"/>
          <w:lang w:val="en-US"/>
        </w:rPr>
        <w:t>ITU work</w:t>
      </w:r>
      <w:r w:rsidRPr="007C45F0">
        <w:rPr>
          <w:lang w:val="en-US"/>
        </w:rPr>
        <w:t xml:space="preserve">: </w:t>
      </w:r>
      <w:r w:rsidR="007C45F0" w:rsidRPr="007C45F0">
        <w:rPr>
          <w:lang w:val="en-US"/>
        </w:rPr>
        <w:t xml:space="preserve">ITU Report M.2204 </w:t>
      </w:r>
      <w:r w:rsidR="007C45F0">
        <w:rPr>
          <w:lang w:val="en-US"/>
        </w:rPr>
        <w:t>“</w:t>
      </w:r>
      <w:r w:rsidR="007C45F0" w:rsidRPr="007C45F0">
        <w:rPr>
          <w:lang w:val="en-US"/>
        </w:rPr>
        <w:t>Characteristics and spectrum considerations for sense and avoid systems use on</w:t>
      </w:r>
      <w:r w:rsidR="007C45F0">
        <w:rPr>
          <w:lang w:val="en-US"/>
        </w:rPr>
        <w:t xml:space="preserve"> </w:t>
      </w:r>
      <w:r w:rsidR="007C45F0" w:rsidRPr="007C45F0">
        <w:rPr>
          <w:lang w:val="en-US"/>
        </w:rPr>
        <w:t>unmanned aircraft systems</w:t>
      </w:r>
      <w:r w:rsidR="007C45F0">
        <w:rPr>
          <w:lang w:val="en-US"/>
        </w:rPr>
        <w:t xml:space="preserve">” was adopted in 2010 and </w:t>
      </w:r>
      <w:r w:rsidR="00E23ADD">
        <w:rPr>
          <w:lang w:val="en-US"/>
        </w:rPr>
        <w:t xml:space="preserve">its </w:t>
      </w:r>
      <w:r w:rsidR="007C45F0">
        <w:rPr>
          <w:lang w:val="en-US"/>
        </w:rPr>
        <w:t>revis</w:t>
      </w:r>
      <w:r w:rsidR="007800BB">
        <w:rPr>
          <w:lang w:val="en-US"/>
        </w:rPr>
        <w:t>ion was considered since 201</w:t>
      </w:r>
      <w:r w:rsidR="00E23ADD">
        <w:rPr>
          <w:lang w:val="en-US"/>
        </w:rPr>
        <w:t>7</w:t>
      </w:r>
      <w:r w:rsidR="007C45F0">
        <w:rPr>
          <w:lang w:val="en-US"/>
        </w:rPr>
        <w:t xml:space="preserve">, either with an update (see </w:t>
      </w:r>
      <w:hyperlink r:id="rId13" w:history="1">
        <w:r w:rsidR="007C45F0">
          <w:rPr>
            <w:rStyle w:val="Hyperlink"/>
            <w:lang w:eastAsia="zh-CN"/>
          </w:rPr>
          <w:t>Annex 16</w:t>
        </w:r>
      </w:hyperlink>
      <w:r w:rsidR="007C45F0">
        <w:rPr>
          <w:lang w:eastAsia="zh-CN"/>
        </w:rPr>
        <w:t xml:space="preserve"> of WP 5B Chairman’s report R15-WP5B-C-712)</w:t>
      </w:r>
      <w:r w:rsidR="007C45F0">
        <w:rPr>
          <w:lang w:val="en-US"/>
        </w:rPr>
        <w:t xml:space="preserve"> or with an DAA handbook (see </w:t>
      </w:r>
      <w:hyperlink r:id="rId14" w:history="1">
        <w:r w:rsidR="007C45F0">
          <w:rPr>
            <w:rStyle w:val="Hyperlink"/>
            <w:lang w:eastAsia="zh-CN"/>
          </w:rPr>
          <w:t>Annex 33</w:t>
        </w:r>
      </w:hyperlink>
      <w:r w:rsidR="007C45F0">
        <w:rPr>
          <w:lang w:eastAsia="zh-CN"/>
        </w:rPr>
        <w:t xml:space="preserve"> of WP 5B Chairman’s report R19-WP5B-C-355)</w:t>
      </w:r>
      <w:r w:rsidR="00E23ADD">
        <w:rPr>
          <w:lang w:eastAsia="zh-CN"/>
        </w:rPr>
        <w:t xml:space="preserve"> to replace it</w:t>
      </w:r>
      <w:r w:rsidR="007C45F0">
        <w:rPr>
          <w:lang w:eastAsia="zh-CN"/>
        </w:rPr>
        <w:t xml:space="preserve">. </w:t>
      </w:r>
    </w:p>
    <w:p w14:paraId="25B13F10" w14:textId="42A40922" w:rsidR="00886363" w:rsidRPr="007C45F0" w:rsidRDefault="007C72BF" w:rsidP="0058161F">
      <w:pPr>
        <w:pStyle w:val="3para"/>
        <w:numPr>
          <w:ilvl w:val="0"/>
          <w:numId w:val="0"/>
        </w:numPr>
        <w:rPr>
          <w:lang w:val="en-US"/>
        </w:rPr>
      </w:pPr>
      <w:r>
        <w:rPr>
          <w:lang w:val="en-US"/>
        </w:rPr>
        <w:t xml:space="preserve">In addition, two </w:t>
      </w:r>
      <w:r w:rsidR="007800BB">
        <w:rPr>
          <w:lang w:val="en-US"/>
        </w:rPr>
        <w:t>draft new ITU-R R</w:t>
      </w:r>
      <w:r>
        <w:rPr>
          <w:lang w:val="en-US"/>
        </w:rPr>
        <w:t xml:space="preserve">ecommendations </w:t>
      </w:r>
      <w:r w:rsidR="0001736D">
        <w:rPr>
          <w:lang w:val="en-US"/>
        </w:rPr>
        <w:t xml:space="preserve">(R23-WP5B-C-96 respectively Annex 8 and 7) </w:t>
      </w:r>
      <w:r>
        <w:rPr>
          <w:lang w:val="en-US"/>
        </w:rPr>
        <w:t xml:space="preserve">about </w:t>
      </w:r>
      <w:r w:rsidR="0001736D">
        <w:rPr>
          <w:lang w:val="en-US"/>
        </w:rPr>
        <w:t xml:space="preserve">characteristics and protection criteria of </w:t>
      </w:r>
      <w:r>
        <w:rPr>
          <w:lang w:val="en-US"/>
        </w:rPr>
        <w:t>DAA systems in the frequency bands 15.4 – 15.7 GHz and 24.45 – 24.65 GHz are under consideration</w:t>
      </w:r>
      <w:r w:rsidR="00E23ADD">
        <w:rPr>
          <w:lang w:val="en-US"/>
        </w:rPr>
        <w:t xml:space="preserve"> within ITU-R Working Party 5B</w:t>
      </w:r>
      <w:r>
        <w:rPr>
          <w:lang w:val="en-US"/>
        </w:rPr>
        <w:t>.</w:t>
      </w:r>
      <w:r w:rsidR="00E23ADD">
        <w:rPr>
          <w:lang w:val="en-US"/>
        </w:rPr>
        <w:t xml:space="preserve"> Difficulties were expressed within ITU-R about the capability to coexist between on-board DAA operated under radionavigation service or aeronautical radionavigation and incumbent other services.</w:t>
      </w:r>
    </w:p>
    <w:p w14:paraId="348ECFD1" w14:textId="46D99EE3" w:rsidR="00B22662" w:rsidRPr="00B02DF4" w:rsidRDefault="00B22662" w:rsidP="000A6AD2">
      <w:pPr>
        <w:pStyle w:val="2para"/>
        <w:rPr>
          <w:b/>
          <w:bCs/>
          <w:lang w:val="en-US"/>
        </w:rPr>
      </w:pPr>
      <w:r w:rsidRPr="00B02DF4">
        <w:rPr>
          <w:b/>
          <w:bCs/>
          <w:lang w:val="en-US"/>
        </w:rPr>
        <w:t>Requirement on RPAS DAA frequency band</w:t>
      </w:r>
    </w:p>
    <w:p w14:paraId="50C25D1C" w14:textId="7D82F189" w:rsidR="007C72BF" w:rsidRDefault="00B02DF4" w:rsidP="007C72BF">
      <w:pPr>
        <w:pStyle w:val="3para"/>
        <w:rPr>
          <w:lang w:val="en-US"/>
        </w:rPr>
      </w:pPr>
      <w:r>
        <w:rPr>
          <w:lang w:val="en-US"/>
        </w:rPr>
        <w:t xml:space="preserve">The choice of RPAS air-to-air DAA frequency band should </w:t>
      </w:r>
      <w:proofErr w:type="gramStart"/>
      <w:r>
        <w:rPr>
          <w:lang w:val="en-US"/>
        </w:rPr>
        <w:t>take into account</w:t>
      </w:r>
      <w:proofErr w:type="gramEnd"/>
      <w:r>
        <w:rPr>
          <w:lang w:val="en-US"/>
        </w:rPr>
        <w:t xml:space="preserve"> the following considerations:</w:t>
      </w:r>
    </w:p>
    <w:p w14:paraId="67D06220" w14:textId="77777777" w:rsidR="00B02DF4" w:rsidRDefault="00B02DF4" w:rsidP="00B02DF4">
      <w:pPr>
        <w:pStyle w:val="3para"/>
        <w:numPr>
          <w:ilvl w:val="0"/>
          <w:numId w:val="8"/>
        </w:numPr>
        <w:rPr>
          <w:lang w:val="en-US"/>
        </w:rPr>
      </w:pPr>
      <w:r>
        <w:rPr>
          <w:lang w:val="en-US"/>
        </w:rPr>
        <w:t>Since the objective of the RPAS is to perform international IFR flights in non-segregated airspace, the</w:t>
      </w:r>
      <w:r w:rsidRPr="00B02DF4">
        <w:rPr>
          <w:lang w:val="en-US"/>
        </w:rPr>
        <w:t xml:space="preserve"> </w:t>
      </w:r>
      <w:r>
        <w:rPr>
          <w:lang w:val="en-US"/>
        </w:rPr>
        <w:t>RPAS air-to-air DAA frequency band should be harmonized on a worldwide basis.</w:t>
      </w:r>
    </w:p>
    <w:p w14:paraId="689A201B" w14:textId="03D35B4B" w:rsidR="00B02DF4" w:rsidRDefault="00B02DF4" w:rsidP="00B02DF4">
      <w:pPr>
        <w:pStyle w:val="3para"/>
        <w:numPr>
          <w:ilvl w:val="0"/>
          <w:numId w:val="8"/>
        </w:numPr>
        <w:rPr>
          <w:lang w:val="en-US"/>
        </w:rPr>
      </w:pPr>
      <w:r>
        <w:rPr>
          <w:lang w:val="en-US"/>
        </w:rPr>
        <w:t xml:space="preserve">Due to the inherent safety nature of DAA system, the DAA frequency band should </w:t>
      </w:r>
      <w:r w:rsidR="00DA1D9A">
        <w:rPr>
          <w:lang w:val="en-US"/>
        </w:rPr>
        <w:t xml:space="preserve">have suitable protection against harmful interference and should have an </w:t>
      </w:r>
      <w:r w:rsidR="00DA1D9A" w:rsidRPr="00DA1D9A">
        <w:rPr>
          <w:lang w:val="en-US"/>
        </w:rPr>
        <w:t>aeronautical radionavigation service (ARNS) allocation</w:t>
      </w:r>
      <w:r w:rsidR="00DA1D9A">
        <w:rPr>
          <w:lang w:val="en-US"/>
        </w:rPr>
        <w:t>.</w:t>
      </w:r>
    </w:p>
    <w:p w14:paraId="0CD5DEDC" w14:textId="03233D21" w:rsidR="00DA1D9A" w:rsidRDefault="00DA1D9A" w:rsidP="00B02DF4">
      <w:pPr>
        <w:pStyle w:val="3para"/>
        <w:numPr>
          <w:ilvl w:val="0"/>
          <w:numId w:val="8"/>
        </w:numPr>
        <w:rPr>
          <w:lang w:val="en-US"/>
        </w:rPr>
      </w:pPr>
      <w:r>
        <w:rPr>
          <w:lang w:val="en-US"/>
        </w:rPr>
        <w:t xml:space="preserve">Because of the difficulty to ensure the coexistence </w:t>
      </w:r>
      <w:r w:rsidR="00C63B83">
        <w:rPr>
          <w:lang w:val="en-US"/>
        </w:rPr>
        <w:t>with other</w:t>
      </w:r>
      <w:r>
        <w:rPr>
          <w:lang w:val="en-US"/>
        </w:rPr>
        <w:t xml:space="preserve"> system</w:t>
      </w:r>
      <w:r w:rsidR="00C63B83">
        <w:rPr>
          <w:lang w:val="en-US"/>
        </w:rPr>
        <w:t>s sharing the same frequency band</w:t>
      </w:r>
      <w:r>
        <w:rPr>
          <w:lang w:val="en-US"/>
        </w:rPr>
        <w:t xml:space="preserve"> and a safety system requiring protection in any point in space, the DAA frequency band should be </w:t>
      </w:r>
      <w:r w:rsidR="00C63B83">
        <w:rPr>
          <w:lang w:val="en-US"/>
        </w:rPr>
        <w:t xml:space="preserve">chosen </w:t>
      </w:r>
      <w:r>
        <w:rPr>
          <w:lang w:val="en-US"/>
        </w:rPr>
        <w:t>so that frequency management can be handled by civil aviation authorities</w:t>
      </w:r>
      <w:r w:rsidR="00C63B83">
        <w:rPr>
          <w:lang w:val="en-US"/>
        </w:rPr>
        <w:t xml:space="preserve"> </w:t>
      </w:r>
      <w:proofErr w:type="gramStart"/>
      <w:r w:rsidR="00C63B83">
        <w:rPr>
          <w:lang w:val="en-US"/>
        </w:rPr>
        <w:t>taking into account</w:t>
      </w:r>
      <w:proofErr w:type="gramEnd"/>
      <w:r w:rsidR="00C63B83">
        <w:rPr>
          <w:lang w:val="en-US"/>
        </w:rPr>
        <w:t xml:space="preserve"> the already deployed situation in other services</w:t>
      </w:r>
      <w:r>
        <w:rPr>
          <w:lang w:val="en-US"/>
        </w:rPr>
        <w:t>.</w:t>
      </w:r>
    </w:p>
    <w:p w14:paraId="6712F3DF" w14:textId="0296C421" w:rsidR="00B22662" w:rsidRPr="000376EB" w:rsidRDefault="00B22662" w:rsidP="000A6AD2">
      <w:pPr>
        <w:pStyle w:val="2para"/>
        <w:rPr>
          <w:b/>
          <w:bCs/>
          <w:lang w:val="en-US"/>
        </w:rPr>
      </w:pPr>
      <w:r w:rsidRPr="000376EB">
        <w:rPr>
          <w:b/>
          <w:bCs/>
          <w:lang w:val="en-US"/>
        </w:rPr>
        <w:t>Identification of suitable frequency band for RPAS DAA</w:t>
      </w:r>
    </w:p>
    <w:p w14:paraId="17C98213" w14:textId="22A74019" w:rsidR="00DA1D9A" w:rsidRDefault="00DA1D9A" w:rsidP="00DA1D9A">
      <w:pPr>
        <w:pStyle w:val="3para"/>
        <w:rPr>
          <w:lang w:val="en-US"/>
        </w:rPr>
      </w:pPr>
      <w:r>
        <w:rPr>
          <w:lang w:val="en-US"/>
        </w:rPr>
        <w:lastRenderedPageBreak/>
        <w:t xml:space="preserve">The table below recaps the constraints of the different ARNS frequency bands to support </w:t>
      </w:r>
      <w:r w:rsidR="002A7CE3">
        <w:rPr>
          <w:lang w:val="en-US"/>
        </w:rPr>
        <w:t>RPAS air-to-air DAA.</w:t>
      </w:r>
    </w:p>
    <w:tbl>
      <w:tblPr>
        <w:tblStyle w:val="TableGrid"/>
        <w:tblW w:w="0" w:type="auto"/>
        <w:tblLook w:val="04A0" w:firstRow="1" w:lastRow="0" w:firstColumn="1" w:lastColumn="0" w:noHBand="0" w:noVBand="1"/>
      </w:tblPr>
      <w:tblGrid>
        <w:gridCol w:w="1980"/>
        <w:gridCol w:w="6379"/>
        <w:gridCol w:w="1379"/>
      </w:tblGrid>
      <w:tr w:rsidR="002A7CE3" w14:paraId="6E9AF4BC" w14:textId="77777777" w:rsidTr="002A7CE3">
        <w:tc>
          <w:tcPr>
            <w:tcW w:w="1980" w:type="dxa"/>
          </w:tcPr>
          <w:p w14:paraId="2840C778" w14:textId="2227EC9D" w:rsidR="002A7CE3" w:rsidRPr="000376EB" w:rsidRDefault="002A7CE3" w:rsidP="000376EB">
            <w:pPr>
              <w:pStyle w:val="3para"/>
              <w:numPr>
                <w:ilvl w:val="0"/>
                <w:numId w:val="0"/>
              </w:numPr>
              <w:jc w:val="center"/>
              <w:rPr>
                <w:b/>
                <w:bCs/>
                <w:lang w:val="en-US"/>
              </w:rPr>
            </w:pPr>
            <w:r w:rsidRPr="000376EB">
              <w:rPr>
                <w:b/>
                <w:bCs/>
                <w:lang w:val="en-US"/>
              </w:rPr>
              <w:t>Frequency band</w:t>
            </w:r>
          </w:p>
        </w:tc>
        <w:tc>
          <w:tcPr>
            <w:tcW w:w="6379" w:type="dxa"/>
          </w:tcPr>
          <w:p w14:paraId="5831144B" w14:textId="79ECC505" w:rsidR="002A7CE3" w:rsidRPr="000376EB" w:rsidRDefault="00F71AC4" w:rsidP="000376EB">
            <w:pPr>
              <w:pStyle w:val="3para"/>
              <w:numPr>
                <w:ilvl w:val="0"/>
                <w:numId w:val="0"/>
              </w:numPr>
              <w:jc w:val="center"/>
              <w:rPr>
                <w:b/>
                <w:bCs/>
                <w:lang w:val="en-US"/>
              </w:rPr>
            </w:pPr>
            <w:r>
              <w:rPr>
                <w:b/>
                <w:bCs/>
                <w:lang w:val="en-US"/>
              </w:rPr>
              <w:t>Justifications</w:t>
            </w:r>
          </w:p>
        </w:tc>
        <w:tc>
          <w:tcPr>
            <w:tcW w:w="1379" w:type="dxa"/>
          </w:tcPr>
          <w:p w14:paraId="6DE468F2" w14:textId="0BB43DA6" w:rsidR="002A7CE3" w:rsidRPr="000376EB" w:rsidRDefault="002A7CE3" w:rsidP="000376EB">
            <w:pPr>
              <w:pStyle w:val="3para"/>
              <w:numPr>
                <w:ilvl w:val="0"/>
                <w:numId w:val="0"/>
              </w:numPr>
              <w:jc w:val="center"/>
              <w:rPr>
                <w:b/>
                <w:bCs/>
                <w:lang w:val="en-US"/>
              </w:rPr>
            </w:pPr>
            <w:r w:rsidRPr="000376EB">
              <w:rPr>
                <w:b/>
                <w:bCs/>
                <w:lang w:val="en-US"/>
              </w:rPr>
              <w:t>Suitability</w:t>
            </w:r>
          </w:p>
        </w:tc>
      </w:tr>
      <w:tr w:rsidR="002A7CE3" w14:paraId="0F158429" w14:textId="77777777" w:rsidTr="002A7CE3">
        <w:tc>
          <w:tcPr>
            <w:tcW w:w="1980" w:type="dxa"/>
          </w:tcPr>
          <w:p w14:paraId="49ABD4FF" w14:textId="153A0905" w:rsidR="002A7CE3" w:rsidRDefault="002A7CE3" w:rsidP="002A7CE3">
            <w:pPr>
              <w:pStyle w:val="3para"/>
              <w:numPr>
                <w:ilvl w:val="0"/>
                <w:numId w:val="0"/>
              </w:numPr>
              <w:rPr>
                <w:lang w:val="en-US"/>
              </w:rPr>
            </w:pPr>
            <w:r>
              <w:rPr>
                <w:lang w:val="en-US"/>
              </w:rPr>
              <w:t>4.2 – 4.4 GHz</w:t>
            </w:r>
          </w:p>
        </w:tc>
        <w:tc>
          <w:tcPr>
            <w:tcW w:w="6379" w:type="dxa"/>
          </w:tcPr>
          <w:p w14:paraId="6017087C" w14:textId="7ADA9294" w:rsidR="002A7CE3" w:rsidRDefault="002A7CE3" w:rsidP="002A7CE3">
            <w:pPr>
              <w:pStyle w:val="3para"/>
              <w:numPr>
                <w:ilvl w:val="0"/>
                <w:numId w:val="0"/>
              </w:numPr>
              <w:rPr>
                <w:lang w:val="en-US"/>
              </w:rPr>
            </w:pPr>
            <w:r>
              <w:rPr>
                <w:lang w:val="en-US"/>
              </w:rPr>
              <w:t>Already widely used for radio-altimeters and WAICs, the coexistence with DAA would not be possible</w:t>
            </w:r>
          </w:p>
        </w:tc>
        <w:tc>
          <w:tcPr>
            <w:tcW w:w="1379" w:type="dxa"/>
          </w:tcPr>
          <w:p w14:paraId="6EAD72AF" w14:textId="2DFCBB74" w:rsidR="002A7CE3" w:rsidRDefault="002A7CE3" w:rsidP="002A7CE3">
            <w:pPr>
              <w:pStyle w:val="3para"/>
              <w:numPr>
                <w:ilvl w:val="0"/>
                <w:numId w:val="0"/>
              </w:numPr>
              <w:rPr>
                <w:lang w:val="en-US"/>
              </w:rPr>
            </w:pPr>
            <w:r>
              <w:rPr>
                <w:lang w:val="en-US"/>
              </w:rPr>
              <w:t>Not suitable</w:t>
            </w:r>
          </w:p>
        </w:tc>
      </w:tr>
      <w:tr w:rsidR="002A7CE3" w14:paraId="406D5FB9" w14:textId="77777777" w:rsidTr="002A7CE3">
        <w:tc>
          <w:tcPr>
            <w:tcW w:w="1980" w:type="dxa"/>
          </w:tcPr>
          <w:p w14:paraId="477BD19D" w14:textId="29B52B3B" w:rsidR="002A7CE3" w:rsidRDefault="002A7CE3" w:rsidP="002A7CE3">
            <w:pPr>
              <w:pStyle w:val="3para"/>
              <w:numPr>
                <w:ilvl w:val="0"/>
                <w:numId w:val="0"/>
              </w:numPr>
              <w:rPr>
                <w:lang w:val="en-US"/>
              </w:rPr>
            </w:pPr>
            <w:r>
              <w:rPr>
                <w:lang w:val="en-US"/>
              </w:rPr>
              <w:t>5.35 – 5.47 GHz</w:t>
            </w:r>
          </w:p>
        </w:tc>
        <w:tc>
          <w:tcPr>
            <w:tcW w:w="6379" w:type="dxa"/>
          </w:tcPr>
          <w:p w14:paraId="74256121" w14:textId="422CBB02" w:rsidR="002A7CE3" w:rsidRDefault="002A7CE3" w:rsidP="002A7CE3">
            <w:pPr>
              <w:pStyle w:val="3para"/>
              <w:numPr>
                <w:ilvl w:val="0"/>
                <w:numId w:val="0"/>
              </w:numPr>
              <w:rPr>
                <w:lang w:val="en-US"/>
              </w:rPr>
            </w:pPr>
            <w:r>
              <w:rPr>
                <w:lang w:val="en-US"/>
              </w:rPr>
              <w:t>This frequency band is identified for on-board weather radars</w:t>
            </w:r>
            <w:r w:rsidR="00F71AC4">
              <w:rPr>
                <w:lang w:val="en-US"/>
              </w:rPr>
              <w:t>.</w:t>
            </w:r>
            <w:r>
              <w:rPr>
                <w:lang w:val="en-US"/>
              </w:rPr>
              <w:t xml:space="preserve">  </w:t>
            </w:r>
            <w:r w:rsidR="00F71AC4">
              <w:rPr>
                <w:lang w:val="en-US"/>
              </w:rPr>
              <w:t>G</w:t>
            </w:r>
            <w:r>
              <w:rPr>
                <w:lang w:val="en-US"/>
              </w:rPr>
              <w:t xml:space="preserve">round meteorological </w:t>
            </w:r>
            <w:r w:rsidR="00F52149">
              <w:rPr>
                <w:lang w:val="en-US"/>
              </w:rPr>
              <w:t xml:space="preserve">and governmental </w:t>
            </w:r>
            <w:r>
              <w:rPr>
                <w:lang w:val="en-US"/>
              </w:rPr>
              <w:t>radars</w:t>
            </w:r>
            <w:r w:rsidR="00C63B83">
              <w:rPr>
                <w:lang w:val="en-US"/>
              </w:rPr>
              <w:t xml:space="preserve"> </w:t>
            </w:r>
            <w:r w:rsidR="00F71AC4">
              <w:rPr>
                <w:lang w:val="en-US"/>
              </w:rPr>
              <w:t xml:space="preserve">are widely or planned to be deployed in that frequency band. </w:t>
            </w:r>
            <w:proofErr w:type="gramStart"/>
            <w:r w:rsidR="00F71AC4">
              <w:rPr>
                <w:lang w:val="en-US"/>
              </w:rPr>
              <w:t>Furthermore</w:t>
            </w:r>
            <w:proofErr w:type="gramEnd"/>
            <w:r w:rsidR="00C63B83">
              <w:rPr>
                <w:lang w:val="en-US"/>
              </w:rPr>
              <w:t xml:space="preserve"> Earth exploration satellite service (active)</w:t>
            </w:r>
            <w:r w:rsidR="00F71AC4">
              <w:rPr>
                <w:lang w:val="en-US"/>
              </w:rPr>
              <w:t xml:space="preserve"> operate</w:t>
            </w:r>
            <w:r w:rsidR="003D62E1">
              <w:rPr>
                <w:lang w:val="en-US"/>
              </w:rPr>
              <w:t>s</w:t>
            </w:r>
            <w:r w:rsidR="00F71AC4">
              <w:rPr>
                <w:lang w:val="en-US"/>
              </w:rPr>
              <w:t xml:space="preserve"> in this frequency band</w:t>
            </w:r>
            <w:r w:rsidR="00C63B83">
              <w:rPr>
                <w:lang w:val="en-US"/>
              </w:rPr>
              <w:t>.</w:t>
            </w:r>
            <w:r>
              <w:rPr>
                <w:lang w:val="en-US"/>
              </w:rPr>
              <w:t xml:space="preserve"> </w:t>
            </w:r>
            <w:r w:rsidR="00F71AC4">
              <w:rPr>
                <w:lang w:val="en-US"/>
              </w:rPr>
              <w:t>Due to the heavily usage</w:t>
            </w:r>
            <w:r w:rsidR="003D62E1">
              <w:rPr>
                <w:lang w:val="en-US"/>
              </w:rPr>
              <w:t>,</w:t>
            </w:r>
            <w:r w:rsidR="00C63B83">
              <w:rPr>
                <w:lang w:val="en-US"/>
              </w:rPr>
              <w:t xml:space="preserve"> </w:t>
            </w:r>
            <w:r w:rsidR="00A66181">
              <w:rPr>
                <w:lang w:val="en-US"/>
              </w:rPr>
              <w:t xml:space="preserve">significant </w:t>
            </w:r>
            <w:r w:rsidR="00D314C7">
              <w:rPr>
                <w:lang w:val="en-US"/>
              </w:rPr>
              <w:t xml:space="preserve">sharing and </w:t>
            </w:r>
            <w:r w:rsidR="00C63B83">
              <w:rPr>
                <w:lang w:val="en-US"/>
              </w:rPr>
              <w:t xml:space="preserve">compatibility challenges </w:t>
            </w:r>
            <w:r w:rsidR="00D314C7">
              <w:rPr>
                <w:lang w:val="en-US"/>
              </w:rPr>
              <w:t xml:space="preserve">already </w:t>
            </w:r>
            <w:proofErr w:type="gramStart"/>
            <w:r w:rsidR="00D314C7">
              <w:rPr>
                <w:lang w:val="en-US"/>
              </w:rPr>
              <w:t xml:space="preserve">occurs </w:t>
            </w:r>
            <w:r w:rsidR="00C63B83">
              <w:rPr>
                <w:lang w:val="en-US"/>
              </w:rPr>
              <w:t xml:space="preserve"> between</w:t>
            </w:r>
            <w:proofErr w:type="gramEnd"/>
            <w:r w:rsidR="00C63B83">
              <w:rPr>
                <w:lang w:val="en-US"/>
              </w:rPr>
              <w:t xml:space="preserve"> these systems</w:t>
            </w:r>
            <w:r>
              <w:rPr>
                <w:lang w:val="en-US"/>
              </w:rPr>
              <w:t xml:space="preserve">. Coexistence between these </w:t>
            </w:r>
            <w:r w:rsidR="00C63B83">
              <w:rPr>
                <w:lang w:val="en-US"/>
              </w:rPr>
              <w:t>systems</w:t>
            </w:r>
            <w:r>
              <w:rPr>
                <w:lang w:val="en-US"/>
              </w:rPr>
              <w:t xml:space="preserve"> and DAA would </w:t>
            </w:r>
            <w:r w:rsidR="00D314C7">
              <w:rPr>
                <w:lang w:val="en-US"/>
              </w:rPr>
              <w:t xml:space="preserve">then </w:t>
            </w:r>
            <w:r>
              <w:rPr>
                <w:lang w:val="en-US"/>
              </w:rPr>
              <w:t>not be possible.</w:t>
            </w:r>
          </w:p>
        </w:tc>
        <w:tc>
          <w:tcPr>
            <w:tcW w:w="1379" w:type="dxa"/>
          </w:tcPr>
          <w:p w14:paraId="590C1ACF" w14:textId="01585291" w:rsidR="002A7CE3" w:rsidRDefault="002A7CE3" w:rsidP="002A7CE3">
            <w:pPr>
              <w:pStyle w:val="3para"/>
              <w:numPr>
                <w:ilvl w:val="0"/>
                <w:numId w:val="0"/>
              </w:numPr>
              <w:rPr>
                <w:lang w:val="en-US"/>
              </w:rPr>
            </w:pPr>
            <w:r>
              <w:rPr>
                <w:lang w:val="en-US"/>
              </w:rPr>
              <w:t>Not suitable</w:t>
            </w:r>
          </w:p>
        </w:tc>
      </w:tr>
      <w:tr w:rsidR="002A7CE3" w14:paraId="5E93622F" w14:textId="77777777" w:rsidTr="002A7CE3">
        <w:tc>
          <w:tcPr>
            <w:tcW w:w="1980" w:type="dxa"/>
          </w:tcPr>
          <w:p w14:paraId="3EFE24F5" w14:textId="18756C7B" w:rsidR="002A7CE3" w:rsidRDefault="002A7CE3" w:rsidP="002A7CE3">
            <w:pPr>
              <w:pStyle w:val="3para"/>
              <w:numPr>
                <w:ilvl w:val="0"/>
                <w:numId w:val="0"/>
              </w:numPr>
              <w:rPr>
                <w:lang w:val="en-US"/>
              </w:rPr>
            </w:pPr>
            <w:r>
              <w:rPr>
                <w:lang w:val="en-US"/>
              </w:rPr>
              <w:t>8.75 – 8.85 GHz</w:t>
            </w:r>
          </w:p>
        </w:tc>
        <w:tc>
          <w:tcPr>
            <w:tcW w:w="6379" w:type="dxa"/>
          </w:tcPr>
          <w:p w14:paraId="36DCA24C" w14:textId="0CE5010F" w:rsidR="002A7CE3" w:rsidRDefault="00D81241" w:rsidP="002A7CE3">
            <w:pPr>
              <w:pStyle w:val="3para"/>
              <w:numPr>
                <w:ilvl w:val="0"/>
                <w:numId w:val="0"/>
              </w:numPr>
              <w:rPr>
                <w:lang w:val="en-US"/>
              </w:rPr>
            </w:pPr>
            <w:r>
              <w:rPr>
                <w:lang w:val="en-US"/>
              </w:rPr>
              <w:t xml:space="preserve">This frequency band is limited to Doppler navigation aid </w:t>
            </w:r>
            <w:proofErr w:type="spellStart"/>
            <w:r>
              <w:rPr>
                <w:lang w:val="en-US"/>
              </w:rPr>
              <w:t>centred</w:t>
            </w:r>
            <w:proofErr w:type="spellEnd"/>
            <w:r>
              <w:rPr>
                <w:lang w:val="en-US"/>
              </w:rPr>
              <w:t xml:space="preserve"> on 8.8 GHz per RR footnote 5.470. </w:t>
            </w:r>
            <w:r w:rsidR="00DD6BEE">
              <w:rPr>
                <w:lang w:val="en-US"/>
              </w:rPr>
              <w:t xml:space="preserve">However, DAA radars consider MFCW or pulse modulation which are not compatible with the Doppler restriction. </w:t>
            </w:r>
            <w:r>
              <w:rPr>
                <w:lang w:val="en-US"/>
              </w:rPr>
              <w:t xml:space="preserve">ICAO handbook indicates that this frequency band is </w:t>
            </w:r>
            <w:r w:rsidRPr="004357C3">
              <w:t>extensively used for airborne Doppler radar and ground mapping radar</w:t>
            </w:r>
            <w:r>
              <w:t>. In addition, some administrations impose that ARNS radars in this band to tolerate any interference from radiolocation service.</w:t>
            </w:r>
          </w:p>
        </w:tc>
        <w:tc>
          <w:tcPr>
            <w:tcW w:w="1379" w:type="dxa"/>
          </w:tcPr>
          <w:p w14:paraId="494B088A" w14:textId="70CCB271" w:rsidR="002A7CE3" w:rsidRDefault="00D81241" w:rsidP="002A7CE3">
            <w:pPr>
              <w:pStyle w:val="3para"/>
              <w:numPr>
                <w:ilvl w:val="0"/>
                <w:numId w:val="0"/>
              </w:numPr>
              <w:rPr>
                <w:lang w:val="en-US"/>
              </w:rPr>
            </w:pPr>
            <w:r>
              <w:rPr>
                <w:lang w:val="en-US"/>
              </w:rPr>
              <w:t>Not suitable</w:t>
            </w:r>
          </w:p>
        </w:tc>
      </w:tr>
      <w:tr w:rsidR="002A7CE3" w14:paraId="38C51C17" w14:textId="77777777" w:rsidTr="002A7CE3">
        <w:tc>
          <w:tcPr>
            <w:tcW w:w="1980" w:type="dxa"/>
          </w:tcPr>
          <w:p w14:paraId="572A8CEC" w14:textId="2937D144" w:rsidR="002A7CE3" w:rsidRDefault="002A7CE3" w:rsidP="002A7CE3">
            <w:pPr>
              <w:pStyle w:val="3para"/>
              <w:numPr>
                <w:ilvl w:val="0"/>
                <w:numId w:val="0"/>
              </w:numPr>
              <w:rPr>
                <w:lang w:val="en-US"/>
              </w:rPr>
            </w:pPr>
            <w:r>
              <w:rPr>
                <w:lang w:val="en-US"/>
              </w:rPr>
              <w:t>9.3 – 9.5 GHz</w:t>
            </w:r>
          </w:p>
        </w:tc>
        <w:tc>
          <w:tcPr>
            <w:tcW w:w="6379" w:type="dxa"/>
          </w:tcPr>
          <w:p w14:paraId="166D3080" w14:textId="490F19E9" w:rsidR="002A7CE3" w:rsidRDefault="000376EB">
            <w:pPr>
              <w:pStyle w:val="3para"/>
              <w:numPr>
                <w:ilvl w:val="0"/>
                <w:numId w:val="0"/>
              </w:numPr>
              <w:rPr>
                <w:lang w:val="en-US"/>
              </w:rPr>
            </w:pPr>
            <w:r>
              <w:rPr>
                <w:lang w:val="en-US"/>
              </w:rPr>
              <w:t>Most of on-board weather radars are deployed in this frequency band.</w:t>
            </w:r>
            <w:r w:rsidR="005101DA">
              <w:rPr>
                <w:lang w:val="en-US"/>
              </w:rPr>
              <w:t xml:space="preserve"> </w:t>
            </w:r>
            <w:r w:rsidR="00D314C7">
              <w:rPr>
                <w:lang w:val="en-US"/>
              </w:rPr>
              <w:t xml:space="preserve">This frequency band is also heavily used by governmental, aviation, maritime and weather applications. </w:t>
            </w:r>
            <w:r w:rsidR="00FB4C52">
              <w:rPr>
                <w:lang w:val="en-US"/>
              </w:rPr>
              <w:t>T</w:t>
            </w:r>
            <w:r w:rsidR="005101DA">
              <w:rPr>
                <w:lang w:val="en-US"/>
              </w:rPr>
              <w:t xml:space="preserve">here are already significant compatibility challenges faced between the systems </w:t>
            </w:r>
            <w:r w:rsidR="00FB4C52">
              <w:rPr>
                <w:lang w:val="en-US"/>
              </w:rPr>
              <w:t xml:space="preserve">operated in incumbent services </w:t>
            </w:r>
            <w:r w:rsidR="005101DA">
              <w:rPr>
                <w:lang w:val="en-US"/>
              </w:rPr>
              <w:t>allocated in the frequency band.</w:t>
            </w:r>
            <w:r>
              <w:rPr>
                <w:lang w:val="en-US"/>
              </w:rPr>
              <w:t xml:space="preserve"> </w:t>
            </w:r>
            <w:r w:rsidR="005101DA">
              <w:rPr>
                <w:lang w:val="en-US"/>
              </w:rPr>
              <w:t>Additionally, t</w:t>
            </w:r>
            <w:r>
              <w:rPr>
                <w:lang w:val="en-US"/>
              </w:rPr>
              <w:t>he deployment of two air-to-air radars on the same aircraft would be hardly achievable.</w:t>
            </w:r>
          </w:p>
        </w:tc>
        <w:tc>
          <w:tcPr>
            <w:tcW w:w="1379" w:type="dxa"/>
          </w:tcPr>
          <w:p w14:paraId="75EA4E27" w14:textId="193BB0C3" w:rsidR="002A7CE3" w:rsidRDefault="000376EB" w:rsidP="002A7CE3">
            <w:pPr>
              <w:pStyle w:val="3para"/>
              <w:numPr>
                <w:ilvl w:val="0"/>
                <w:numId w:val="0"/>
              </w:numPr>
              <w:rPr>
                <w:lang w:val="en-US"/>
              </w:rPr>
            </w:pPr>
            <w:r>
              <w:rPr>
                <w:lang w:val="en-US"/>
              </w:rPr>
              <w:t>Not suitable</w:t>
            </w:r>
          </w:p>
        </w:tc>
      </w:tr>
      <w:tr w:rsidR="002A7CE3" w14:paraId="645C2D2A" w14:textId="77777777" w:rsidTr="002A7CE3">
        <w:tc>
          <w:tcPr>
            <w:tcW w:w="1980" w:type="dxa"/>
          </w:tcPr>
          <w:p w14:paraId="7CD363D0" w14:textId="2F9C48C7" w:rsidR="002A7CE3" w:rsidRDefault="002A7CE3" w:rsidP="002A7CE3">
            <w:pPr>
              <w:pStyle w:val="3para"/>
              <w:numPr>
                <w:ilvl w:val="0"/>
                <w:numId w:val="0"/>
              </w:numPr>
              <w:rPr>
                <w:lang w:val="en-US"/>
              </w:rPr>
            </w:pPr>
            <w:r>
              <w:rPr>
                <w:lang w:val="en-US"/>
              </w:rPr>
              <w:t>13.25 – 13.4 GHz</w:t>
            </w:r>
          </w:p>
        </w:tc>
        <w:tc>
          <w:tcPr>
            <w:tcW w:w="6379" w:type="dxa"/>
          </w:tcPr>
          <w:p w14:paraId="54A90B03" w14:textId="3ECC06F1" w:rsidR="002A7CE3" w:rsidRDefault="00F52149" w:rsidP="002A7CE3">
            <w:pPr>
              <w:pStyle w:val="3para"/>
              <w:numPr>
                <w:ilvl w:val="0"/>
                <w:numId w:val="0"/>
              </w:numPr>
              <w:rPr>
                <w:lang w:val="en-US"/>
              </w:rPr>
            </w:pPr>
            <w:r>
              <w:rPr>
                <w:lang w:val="en-US"/>
              </w:rPr>
              <w:t>ARNS systems operating in this frequency band are limited to Doppler navigation aids per RR footnote 5.497.</w:t>
            </w:r>
            <w:r w:rsidR="00DD6BEE">
              <w:rPr>
                <w:lang w:val="en-US"/>
              </w:rPr>
              <w:t xml:space="preserve"> However, DAA radars consider MFCW or pulse modulation which are not compatible with the Doppler restriction.</w:t>
            </w:r>
            <w:r>
              <w:rPr>
                <w:lang w:val="en-US"/>
              </w:rPr>
              <w:t xml:space="preserve"> ICAO handbook indicates that this frequency band is </w:t>
            </w:r>
            <w:r w:rsidRPr="004357C3">
              <w:t>widely used for specialized applications such as continuous determination of ground speed and drift angle information of an aircraft with respect to the ground</w:t>
            </w:r>
            <w:r>
              <w:t>.</w:t>
            </w:r>
            <w:r>
              <w:rPr>
                <w:lang w:val="en-US"/>
              </w:rPr>
              <w:t xml:space="preserve"> In addition, this frequency band is shared with EESS (active)</w:t>
            </w:r>
            <w:r w:rsidR="00FB4C52">
              <w:rPr>
                <w:lang w:val="en-US"/>
              </w:rPr>
              <w:t xml:space="preserve"> and space research (active)</w:t>
            </w:r>
            <w:r>
              <w:rPr>
                <w:lang w:val="en-US"/>
              </w:rPr>
              <w:t>.</w:t>
            </w:r>
          </w:p>
        </w:tc>
        <w:tc>
          <w:tcPr>
            <w:tcW w:w="1379" w:type="dxa"/>
          </w:tcPr>
          <w:p w14:paraId="74185405" w14:textId="7E8640BE" w:rsidR="002A7CE3" w:rsidRDefault="00DD6BEE" w:rsidP="002A7CE3">
            <w:pPr>
              <w:pStyle w:val="3para"/>
              <w:numPr>
                <w:ilvl w:val="0"/>
                <w:numId w:val="0"/>
              </w:numPr>
              <w:rPr>
                <w:lang w:val="en-US"/>
              </w:rPr>
            </w:pPr>
            <w:r>
              <w:rPr>
                <w:lang w:val="en-US"/>
              </w:rPr>
              <w:t>Not suitable</w:t>
            </w:r>
          </w:p>
        </w:tc>
      </w:tr>
      <w:tr w:rsidR="002A7CE3" w14:paraId="4B1DE2A4" w14:textId="77777777" w:rsidTr="002A7CE3">
        <w:tc>
          <w:tcPr>
            <w:tcW w:w="1980" w:type="dxa"/>
          </w:tcPr>
          <w:p w14:paraId="3F3D8D15" w14:textId="4E2376E5" w:rsidR="002A7CE3" w:rsidRDefault="002A7CE3" w:rsidP="002A7CE3">
            <w:pPr>
              <w:pStyle w:val="3para"/>
              <w:numPr>
                <w:ilvl w:val="0"/>
                <w:numId w:val="0"/>
              </w:numPr>
              <w:rPr>
                <w:lang w:val="en-US"/>
              </w:rPr>
            </w:pPr>
            <w:r>
              <w:rPr>
                <w:lang w:val="en-US"/>
              </w:rPr>
              <w:t>15.4 – 15.7 GHz</w:t>
            </w:r>
          </w:p>
        </w:tc>
        <w:tc>
          <w:tcPr>
            <w:tcW w:w="6379" w:type="dxa"/>
          </w:tcPr>
          <w:p w14:paraId="375A3CE4" w14:textId="08A08D4E" w:rsidR="002A7CE3" w:rsidRDefault="00B12940" w:rsidP="002A7CE3">
            <w:pPr>
              <w:pStyle w:val="3para"/>
              <w:numPr>
                <w:ilvl w:val="0"/>
                <w:numId w:val="0"/>
              </w:numPr>
              <w:rPr>
                <w:lang w:val="en-US"/>
              </w:rPr>
            </w:pPr>
            <w:r>
              <w:rPr>
                <w:lang w:val="en-US"/>
              </w:rPr>
              <w:t xml:space="preserve">This frequency band is used by radiolocation </w:t>
            </w:r>
            <w:r w:rsidR="00080A07">
              <w:rPr>
                <w:lang w:val="en-US"/>
              </w:rPr>
              <w:t xml:space="preserve">with limited deployment, other </w:t>
            </w:r>
            <w:r w:rsidR="00D337C4">
              <w:rPr>
                <w:lang w:val="en-US"/>
              </w:rPr>
              <w:t xml:space="preserve">aeronautical </w:t>
            </w:r>
            <w:r w:rsidR="00080A07">
              <w:rPr>
                <w:lang w:val="en-US"/>
              </w:rPr>
              <w:t>radionavigation</w:t>
            </w:r>
            <w:r w:rsidR="00D337C4">
              <w:rPr>
                <w:lang w:val="en-US"/>
              </w:rPr>
              <w:t xml:space="preserve"> </w:t>
            </w:r>
            <w:r w:rsidR="00080A07">
              <w:rPr>
                <w:lang w:val="en-US"/>
              </w:rPr>
              <w:t xml:space="preserve">for local applications </w:t>
            </w:r>
            <w:r>
              <w:rPr>
                <w:lang w:val="en-US"/>
              </w:rPr>
              <w:t xml:space="preserve">(precision approach radar and </w:t>
            </w:r>
            <w:r w:rsidR="00D337C4">
              <w:rPr>
                <w:lang w:val="en-US"/>
              </w:rPr>
              <w:t xml:space="preserve">airport </w:t>
            </w:r>
            <w:r>
              <w:rPr>
                <w:lang w:val="en-US"/>
              </w:rPr>
              <w:t>surveillance detection system) and fixe</w:t>
            </w:r>
            <w:r w:rsidR="00D337C4">
              <w:rPr>
                <w:lang w:val="en-US"/>
              </w:rPr>
              <w:t>d</w:t>
            </w:r>
            <w:r>
              <w:rPr>
                <w:lang w:val="en-US"/>
              </w:rPr>
              <w:t xml:space="preserve"> satellite service </w:t>
            </w:r>
            <w:r w:rsidR="00533ECF">
              <w:rPr>
                <w:lang w:val="en-US"/>
              </w:rPr>
              <w:t xml:space="preserve">(FSS) </w:t>
            </w:r>
            <w:r>
              <w:rPr>
                <w:lang w:val="en-US"/>
              </w:rPr>
              <w:t>uplink</w:t>
            </w:r>
            <w:r w:rsidR="00D337C4">
              <w:rPr>
                <w:lang w:val="en-US"/>
              </w:rPr>
              <w:t xml:space="preserve"> </w:t>
            </w:r>
            <w:r w:rsidR="0001736D">
              <w:rPr>
                <w:lang w:val="en-US"/>
              </w:rPr>
              <w:t xml:space="preserve">(in a sub-band) </w:t>
            </w:r>
            <w:r w:rsidR="00D337C4">
              <w:rPr>
                <w:lang w:val="en-US"/>
              </w:rPr>
              <w:t>limited to feeder link</w:t>
            </w:r>
            <w:r w:rsidR="00533ECF">
              <w:rPr>
                <w:lang w:val="en-US"/>
              </w:rPr>
              <w:t xml:space="preserve"> stations</w:t>
            </w:r>
            <w:r>
              <w:rPr>
                <w:lang w:val="en-US"/>
              </w:rPr>
              <w:t xml:space="preserve">. The DAA </w:t>
            </w:r>
            <w:r w:rsidR="00D1165F">
              <w:rPr>
                <w:lang w:val="en-US"/>
              </w:rPr>
              <w:t xml:space="preserve">would have to comply with </w:t>
            </w:r>
            <w:r w:rsidR="00B93ED9">
              <w:rPr>
                <w:lang w:val="en-US"/>
              </w:rPr>
              <w:t xml:space="preserve">No. </w:t>
            </w:r>
            <w:r w:rsidR="00B93ED9" w:rsidRPr="00296269">
              <w:rPr>
                <w:b/>
                <w:lang w:val="en-US"/>
              </w:rPr>
              <w:t>5.511C</w:t>
            </w:r>
            <w:r w:rsidR="00B93ED9">
              <w:rPr>
                <w:lang w:val="en-US"/>
              </w:rPr>
              <w:t xml:space="preserve"> in the frequency band 15,43-15</w:t>
            </w:r>
            <w:r w:rsidR="00533ECF">
              <w:rPr>
                <w:lang w:val="en-US"/>
              </w:rPr>
              <w:t>,</w:t>
            </w:r>
            <w:r w:rsidR="00B93ED9">
              <w:rPr>
                <w:lang w:val="en-US"/>
              </w:rPr>
              <w:t xml:space="preserve">63 GHz </w:t>
            </w:r>
            <w:r>
              <w:rPr>
                <w:lang w:val="en-US"/>
              </w:rPr>
              <w:t xml:space="preserve">and </w:t>
            </w:r>
            <w:r w:rsidR="00533ECF">
              <w:rPr>
                <w:lang w:val="en-US"/>
              </w:rPr>
              <w:t>appropriate</w:t>
            </w:r>
            <w:r>
              <w:rPr>
                <w:lang w:val="en-US"/>
              </w:rPr>
              <w:t xml:space="preserve"> frequency </w:t>
            </w:r>
            <w:r>
              <w:rPr>
                <w:lang w:val="en-US"/>
              </w:rPr>
              <w:lastRenderedPageBreak/>
              <w:t xml:space="preserve">management </w:t>
            </w:r>
            <w:r w:rsidR="00533ECF">
              <w:rPr>
                <w:lang w:val="en-US"/>
              </w:rPr>
              <w:t>may address this point in the coordination area of R</w:t>
            </w:r>
            <w:r w:rsidR="003D62E1">
              <w:rPr>
                <w:lang w:val="en-US"/>
              </w:rPr>
              <w:t>P</w:t>
            </w:r>
            <w:r w:rsidR="00533ECF">
              <w:rPr>
                <w:lang w:val="en-US"/>
              </w:rPr>
              <w:t>A from FSS feeder link stations.</w:t>
            </w:r>
          </w:p>
        </w:tc>
        <w:tc>
          <w:tcPr>
            <w:tcW w:w="1379" w:type="dxa"/>
          </w:tcPr>
          <w:p w14:paraId="1BDEBDA3" w14:textId="2AA0DF41" w:rsidR="002A7CE3" w:rsidRDefault="00B12940" w:rsidP="002A7CE3">
            <w:pPr>
              <w:pStyle w:val="3para"/>
              <w:numPr>
                <w:ilvl w:val="0"/>
                <w:numId w:val="0"/>
              </w:numPr>
              <w:rPr>
                <w:lang w:val="en-US"/>
              </w:rPr>
            </w:pPr>
            <w:r>
              <w:rPr>
                <w:lang w:val="en-US"/>
              </w:rPr>
              <w:lastRenderedPageBreak/>
              <w:t>Suitable</w:t>
            </w:r>
          </w:p>
        </w:tc>
      </w:tr>
      <w:tr w:rsidR="002A7CE3" w14:paraId="35A45514" w14:textId="77777777" w:rsidTr="002A7CE3">
        <w:tc>
          <w:tcPr>
            <w:tcW w:w="1980" w:type="dxa"/>
          </w:tcPr>
          <w:p w14:paraId="548C91E8" w14:textId="731DEC73" w:rsidR="002A7CE3" w:rsidRDefault="002A7CE3" w:rsidP="002A7CE3">
            <w:pPr>
              <w:pStyle w:val="3para"/>
              <w:numPr>
                <w:ilvl w:val="0"/>
                <w:numId w:val="0"/>
              </w:numPr>
              <w:rPr>
                <w:lang w:val="en-US"/>
              </w:rPr>
            </w:pPr>
            <w:r>
              <w:rPr>
                <w:lang w:val="en-US"/>
              </w:rPr>
              <w:t>24.45 – 24.65 GHz</w:t>
            </w:r>
          </w:p>
        </w:tc>
        <w:tc>
          <w:tcPr>
            <w:tcW w:w="6379" w:type="dxa"/>
          </w:tcPr>
          <w:p w14:paraId="2FC65370" w14:textId="2AFF1E5A" w:rsidR="002A7CE3" w:rsidRDefault="000376EB" w:rsidP="002A7CE3">
            <w:pPr>
              <w:pStyle w:val="3para"/>
              <w:numPr>
                <w:ilvl w:val="0"/>
                <w:numId w:val="0"/>
              </w:numPr>
              <w:rPr>
                <w:lang w:val="en-US"/>
              </w:rPr>
            </w:pPr>
            <w:r>
              <w:rPr>
                <w:lang w:val="en-US"/>
              </w:rPr>
              <w:t>This frequency band is not allocated to ARNS in Region 1, preventing to perform RPAS flight from/to</w:t>
            </w:r>
            <w:r w:rsidR="0001736D">
              <w:rPr>
                <w:lang w:val="en-US"/>
              </w:rPr>
              <w:t>/into</w:t>
            </w:r>
            <w:r>
              <w:rPr>
                <w:lang w:val="en-US"/>
              </w:rPr>
              <w:t xml:space="preserve"> this region.</w:t>
            </w:r>
          </w:p>
        </w:tc>
        <w:tc>
          <w:tcPr>
            <w:tcW w:w="1379" w:type="dxa"/>
          </w:tcPr>
          <w:p w14:paraId="667BC794" w14:textId="76EC96E6" w:rsidR="002A7CE3" w:rsidRDefault="000376EB" w:rsidP="002A7CE3">
            <w:pPr>
              <w:pStyle w:val="3para"/>
              <w:numPr>
                <w:ilvl w:val="0"/>
                <w:numId w:val="0"/>
              </w:numPr>
              <w:rPr>
                <w:lang w:val="en-US"/>
              </w:rPr>
            </w:pPr>
            <w:r>
              <w:rPr>
                <w:lang w:val="en-US"/>
              </w:rPr>
              <w:t>Not suitable</w:t>
            </w:r>
          </w:p>
        </w:tc>
      </w:tr>
      <w:tr w:rsidR="002A7CE3" w14:paraId="1B4CFD5A" w14:textId="77777777" w:rsidTr="002A7CE3">
        <w:tc>
          <w:tcPr>
            <w:tcW w:w="1980" w:type="dxa"/>
          </w:tcPr>
          <w:p w14:paraId="2C02A59E" w14:textId="2E319CC3" w:rsidR="002A7CE3" w:rsidRDefault="002A7CE3" w:rsidP="002A7CE3">
            <w:pPr>
              <w:pStyle w:val="3para"/>
              <w:numPr>
                <w:ilvl w:val="0"/>
                <w:numId w:val="0"/>
              </w:numPr>
              <w:rPr>
                <w:lang w:val="en-US"/>
              </w:rPr>
            </w:pPr>
            <w:r>
              <w:rPr>
                <w:lang w:val="en-US"/>
              </w:rPr>
              <w:t>32.3 – 3</w:t>
            </w:r>
            <w:r w:rsidR="00080A07">
              <w:rPr>
                <w:lang w:val="en-US"/>
              </w:rPr>
              <w:t>3</w:t>
            </w:r>
            <w:r>
              <w:rPr>
                <w:lang w:val="en-US"/>
              </w:rPr>
              <w:t>.4 GHz</w:t>
            </w:r>
          </w:p>
        </w:tc>
        <w:tc>
          <w:tcPr>
            <w:tcW w:w="6379" w:type="dxa"/>
          </w:tcPr>
          <w:p w14:paraId="7C9868D6" w14:textId="4057B1F2" w:rsidR="002A7CE3" w:rsidRDefault="000376EB">
            <w:pPr>
              <w:pStyle w:val="3para"/>
              <w:numPr>
                <w:ilvl w:val="0"/>
                <w:numId w:val="0"/>
              </w:numPr>
              <w:rPr>
                <w:lang w:val="en-US"/>
              </w:rPr>
            </w:pPr>
            <w:r>
              <w:rPr>
                <w:lang w:val="en-US"/>
              </w:rPr>
              <w:t>This frequency band should be shared with maritime and land based radionavigation, as well as with the fixe</w:t>
            </w:r>
            <w:r w:rsidR="00D337C4">
              <w:rPr>
                <w:lang w:val="en-US"/>
              </w:rPr>
              <w:t>d</w:t>
            </w:r>
            <w:r>
              <w:rPr>
                <w:lang w:val="en-US"/>
              </w:rPr>
              <w:t xml:space="preserve"> </w:t>
            </w:r>
            <w:r w:rsidR="00080A07">
              <w:rPr>
                <w:lang w:val="en-US"/>
              </w:rPr>
              <w:t>(</w:t>
            </w:r>
            <w:r w:rsidR="002E38FD">
              <w:rPr>
                <w:lang w:val="en-US"/>
              </w:rPr>
              <w:t xml:space="preserve">for </w:t>
            </w:r>
            <w:r w:rsidR="00080A07">
              <w:rPr>
                <w:lang w:val="en-US"/>
              </w:rPr>
              <w:t xml:space="preserve">high density application </w:t>
            </w:r>
            <w:r w:rsidR="002E38FD">
              <w:rPr>
                <w:lang w:val="en-US"/>
              </w:rPr>
              <w:t xml:space="preserve">in accordance </w:t>
            </w:r>
            <w:r w:rsidR="00080A07">
              <w:rPr>
                <w:lang w:val="en-US"/>
              </w:rPr>
              <w:t xml:space="preserve">No. </w:t>
            </w:r>
            <w:r w:rsidR="00080A07" w:rsidRPr="00296269">
              <w:rPr>
                <w:b/>
                <w:lang w:val="en-US"/>
              </w:rPr>
              <w:t>5.547</w:t>
            </w:r>
            <w:r w:rsidR="00080A07">
              <w:rPr>
                <w:lang w:val="en-US"/>
              </w:rPr>
              <w:t xml:space="preserve">) </w:t>
            </w:r>
            <w:r>
              <w:rPr>
                <w:lang w:val="en-US"/>
              </w:rPr>
              <w:t xml:space="preserve">and inter-satellite services. In addition, this frequency band is the main candidate to support </w:t>
            </w:r>
            <w:r w:rsidR="00F52149">
              <w:rPr>
                <w:lang w:val="en-US"/>
              </w:rPr>
              <w:t>EFVS</w:t>
            </w:r>
            <w:r w:rsidR="00080A07">
              <w:rPr>
                <w:lang w:val="en-US"/>
              </w:rPr>
              <w:t xml:space="preserve"> that coordinates with fixed service in vicinity of </w:t>
            </w:r>
            <w:proofErr w:type="spellStart"/>
            <w:proofErr w:type="gramStart"/>
            <w:r w:rsidR="00080A07">
              <w:rPr>
                <w:lang w:val="en-US"/>
              </w:rPr>
              <w:t>air</w:t>
            </w:r>
            <w:r w:rsidR="002E38FD">
              <w:rPr>
                <w:lang w:val="en-US"/>
              </w:rPr>
              <w:t>ports</w:t>
            </w:r>
            <w:r w:rsidR="00F52149">
              <w:rPr>
                <w:lang w:val="en-US"/>
              </w:rPr>
              <w:t>.</w:t>
            </w:r>
            <w:r w:rsidR="002E38FD">
              <w:rPr>
                <w:lang w:val="en-US"/>
              </w:rPr>
              <w:t>The</w:t>
            </w:r>
            <w:proofErr w:type="spellEnd"/>
            <w:proofErr w:type="gramEnd"/>
            <w:r w:rsidR="002E38FD">
              <w:rPr>
                <w:lang w:val="en-US"/>
              </w:rPr>
              <w:t xml:space="preserve"> coordination for on-board DAA with fixed service would not </w:t>
            </w:r>
            <w:r w:rsidR="00D314C7">
              <w:rPr>
                <w:lang w:val="en-US"/>
              </w:rPr>
              <w:t>be possible</w:t>
            </w:r>
            <w:r w:rsidR="002E38FD">
              <w:rPr>
                <w:lang w:val="en-US"/>
              </w:rPr>
              <w:t xml:space="preserve">. </w:t>
            </w:r>
          </w:p>
        </w:tc>
        <w:tc>
          <w:tcPr>
            <w:tcW w:w="1379" w:type="dxa"/>
          </w:tcPr>
          <w:p w14:paraId="7DFAD868" w14:textId="65F73A62" w:rsidR="002A7CE3" w:rsidRDefault="00F52149" w:rsidP="002A7CE3">
            <w:pPr>
              <w:pStyle w:val="3para"/>
              <w:numPr>
                <w:ilvl w:val="0"/>
                <w:numId w:val="0"/>
              </w:numPr>
              <w:rPr>
                <w:lang w:val="en-US"/>
              </w:rPr>
            </w:pPr>
            <w:r>
              <w:rPr>
                <w:lang w:val="en-US"/>
              </w:rPr>
              <w:t>Not suitable</w:t>
            </w:r>
          </w:p>
        </w:tc>
      </w:tr>
    </w:tbl>
    <w:p w14:paraId="69F05757" w14:textId="77777777" w:rsidR="002A7CE3" w:rsidRDefault="002A7CE3" w:rsidP="002A7CE3">
      <w:pPr>
        <w:pStyle w:val="3para"/>
        <w:numPr>
          <w:ilvl w:val="0"/>
          <w:numId w:val="0"/>
        </w:numPr>
        <w:rPr>
          <w:lang w:val="en-US"/>
        </w:rPr>
      </w:pPr>
    </w:p>
    <w:p w14:paraId="53A3E693" w14:textId="496BB9DE" w:rsidR="002A7CE3" w:rsidRPr="00032308" w:rsidRDefault="00B12940" w:rsidP="00DA1D9A">
      <w:pPr>
        <w:pStyle w:val="3para"/>
        <w:rPr>
          <w:lang w:val="en-US"/>
        </w:rPr>
      </w:pPr>
      <w:r>
        <w:rPr>
          <w:lang w:val="en-US"/>
        </w:rPr>
        <w:t xml:space="preserve">Since the frequency band 15.4 – 15.7 GHz frequency band </w:t>
      </w:r>
      <w:r w:rsidR="002670AE">
        <w:rPr>
          <w:lang w:val="en-US"/>
        </w:rPr>
        <w:t>seems to be</w:t>
      </w:r>
      <w:r>
        <w:rPr>
          <w:lang w:val="en-US"/>
        </w:rPr>
        <w:t xml:space="preserve"> the best candidate to support </w:t>
      </w:r>
      <w:r w:rsidR="0001736D">
        <w:rPr>
          <w:lang w:val="en-US"/>
        </w:rPr>
        <w:t xml:space="preserve">worldwide </w:t>
      </w:r>
      <w:r>
        <w:rPr>
          <w:lang w:val="en-US"/>
        </w:rPr>
        <w:t xml:space="preserve">RPAS </w:t>
      </w:r>
      <w:r w:rsidR="00533ECF">
        <w:rPr>
          <w:lang w:val="en-US"/>
        </w:rPr>
        <w:t xml:space="preserve">on-board </w:t>
      </w:r>
      <w:r>
        <w:rPr>
          <w:lang w:val="en-US"/>
        </w:rPr>
        <w:t xml:space="preserve">DAA, it is proposed to first focus on this frequency band to assess its capability to fulfill RPAS </w:t>
      </w:r>
      <w:r w:rsidR="00533ECF">
        <w:rPr>
          <w:lang w:val="en-US"/>
        </w:rPr>
        <w:t>on-bo</w:t>
      </w:r>
      <w:r w:rsidR="003D62E1">
        <w:rPr>
          <w:lang w:val="en-US"/>
        </w:rPr>
        <w:t>a</w:t>
      </w:r>
      <w:r w:rsidR="00533ECF">
        <w:rPr>
          <w:lang w:val="en-US"/>
        </w:rPr>
        <w:t xml:space="preserve">rd </w:t>
      </w:r>
      <w:r>
        <w:rPr>
          <w:lang w:val="en-US"/>
        </w:rPr>
        <w:t>DAA needs.</w:t>
      </w:r>
    </w:p>
    <w:p w14:paraId="025B2F3E" w14:textId="77777777" w:rsidR="00770160" w:rsidRPr="00032308" w:rsidRDefault="00770160">
      <w:pPr>
        <w:pStyle w:val="1Heading"/>
        <w:rPr>
          <w:lang w:val="en-US"/>
        </w:rPr>
      </w:pPr>
      <w:r w:rsidRPr="00032308">
        <w:rPr>
          <w:lang w:val="en-US"/>
        </w:rPr>
        <w:t>ACTION BY THE MEETING</w:t>
      </w:r>
    </w:p>
    <w:p w14:paraId="7F300203" w14:textId="77777777" w:rsidR="00770160" w:rsidRPr="00032308" w:rsidRDefault="00770160">
      <w:pPr>
        <w:pStyle w:val="2para"/>
        <w:rPr>
          <w:lang w:val="en-US"/>
        </w:rPr>
      </w:pPr>
      <w:r w:rsidRPr="00032308">
        <w:rPr>
          <w:lang w:val="en-US"/>
        </w:rPr>
        <w:t>The meeting is invited to:</w:t>
      </w:r>
    </w:p>
    <w:p w14:paraId="6FCA1889" w14:textId="77777777" w:rsidR="00770160" w:rsidRPr="00032308" w:rsidRDefault="00770160">
      <w:pPr>
        <w:pStyle w:val="Listabc"/>
        <w:rPr>
          <w:noProof w:val="0"/>
          <w:lang w:val="en-US"/>
        </w:rPr>
      </w:pPr>
      <w:r w:rsidRPr="00032308">
        <w:rPr>
          <w:noProof w:val="0"/>
          <w:lang w:val="en-US"/>
        </w:rPr>
        <w:t>note and review the contents of this working paper;</w:t>
      </w:r>
    </w:p>
    <w:p w14:paraId="0F396F6D" w14:textId="1F10269C" w:rsidR="000A6AD2" w:rsidRPr="00032308" w:rsidRDefault="000A6AD2">
      <w:pPr>
        <w:pStyle w:val="Listabc"/>
        <w:rPr>
          <w:noProof w:val="0"/>
          <w:lang w:val="en-US"/>
        </w:rPr>
      </w:pPr>
      <w:r w:rsidRPr="00032308">
        <w:rPr>
          <w:noProof w:val="0"/>
          <w:lang w:val="en-US"/>
        </w:rPr>
        <w:t xml:space="preserve">Agree to </w:t>
      </w:r>
      <w:r w:rsidR="00032308" w:rsidRPr="00032308">
        <w:rPr>
          <w:noProof w:val="0"/>
          <w:lang w:val="en-US"/>
        </w:rPr>
        <w:t>start the analysis on the deployment of on-board DAA radars in the 15.4 – 15.7 GHz frequency band.</w:t>
      </w:r>
    </w:p>
    <w:p w14:paraId="371C42D2" w14:textId="4C0825E2" w:rsidR="00770160" w:rsidRPr="00032308" w:rsidRDefault="000A6AD2">
      <w:pPr>
        <w:pStyle w:val="Listabc"/>
        <w:rPr>
          <w:noProof w:val="0"/>
          <w:lang w:val="en-US"/>
        </w:rPr>
      </w:pPr>
      <w:r w:rsidRPr="00032308">
        <w:rPr>
          <w:noProof w:val="0"/>
          <w:lang w:val="en-US"/>
        </w:rPr>
        <w:t>adopt an action as</w:t>
      </w:r>
      <w:r w:rsidR="0001736D">
        <w:rPr>
          <w:noProof w:val="0"/>
          <w:lang w:val="en-US"/>
        </w:rPr>
        <w:t>k</w:t>
      </w:r>
      <w:r w:rsidRPr="00032308">
        <w:rPr>
          <w:noProof w:val="0"/>
          <w:lang w:val="en-US"/>
        </w:rPr>
        <w:t xml:space="preserve">ing participants to provide operational and technical characteristics of ASDE </w:t>
      </w:r>
      <w:r w:rsidR="00032308" w:rsidRPr="00032308">
        <w:rPr>
          <w:noProof w:val="0"/>
          <w:lang w:val="en-US"/>
        </w:rPr>
        <w:t>radars and p</w:t>
      </w:r>
      <w:r w:rsidR="00CE2E6C">
        <w:rPr>
          <w:noProof w:val="0"/>
          <w:lang w:val="en-US"/>
        </w:rPr>
        <w:t xml:space="preserve">recision approach </w:t>
      </w:r>
      <w:r w:rsidR="00032308" w:rsidRPr="00032308">
        <w:rPr>
          <w:noProof w:val="0"/>
          <w:lang w:val="en-US"/>
        </w:rPr>
        <w:t>radars</w:t>
      </w:r>
      <w:r w:rsidRPr="00032308">
        <w:rPr>
          <w:noProof w:val="0"/>
          <w:lang w:val="en-US"/>
        </w:rPr>
        <w:t xml:space="preserve"> operating in the 15.4 – 15.7 GHz frequency </w:t>
      </w:r>
      <w:proofErr w:type="gramStart"/>
      <w:r w:rsidRPr="00032308">
        <w:rPr>
          <w:noProof w:val="0"/>
          <w:lang w:val="en-US"/>
        </w:rPr>
        <w:t>band</w:t>
      </w:r>
      <w:r w:rsidR="00032308" w:rsidRPr="00032308">
        <w:rPr>
          <w:noProof w:val="0"/>
          <w:lang w:val="en-US"/>
        </w:rPr>
        <w:t>;</w:t>
      </w:r>
      <w:proofErr w:type="gramEnd"/>
    </w:p>
    <w:p w14:paraId="523C404A" w14:textId="1501E061" w:rsidR="00423C6F" w:rsidRPr="00032308" w:rsidRDefault="00032308" w:rsidP="00F56F90">
      <w:pPr>
        <w:pStyle w:val="Listabc"/>
        <w:rPr>
          <w:noProof w:val="0"/>
          <w:lang w:val="en-US"/>
        </w:rPr>
      </w:pPr>
      <w:r w:rsidRPr="00032308">
        <w:rPr>
          <w:noProof w:val="0"/>
          <w:lang w:val="en-US"/>
        </w:rPr>
        <w:t>Lia</w:t>
      </w:r>
      <w:r w:rsidR="00D87327">
        <w:rPr>
          <w:noProof w:val="0"/>
          <w:lang w:val="en-US"/>
        </w:rPr>
        <w:t>i</w:t>
      </w:r>
      <w:r w:rsidRPr="00032308">
        <w:rPr>
          <w:noProof w:val="0"/>
          <w:lang w:val="en-US"/>
        </w:rPr>
        <w:t xml:space="preserve">se </w:t>
      </w:r>
      <w:r w:rsidR="00D87327">
        <w:rPr>
          <w:noProof w:val="0"/>
          <w:lang w:val="en-US"/>
        </w:rPr>
        <w:t>to</w:t>
      </w:r>
      <w:r w:rsidRPr="00032308">
        <w:rPr>
          <w:noProof w:val="0"/>
          <w:lang w:val="en-US"/>
        </w:rPr>
        <w:t xml:space="preserve"> Surveillance Panel regarding the above </w:t>
      </w:r>
      <w:proofErr w:type="spellStart"/>
      <w:r w:rsidRPr="00032308">
        <w:rPr>
          <w:noProof w:val="0"/>
          <w:lang w:val="en-US"/>
        </w:rPr>
        <w:t>mentionned</w:t>
      </w:r>
      <w:proofErr w:type="spellEnd"/>
      <w:r w:rsidRPr="00032308">
        <w:rPr>
          <w:noProof w:val="0"/>
          <w:lang w:val="en-US"/>
        </w:rPr>
        <w:t xml:space="preserve"> </w:t>
      </w:r>
      <w:proofErr w:type="gramStart"/>
      <w:r w:rsidRPr="00032308">
        <w:rPr>
          <w:noProof w:val="0"/>
          <w:lang w:val="en-US"/>
        </w:rPr>
        <w:t>action;</w:t>
      </w:r>
      <w:proofErr w:type="gramEnd"/>
    </w:p>
    <w:p w14:paraId="28FFAEB8" w14:textId="04099F1E" w:rsidR="00032308" w:rsidRPr="00032308" w:rsidRDefault="00032308" w:rsidP="00F56F90">
      <w:pPr>
        <w:pStyle w:val="Listabc"/>
        <w:rPr>
          <w:noProof w:val="0"/>
          <w:lang w:val="en-US"/>
        </w:rPr>
      </w:pPr>
      <w:r w:rsidRPr="00032308">
        <w:rPr>
          <w:noProof w:val="0"/>
          <w:lang w:val="en-US"/>
        </w:rPr>
        <w:t>Lia</w:t>
      </w:r>
      <w:r w:rsidR="00D87327">
        <w:rPr>
          <w:noProof w:val="0"/>
          <w:lang w:val="en-US"/>
        </w:rPr>
        <w:t>i</w:t>
      </w:r>
      <w:r w:rsidRPr="00032308">
        <w:rPr>
          <w:noProof w:val="0"/>
          <w:lang w:val="en-US"/>
        </w:rPr>
        <w:t xml:space="preserve">se </w:t>
      </w:r>
      <w:r w:rsidR="00D87327">
        <w:rPr>
          <w:noProof w:val="0"/>
          <w:lang w:val="en-US"/>
        </w:rPr>
        <w:t>to</w:t>
      </w:r>
      <w:r w:rsidRPr="00032308">
        <w:rPr>
          <w:noProof w:val="0"/>
          <w:lang w:val="en-US"/>
        </w:rPr>
        <w:t xml:space="preserve"> RPAS Panel </w:t>
      </w:r>
      <w:proofErr w:type="gramStart"/>
      <w:r w:rsidRPr="00032308">
        <w:rPr>
          <w:noProof w:val="0"/>
          <w:lang w:val="en-US"/>
        </w:rPr>
        <w:t>in order to</w:t>
      </w:r>
      <w:proofErr w:type="gramEnd"/>
      <w:r w:rsidRPr="00032308">
        <w:rPr>
          <w:noProof w:val="0"/>
          <w:lang w:val="en-US"/>
        </w:rPr>
        <w:t xml:space="preserve"> get technical characteristics of on-board DAA radars. </w:t>
      </w:r>
    </w:p>
    <w:p w14:paraId="6C7B3417" w14:textId="77777777" w:rsidR="00E5621A" w:rsidRPr="00032308" w:rsidRDefault="00E5621A" w:rsidP="00423C6F">
      <w:pPr>
        <w:pStyle w:val="Listabc"/>
        <w:numPr>
          <w:ilvl w:val="0"/>
          <w:numId w:val="0"/>
        </w:numPr>
        <w:rPr>
          <w:noProof w:val="0"/>
          <w:lang w:val="en-US"/>
        </w:rPr>
      </w:pPr>
    </w:p>
    <w:p w14:paraId="4D8A550F" w14:textId="77777777" w:rsidR="00A12CBA" w:rsidRPr="00032308" w:rsidRDefault="00770160" w:rsidP="00E91DF2">
      <w:pPr>
        <w:spacing w:before="600"/>
        <w:jc w:val="center"/>
        <w:rPr>
          <w:lang w:val="en-US"/>
        </w:rPr>
      </w:pPr>
      <w:r w:rsidRPr="00032308">
        <w:rPr>
          <w:lang w:val="en-US"/>
        </w:rPr>
        <w:t>— END —</w:t>
      </w:r>
    </w:p>
    <w:sectPr w:rsidR="00A12CBA" w:rsidRPr="00032308">
      <w:headerReference w:type="even" r:id="rId15"/>
      <w:headerReference w:type="default" r:id="rId16"/>
      <w:footerReference w:type="even" r:id="rId17"/>
      <w:footerReference w:type="default" r:id="rId18"/>
      <w:headerReference w:type="first" r:id="rId19"/>
      <w:footerReference w:type="first" r:id="rId20"/>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71AF1" w14:textId="77777777" w:rsidR="008850BB" w:rsidRDefault="008850BB">
      <w:r>
        <w:separator/>
      </w:r>
    </w:p>
  </w:endnote>
  <w:endnote w:type="continuationSeparator" w:id="0">
    <w:p w14:paraId="0F7362E9" w14:textId="77777777" w:rsidR="008850BB" w:rsidRDefault="0088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0A578" w14:textId="77777777" w:rsidR="00CA05A9" w:rsidRDefault="00CA0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106BA" w14:textId="77777777" w:rsidR="00CA05A9" w:rsidRDefault="00CA0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723F"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400681DA" w14:textId="202E5916" w:rsidR="00770160" w:rsidRPr="00BC4CD0" w:rsidRDefault="00770160">
    <w:pPr>
      <w:pStyle w:val="Footer"/>
      <w:rPr>
        <w:lang w:val="en-CA"/>
      </w:rPr>
    </w:pPr>
    <w:r>
      <w:rPr>
        <w:sz w:val="18"/>
        <w:lang w:val="en-US"/>
      </w:rPr>
      <w:fldChar w:fldCharType="begin"/>
    </w:r>
    <w:r w:rsidRPr="00BC4CD0">
      <w:rPr>
        <w:sz w:val="18"/>
        <w:lang w:val="en-CA"/>
      </w:rPr>
      <w:instrText xml:space="preserve"> FILENAME  \* MERGEFORMAT </w:instrText>
    </w:r>
    <w:r>
      <w:rPr>
        <w:sz w:val="18"/>
        <w:lang w:val="en-US"/>
      </w:rPr>
      <w:fldChar w:fldCharType="separate"/>
    </w:r>
    <w:r w:rsidR="00BC4CD0" w:rsidRPr="00BC4CD0">
      <w:rPr>
        <w:noProof/>
        <w:sz w:val="18"/>
        <w:lang w:val="en-CA"/>
      </w:rPr>
      <w:t>FSMP-WG19-WP21_DAA_frequency.docx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06E5A" w14:textId="77777777" w:rsidR="008850BB" w:rsidRDefault="008850BB">
      <w:r>
        <w:separator/>
      </w:r>
    </w:p>
  </w:footnote>
  <w:footnote w:type="continuationSeparator" w:id="0">
    <w:p w14:paraId="795E8FE1" w14:textId="77777777" w:rsidR="008850BB" w:rsidRDefault="0088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6CC9" w14:textId="3E84E885" w:rsidR="00770160" w:rsidRDefault="000D26D5" w:rsidP="00F56F90">
    <w:pPr>
      <w:tabs>
        <w:tab w:val="center" w:pos="4876"/>
      </w:tabs>
      <w:spacing w:after="600"/>
    </w:pPr>
    <w:r>
      <w:t>FS</w:t>
    </w:r>
    <w:r w:rsidR="00725205">
      <w:t>MP</w:t>
    </w:r>
    <w:r w:rsidR="007E6A06">
      <w:t>-WG</w:t>
    </w:r>
    <w:r w:rsidR="00770160">
      <w:t>/</w:t>
    </w:r>
    <w:r w:rsidR="00C32F4A">
      <w:t>1</w:t>
    </w:r>
    <w:r w:rsidR="0020272F">
      <w:t>9</w:t>
    </w:r>
    <w:r w:rsidR="00FC389A">
      <w:t>-</w:t>
    </w:r>
    <w:r w:rsidR="00770160">
      <w:t>WP/</w:t>
    </w:r>
    <w:r w:rsidR="00BC4CD0">
      <w:t>21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F01D4" w14:textId="11D4D30B"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BC4CD0" w:rsidRPr="00BC4CD0">
      <w:t>FSMP-WG/19-WP/21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E37BDD8" w14:textId="77777777" w:rsidTr="00664C07">
      <w:trPr>
        <w:trHeight w:val="1790"/>
      </w:trPr>
      <w:tc>
        <w:tcPr>
          <w:tcW w:w="1915" w:type="dxa"/>
          <w:shd w:val="clear" w:color="auto" w:fill="FFFFFF"/>
        </w:tcPr>
        <w:p w14:paraId="42CDDEB4" w14:textId="2CCCB2DE" w:rsidR="00920C27" w:rsidRDefault="003C75D1" w:rsidP="00664C07">
          <w:bookmarkStart w:id="1" w:name="logo"/>
          <w:r w:rsidRPr="00484298">
            <w:rPr>
              <w:noProof/>
              <w:lang w:eastAsia="zh-CN"/>
            </w:rPr>
            <w:drawing>
              <wp:inline distT="0" distB="0" distL="0" distR="0" wp14:anchorId="4165598E" wp14:editId="7C0A28D0">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6EE57050" w14:textId="3FF2E5D2" w:rsidR="00920C27" w:rsidRPr="00066AB7" w:rsidRDefault="003C75D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8297500" wp14:editId="7E09258F">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7A21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3128D7E"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9CB1249" w14:textId="77777777" w:rsidR="00920C27" w:rsidRPr="00066AB7" w:rsidRDefault="00920C27" w:rsidP="00664C07">
          <w:pPr>
            <w:rPr>
              <w:rFonts w:ascii="Arial" w:hAnsi="Arial" w:cs="Arial"/>
              <w:szCs w:val="22"/>
            </w:rPr>
          </w:pPr>
        </w:p>
        <w:p w14:paraId="6E894991"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5B063F1" w14:textId="77777777" w:rsidTr="00664C07">
            <w:trPr>
              <w:jc w:val="right"/>
            </w:trPr>
            <w:tc>
              <w:tcPr>
                <w:tcW w:w="0" w:type="auto"/>
              </w:tcPr>
              <w:p w14:paraId="23D831B8" w14:textId="3C5F003B" w:rsidR="00920C27" w:rsidRPr="00066AB7" w:rsidRDefault="000D26D5" w:rsidP="00BC4CD0">
                <w:pPr>
                  <w:framePr w:hSpace="180" w:wrap="around" w:vAnchor="text" w:hAnchor="text" w:y="1"/>
                  <w:suppressOverlap/>
                  <w:jc w:val="left"/>
                  <w:rPr>
                    <w:szCs w:val="22"/>
                  </w:rPr>
                </w:pPr>
                <w:bookmarkStart w:id="2"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20272F">
                  <w:rPr>
                    <w:szCs w:val="22"/>
                  </w:rPr>
                  <w:t>9</w:t>
                </w:r>
                <w:r w:rsidR="00FC389A">
                  <w:rPr>
                    <w:szCs w:val="22"/>
                  </w:rPr>
                  <w:t>-</w:t>
                </w:r>
                <w:r w:rsidR="00920C27" w:rsidRPr="00066AB7">
                  <w:rPr>
                    <w:szCs w:val="22"/>
                  </w:rPr>
                  <w:t>WP/</w:t>
                </w:r>
                <w:bookmarkEnd w:id="2"/>
                <w:r w:rsidR="00BC4CD0">
                  <w:rPr>
                    <w:szCs w:val="22"/>
                  </w:rPr>
                  <w:t>21</w:t>
                </w:r>
              </w:p>
              <w:p w14:paraId="37F82501" w14:textId="77777777" w:rsidR="00920C27" w:rsidRPr="00066AB7" w:rsidRDefault="00885035" w:rsidP="00BC4CD0">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09326E">
                  <w:rPr>
                    <w:sz w:val="18"/>
                    <w:szCs w:val="18"/>
                  </w:rPr>
                  <w:t>4</w:t>
                </w:r>
                <w:r>
                  <w:rPr>
                    <w:sz w:val="18"/>
                    <w:szCs w:val="18"/>
                  </w:rPr>
                  <w:t>-0</w:t>
                </w:r>
                <w:r w:rsidR="0020272F">
                  <w:rPr>
                    <w:sz w:val="18"/>
                    <w:szCs w:val="18"/>
                  </w:rPr>
                  <w:t>7</w:t>
                </w:r>
                <w:r>
                  <w:rPr>
                    <w:sz w:val="18"/>
                    <w:szCs w:val="18"/>
                  </w:rPr>
                  <w:t>-</w:t>
                </w:r>
                <w:r w:rsidR="0020272F">
                  <w:rPr>
                    <w:sz w:val="18"/>
                    <w:szCs w:val="18"/>
                  </w:rPr>
                  <w:t>15</w:t>
                </w:r>
                <w:r w:rsidR="00920C27" w:rsidRPr="00066AB7">
                  <w:rPr>
                    <w:b/>
                    <w:sz w:val="18"/>
                    <w:szCs w:val="18"/>
                  </w:rPr>
                  <w:t xml:space="preserve"> </w:t>
                </w:r>
                <w:bookmarkStart w:id="8" w:name="info_paper"/>
                <w:bookmarkEnd w:id="8"/>
              </w:p>
            </w:tc>
          </w:tr>
          <w:tr w:rsidR="00920C27" w14:paraId="0C0D9C0F" w14:textId="77777777" w:rsidTr="00664C07">
            <w:trPr>
              <w:jc w:val="right"/>
            </w:trPr>
            <w:tc>
              <w:tcPr>
                <w:tcW w:w="0" w:type="auto"/>
              </w:tcPr>
              <w:p w14:paraId="1AF6E075" w14:textId="77777777" w:rsidR="00920C27" w:rsidRPr="00066AB7" w:rsidRDefault="00920C27" w:rsidP="00BC4CD0">
                <w:pPr>
                  <w:framePr w:hSpace="180" w:wrap="around" w:vAnchor="text" w:hAnchor="text" w:y="1"/>
                  <w:suppressOverlap/>
                  <w:jc w:val="left"/>
                  <w:rPr>
                    <w:szCs w:val="22"/>
                  </w:rPr>
                </w:pPr>
              </w:p>
            </w:tc>
          </w:tr>
        </w:tbl>
        <w:p w14:paraId="01289DBB"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CB3867C" w14:textId="36E19731" w:rsidR="00770160" w:rsidRDefault="00770160" w:rsidP="00CA05A9">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C21D2"/>
    <w:multiLevelType w:val="hybridMultilevel"/>
    <w:tmpl w:val="433CE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DE10FF"/>
    <w:multiLevelType w:val="hybridMultilevel"/>
    <w:tmpl w:val="63BE0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814442749">
    <w:abstractNumId w:val="5"/>
  </w:num>
  <w:num w:numId="2" w16cid:durableId="2173464">
    <w:abstractNumId w:val="6"/>
  </w:num>
  <w:num w:numId="3" w16cid:durableId="360741001">
    <w:abstractNumId w:val="1"/>
  </w:num>
  <w:num w:numId="4" w16cid:durableId="1829636170">
    <w:abstractNumId w:val="0"/>
  </w:num>
  <w:num w:numId="5" w16cid:durableId="195220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052586">
    <w:abstractNumId w:val="2"/>
  </w:num>
  <w:num w:numId="7" w16cid:durableId="2130203906">
    <w:abstractNumId w:val="3"/>
  </w:num>
  <w:num w:numId="8" w16cid:durableId="1781680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736D"/>
    <w:rsid w:val="0002582F"/>
    <w:rsid w:val="00025A19"/>
    <w:rsid w:val="000273D2"/>
    <w:rsid w:val="00032308"/>
    <w:rsid w:val="000376EB"/>
    <w:rsid w:val="00052922"/>
    <w:rsid w:val="00067C56"/>
    <w:rsid w:val="00080A07"/>
    <w:rsid w:val="0009326E"/>
    <w:rsid w:val="000A6AD2"/>
    <w:rsid w:val="000D26D5"/>
    <w:rsid w:val="000E218A"/>
    <w:rsid w:val="001566B0"/>
    <w:rsid w:val="001745D3"/>
    <w:rsid w:val="001C2F70"/>
    <w:rsid w:val="001D373B"/>
    <w:rsid w:val="0020213F"/>
    <w:rsid w:val="0020272F"/>
    <w:rsid w:val="00222D23"/>
    <w:rsid w:val="00226565"/>
    <w:rsid w:val="00235901"/>
    <w:rsid w:val="002670AE"/>
    <w:rsid w:val="00296269"/>
    <w:rsid w:val="00296C3E"/>
    <w:rsid w:val="002A7CE3"/>
    <w:rsid w:val="002C2D0B"/>
    <w:rsid w:val="002D725D"/>
    <w:rsid w:val="002E38FD"/>
    <w:rsid w:val="002F53C3"/>
    <w:rsid w:val="003715A0"/>
    <w:rsid w:val="003C75D1"/>
    <w:rsid w:val="003C7FC2"/>
    <w:rsid w:val="003D62E1"/>
    <w:rsid w:val="003D7FD8"/>
    <w:rsid w:val="00423C6F"/>
    <w:rsid w:val="004735BC"/>
    <w:rsid w:val="0049280E"/>
    <w:rsid w:val="00492CD2"/>
    <w:rsid w:val="004D46C5"/>
    <w:rsid w:val="004E6F80"/>
    <w:rsid w:val="00505F6E"/>
    <w:rsid w:val="005101DA"/>
    <w:rsid w:val="0051574F"/>
    <w:rsid w:val="00533ECF"/>
    <w:rsid w:val="005420A6"/>
    <w:rsid w:val="00552B85"/>
    <w:rsid w:val="0058161F"/>
    <w:rsid w:val="005F535B"/>
    <w:rsid w:val="00625E2A"/>
    <w:rsid w:val="006535FB"/>
    <w:rsid w:val="00664C07"/>
    <w:rsid w:val="00725205"/>
    <w:rsid w:val="00760654"/>
    <w:rsid w:val="00770160"/>
    <w:rsid w:val="007800BB"/>
    <w:rsid w:val="00796019"/>
    <w:rsid w:val="007C45F0"/>
    <w:rsid w:val="007C72BF"/>
    <w:rsid w:val="007E6A06"/>
    <w:rsid w:val="00802C20"/>
    <w:rsid w:val="00822F3F"/>
    <w:rsid w:val="00850D76"/>
    <w:rsid w:val="00860FB4"/>
    <w:rsid w:val="00885035"/>
    <w:rsid w:val="008850BB"/>
    <w:rsid w:val="00886363"/>
    <w:rsid w:val="00896451"/>
    <w:rsid w:val="008B54C4"/>
    <w:rsid w:val="0090204A"/>
    <w:rsid w:val="009202EA"/>
    <w:rsid w:val="00920B80"/>
    <w:rsid w:val="00920C27"/>
    <w:rsid w:val="009602EE"/>
    <w:rsid w:val="009608BC"/>
    <w:rsid w:val="009A3BB6"/>
    <w:rsid w:val="00A03CFF"/>
    <w:rsid w:val="00A12CBA"/>
    <w:rsid w:val="00A232A8"/>
    <w:rsid w:val="00A5187D"/>
    <w:rsid w:val="00A66181"/>
    <w:rsid w:val="00A84F03"/>
    <w:rsid w:val="00AA6C93"/>
    <w:rsid w:val="00AA7B30"/>
    <w:rsid w:val="00B00E0C"/>
    <w:rsid w:val="00B02DF4"/>
    <w:rsid w:val="00B12940"/>
    <w:rsid w:val="00B22662"/>
    <w:rsid w:val="00B2272C"/>
    <w:rsid w:val="00B60188"/>
    <w:rsid w:val="00B63E9A"/>
    <w:rsid w:val="00B669A5"/>
    <w:rsid w:val="00B93ED9"/>
    <w:rsid w:val="00B95AA6"/>
    <w:rsid w:val="00BC4CD0"/>
    <w:rsid w:val="00BC5391"/>
    <w:rsid w:val="00C05F91"/>
    <w:rsid w:val="00C14BC4"/>
    <w:rsid w:val="00C2608A"/>
    <w:rsid w:val="00C32F4A"/>
    <w:rsid w:val="00C63B83"/>
    <w:rsid w:val="00CA05A9"/>
    <w:rsid w:val="00CE2E6C"/>
    <w:rsid w:val="00CF72A2"/>
    <w:rsid w:val="00D1165F"/>
    <w:rsid w:val="00D22255"/>
    <w:rsid w:val="00D314C7"/>
    <w:rsid w:val="00D337C4"/>
    <w:rsid w:val="00D81241"/>
    <w:rsid w:val="00D8375B"/>
    <w:rsid w:val="00D87327"/>
    <w:rsid w:val="00D94FD3"/>
    <w:rsid w:val="00DA1D9A"/>
    <w:rsid w:val="00DA654F"/>
    <w:rsid w:val="00DD6BEE"/>
    <w:rsid w:val="00DF76D3"/>
    <w:rsid w:val="00E01EF2"/>
    <w:rsid w:val="00E23ADD"/>
    <w:rsid w:val="00E5621A"/>
    <w:rsid w:val="00E7263C"/>
    <w:rsid w:val="00E77340"/>
    <w:rsid w:val="00E91DF2"/>
    <w:rsid w:val="00EB1EAC"/>
    <w:rsid w:val="00EF04FD"/>
    <w:rsid w:val="00F50D61"/>
    <w:rsid w:val="00F52149"/>
    <w:rsid w:val="00F56F90"/>
    <w:rsid w:val="00F71AC4"/>
    <w:rsid w:val="00F84DC1"/>
    <w:rsid w:val="00F975FD"/>
    <w:rsid w:val="00FB4C52"/>
    <w:rsid w:val="00FC1000"/>
    <w:rsid w:val="00FC23C4"/>
    <w:rsid w:val="00FC389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A2589"/>
  <w15:chartTrackingRefBased/>
  <w15:docId w15:val="{77A310B9-6FE9-4440-B8E9-C763BDD8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rsid w:val="000A6AD2"/>
    <w:rPr>
      <w:color w:val="0563C1" w:themeColor="hyperlink"/>
      <w:u w:val="single"/>
    </w:rPr>
  </w:style>
  <w:style w:type="character" w:styleId="UnresolvedMention">
    <w:name w:val="Unresolved Mention"/>
    <w:basedOn w:val="DefaultParagraphFont"/>
    <w:uiPriority w:val="99"/>
    <w:semiHidden/>
    <w:unhideWhenUsed/>
    <w:rsid w:val="000A6AD2"/>
    <w:rPr>
      <w:color w:val="605E5C"/>
      <w:shd w:val="clear" w:color="auto" w:fill="E1DFDD"/>
    </w:rPr>
  </w:style>
  <w:style w:type="table" w:styleId="TableGrid">
    <w:name w:val="Table Grid"/>
    <w:basedOn w:val="TableNormal"/>
    <w:rsid w:val="002A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E1"/>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ties/itu-r/md/15/wp5b/c/R15-WP5B-C-0712!N16!MSW-E.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safety/FSMP/MeetingDocs/FSMP%20WG18/IP%20-%20Copy/FSMP-WG18-IP06_Proposed%20updates%20to%20Doc.9718%20Vol%201C-Band%20Spectrum%20Compatibility.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ties/itu-r/md/19/wp5b/c/R19-WP5B-C-0355!N33!MSW-E.doc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B.XSL" StyleName="GB7714" Version="2005"/>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18A28-DAF2-4C96-B96A-06C61B732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C10BCC-4821-49F3-AD80-B2B543A5451C}">
  <ds:schemaRefs>
    <ds:schemaRef ds:uri="http://schemas.openxmlformats.org/officeDocument/2006/bibliography"/>
  </ds:schemaRefs>
</ds:datastoreItem>
</file>

<file path=customXml/itemProps3.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6B1C62-558F-49F9-9FED-87C2418F1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69</TotalTime>
  <Pages>5</Pages>
  <Words>1467</Words>
  <Characters>8291</Characters>
  <Application>Microsoft Office Word</Application>
  <DocSecurity>0</DocSecurity>
  <Lines>177</Lines>
  <Paragraphs>76</Paragraphs>
  <ScaleCrop>false</ScaleCrop>
  <HeadingPairs>
    <vt:vector size="6" baseType="variant">
      <vt:variant>
        <vt:lpstr>Titre</vt:lpstr>
      </vt:variant>
      <vt:variant>
        <vt:i4>1</vt:i4>
      </vt:variant>
      <vt:variant>
        <vt:lpstr>Title</vt:lpstr>
      </vt:variant>
      <vt:variant>
        <vt:i4>1</vt:i4>
      </vt:variant>
      <vt:variant>
        <vt:lpstr>Headings</vt:lpstr>
      </vt:variant>
      <vt:variant>
        <vt:i4>3</vt:i4>
      </vt:variant>
    </vt:vector>
  </HeadingPairs>
  <TitlesOfParts>
    <vt:vector size="5" baseType="lpstr">
      <vt:lpstr>1</vt:lpstr>
      <vt:lpstr>1</vt:lpstr>
      <vt:lpstr>    Just a few lines with a brief background to introduce your paper.</vt:lpstr>
      <vt:lpstr>    This MS Word template is arranged with the following margins: top 2.87 cm, botto</vt:lpstr>
      <vt:lpstr>    The meeting is invited to:</vt:lpstr>
    </vt:vector>
  </TitlesOfParts>
  <Company>ICAO</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11</cp:revision>
  <cp:lastPrinted>2005-03-16T12:26:00Z</cp:lastPrinted>
  <dcterms:created xsi:type="dcterms:W3CDTF">2024-07-04T09:40:00Z</dcterms:created>
  <dcterms:modified xsi:type="dcterms:W3CDTF">2024-07-09T22:21:00Z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ContentTypeId">
    <vt:lpwstr>0x010100B372B09A9A77C4438999FF1325BEF759</vt:lpwstr>
  </property>
</Properties>
</file>