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trPr>
          <w:trHeight w:val="1790"/>
        </w:trPr>
        <w:tc>
          <w:tcPr>
            <w:tcW w:w="1915" w:type="dxa"/>
            <w:shd w:val="clear" w:color="auto" w:fill="FFFFFF"/>
          </w:tcPr>
          <w:p w:rsidR="00DA52CB" w:rsidRDefault="00E633F7" w:rsidP="006C445E">
            <w:bookmarkStart w:id="0" w:name="logo"/>
            <w:r>
              <w:rPr>
                <w:noProof/>
                <w:lang w:eastAsia="zh-CN"/>
              </w:rPr>
              <w:drawing>
                <wp:inline distT="0" distB="0" distL="0" distR="0">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9" cstate="print"/>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rsidR="006C445E" w:rsidRDefault="00165860" w:rsidP="00DA52CB">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6985" r="10160" b="120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Zu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J4Jdm4S&#10;AgAAKAQAAA4AAAAAAAAAAAAAAAAALgIAAGRycy9lMm9Eb2MueG1sUEsBAi0AFAAGAAgAAAAhABes&#10;0mLbAAAABwEAAA8AAAAAAAAAAAAAAAAAbAQAAGRycy9kb3ducmV2LnhtbFBLBQYAAAAABAAEAPMA&#10;AAB0BQAAAAA=&#10;"/>
                  </w:pict>
                </mc:Fallback>
              </mc:AlternateContent>
            </w:r>
          </w:p>
          <w:p w:rsidR="006C445E" w:rsidRDefault="006C445E" w:rsidP="00DA52CB">
            <w:pPr>
              <w:rPr>
                <w:rFonts w:ascii="Arial" w:hAnsi="Arial" w:cs="Arial"/>
                <w:szCs w:val="22"/>
              </w:rPr>
            </w:pPr>
            <w:r>
              <w:rPr>
                <w:rFonts w:ascii="Arial" w:hAnsi="Arial" w:cs="Arial"/>
                <w:szCs w:val="22"/>
              </w:rPr>
              <w:t>International Civil Aviation Organization</w:t>
            </w:r>
          </w:p>
          <w:p w:rsidR="006C445E" w:rsidRDefault="006C445E" w:rsidP="00DA52CB">
            <w:pPr>
              <w:rPr>
                <w:rFonts w:ascii="Arial" w:hAnsi="Arial" w:cs="Arial"/>
                <w:szCs w:val="22"/>
              </w:rPr>
            </w:pPr>
          </w:p>
          <w:p w:rsidR="00DA52CB" w:rsidRPr="006C445E" w:rsidRDefault="00DA7BC4" w:rsidP="00DA52CB">
            <w:pPr>
              <w:rPr>
                <w:rFonts w:ascii="Arial" w:hAnsi="Arial" w:cs="Arial"/>
                <w:b/>
                <w:sz w:val="24"/>
                <w:szCs w:val="22"/>
              </w:rPr>
            </w:pPr>
            <w:r>
              <w:rPr>
                <w:rFonts w:ascii="Arial" w:hAnsi="Arial" w:cs="Arial"/>
                <w:b/>
                <w:sz w:val="24"/>
                <w:szCs w:val="22"/>
              </w:rPr>
              <w:t>INFORMATION</w:t>
            </w:r>
            <w:r w:rsidR="006C445E">
              <w:rPr>
                <w:rFonts w:ascii="Arial" w:hAnsi="Arial" w:cs="Arial"/>
                <w:b/>
                <w:sz w:val="24"/>
                <w:szCs w:val="22"/>
              </w:rPr>
              <w:t xml:space="preserve">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8"/>
            </w:tblGrid>
            <w:tr w:rsidR="00DA52CB" w:rsidTr="00500D71">
              <w:trPr>
                <w:jc w:val="right"/>
              </w:trPr>
              <w:tc>
                <w:tcPr>
                  <w:tcW w:w="1638" w:type="dxa"/>
                </w:tcPr>
                <w:p w:rsidR="00DA52CB" w:rsidRPr="000214FF" w:rsidRDefault="00DA7BC4" w:rsidP="00DA7BC4">
                  <w:pPr>
                    <w:framePr w:hSpace="180" w:wrap="around" w:vAnchor="text" w:hAnchor="text" w:y="1"/>
                    <w:suppressOverlap/>
                    <w:jc w:val="left"/>
                    <w:rPr>
                      <w:szCs w:val="22"/>
                    </w:rPr>
                  </w:pPr>
                  <w:bookmarkStart w:id="1" w:name="document_no"/>
                  <w:r>
                    <w:rPr>
                      <w:szCs w:val="22"/>
                    </w:rPr>
                    <w:t>FSMP-WG/2 IP</w:t>
                  </w:r>
                  <w:bookmarkEnd w:id="1"/>
                  <w:r>
                    <w:rPr>
                      <w:szCs w:val="22"/>
                    </w:rPr>
                    <w:t>-01</w:t>
                  </w:r>
                </w:p>
                <w:p w:rsidR="00E66E5D" w:rsidRDefault="00DA7BC4" w:rsidP="00DA7BC4">
                  <w:pPr>
                    <w:framePr w:hSpace="180" w:wrap="around" w:vAnchor="text" w:hAnchor="text" w:y="1"/>
                    <w:suppressOverlap/>
                    <w:jc w:val="left"/>
                    <w:rPr>
                      <w:sz w:val="18"/>
                      <w:szCs w:val="18"/>
                    </w:rPr>
                  </w:pPr>
                  <w:bookmarkStart w:id="2" w:name="restricted"/>
                  <w:bookmarkStart w:id="3" w:name="revision_no"/>
                  <w:bookmarkStart w:id="4" w:name="related_to"/>
                  <w:bookmarkStart w:id="5" w:name="date"/>
                  <w:bookmarkEnd w:id="2"/>
                  <w:bookmarkEnd w:id="3"/>
                  <w:bookmarkEnd w:id="4"/>
                  <w:r>
                    <w:rPr>
                      <w:sz w:val="18"/>
                      <w:szCs w:val="18"/>
                    </w:rPr>
                    <w:t>2016-01-20</w:t>
                  </w:r>
                  <w:bookmarkEnd w:id="5"/>
                </w:p>
                <w:p w:rsidR="00E66E5D" w:rsidRPr="00A2022F" w:rsidRDefault="00E66E5D" w:rsidP="00587FC4">
                  <w:pPr>
                    <w:framePr w:hSpace="180" w:wrap="around" w:vAnchor="text" w:hAnchor="text" w:y="1"/>
                    <w:suppressOverlap/>
                    <w:jc w:val="left"/>
                    <w:rPr>
                      <w:b/>
                    </w:rPr>
                  </w:pPr>
                </w:p>
              </w:tc>
            </w:tr>
            <w:tr w:rsidR="00DA52CB" w:rsidTr="00500D71">
              <w:trPr>
                <w:jc w:val="right"/>
              </w:trPr>
              <w:tc>
                <w:tcPr>
                  <w:tcW w:w="1638" w:type="dxa"/>
                </w:tcPr>
                <w:p w:rsidR="00DA52CB" w:rsidRPr="00D17232" w:rsidRDefault="00DA52CB" w:rsidP="00587FC4">
                  <w:pPr>
                    <w:framePr w:hSpace="180" w:wrap="around" w:vAnchor="text" w:hAnchor="text" w:y="1"/>
                    <w:suppressOverlap/>
                    <w:jc w:val="left"/>
                    <w:rPr>
                      <w:szCs w:val="22"/>
                    </w:rPr>
                  </w:pPr>
                  <w:bookmarkStart w:id="6" w:name="language"/>
                  <w:bookmarkEnd w:id="6"/>
                </w:p>
              </w:tc>
            </w:tr>
          </w:tbl>
          <w:p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rsidR="00DA7BC4" w:rsidRPr="00DA7BC4" w:rsidRDefault="006C445E" w:rsidP="00DA7BC4">
      <w:pPr>
        <w:jc w:val="center"/>
        <w:rPr>
          <w:b/>
          <w:sz w:val="24"/>
        </w:rPr>
      </w:pPr>
      <w:bookmarkStart w:id="7" w:name="text_above"/>
      <w:bookmarkStart w:id="8" w:name="working_body_type"/>
      <w:bookmarkEnd w:id="7"/>
      <w:r>
        <w:rPr>
          <w:b/>
          <w:sz w:val="26"/>
          <w:szCs w:val="26"/>
        </w:rPr>
        <w:t xml:space="preserve"> </w:t>
      </w:r>
      <w:bookmarkEnd w:id="8"/>
      <w:r w:rsidR="00DA7BC4">
        <w:rPr>
          <w:b/>
          <w:sz w:val="24"/>
          <w:lang w:val="en-US"/>
        </w:rPr>
        <w:t xml:space="preserve">FREQUENCY </w:t>
      </w:r>
      <w:r w:rsidR="00DA7BC4" w:rsidRPr="00DA7BC4">
        <w:rPr>
          <w:b/>
          <w:sz w:val="24"/>
          <w:lang w:val="en-US"/>
        </w:rPr>
        <w:t>SPECTRUM</w:t>
      </w:r>
      <w:r w:rsidR="00DA7BC4" w:rsidRPr="00DA7BC4">
        <w:rPr>
          <w:b/>
          <w:sz w:val="24"/>
        </w:rPr>
        <w:t xml:space="preserve"> MANGEMENT  PANEL (FSMP)</w:t>
      </w:r>
    </w:p>
    <w:p w:rsidR="00DA7BC4" w:rsidRPr="00DA7BC4" w:rsidRDefault="00DA7BC4" w:rsidP="00DA7BC4">
      <w:pPr>
        <w:tabs>
          <w:tab w:val="left" w:pos="6972"/>
        </w:tabs>
        <w:jc w:val="center"/>
        <w:rPr>
          <w:b/>
          <w:sz w:val="24"/>
        </w:rPr>
      </w:pPr>
    </w:p>
    <w:p w:rsidR="00DA7BC4" w:rsidRPr="00DA7BC4" w:rsidRDefault="00DA7BC4" w:rsidP="00DA7BC4">
      <w:pPr>
        <w:pStyle w:val="Maintitle"/>
        <w:rPr>
          <w:sz w:val="24"/>
          <w:szCs w:val="24"/>
        </w:rPr>
      </w:pPr>
      <w:r w:rsidRPr="00DA7BC4">
        <w:rPr>
          <w:sz w:val="24"/>
          <w:szCs w:val="24"/>
        </w:rPr>
        <w:t>Second Meeting of the Working Group of FSMP (FSMP-WG/2)</w:t>
      </w:r>
    </w:p>
    <w:p w:rsidR="00DA7BC4" w:rsidRPr="00DA7BC4" w:rsidRDefault="00DA7BC4" w:rsidP="00DA7BC4">
      <w:pPr>
        <w:tabs>
          <w:tab w:val="left" w:pos="6551"/>
        </w:tabs>
        <w:rPr>
          <w:sz w:val="24"/>
        </w:rPr>
      </w:pPr>
      <w:r w:rsidRPr="00DA7BC4">
        <w:rPr>
          <w:sz w:val="24"/>
        </w:rPr>
        <w:tab/>
      </w:r>
    </w:p>
    <w:p w:rsidR="00DA7BC4" w:rsidRDefault="00E14A3C" w:rsidP="00DA7BC4">
      <w:pPr>
        <w:pStyle w:val="Maintitle"/>
      </w:pPr>
      <w:r>
        <w:t>Montreal, Canada, 15</w:t>
      </w:r>
      <w:bookmarkStart w:id="9" w:name="_GoBack"/>
      <w:bookmarkEnd w:id="9"/>
      <w:r w:rsidR="00DA7BC4">
        <w:t xml:space="preserve"> – 19 February 2016</w:t>
      </w:r>
    </w:p>
    <w:p w:rsidR="00DA52CB" w:rsidRPr="007307A8" w:rsidRDefault="00DA52CB" w:rsidP="00DA7BC4">
      <w:pPr>
        <w:jc w:val="center"/>
        <w:rPr>
          <w:b/>
          <w:szCs w:val="22"/>
        </w:rPr>
      </w:pPr>
    </w:p>
    <w:p w:rsidR="00DA52CB" w:rsidRPr="007307A8" w:rsidRDefault="006C445E" w:rsidP="00DA7BC4">
      <w:pPr>
        <w:ind w:left="1080" w:right="1080"/>
        <w:jc w:val="center"/>
        <w:rPr>
          <w:szCs w:val="22"/>
        </w:rPr>
      </w:pPr>
      <w:bookmarkStart w:id="10" w:name="presented_by"/>
      <w:r>
        <w:rPr>
          <w:szCs w:val="22"/>
        </w:rPr>
        <w:t xml:space="preserve">(Presented by the </w:t>
      </w:r>
      <w:r w:rsidR="00DA7BC4">
        <w:rPr>
          <w:szCs w:val="22"/>
        </w:rPr>
        <w:t>Secretary</w:t>
      </w:r>
      <w:r>
        <w:rPr>
          <w:szCs w:val="22"/>
        </w:rPr>
        <w:t>)</w:t>
      </w:r>
      <w:bookmarkEnd w:id="10"/>
    </w:p>
    <w:p w:rsidR="00DA52CB" w:rsidRPr="007307A8" w:rsidRDefault="006C445E" w:rsidP="00DA52CB">
      <w:pPr>
        <w:jc w:val="center"/>
        <w:rPr>
          <w:szCs w:val="22"/>
        </w:rPr>
      </w:pPr>
      <w:r>
        <w:rPr>
          <w:b/>
          <w:szCs w:val="22"/>
        </w:rPr>
        <w:t xml:space="preserve"> </w:t>
      </w:r>
    </w:p>
    <w:p w:rsidR="00DA52CB" w:rsidRDefault="006C445E" w:rsidP="00DA52CB">
      <w:pPr>
        <w:jc w:val="center"/>
        <w:rPr>
          <w:b/>
          <w:szCs w:val="22"/>
        </w:rPr>
      </w:pPr>
      <w:bookmarkStart w:id="11" w:name="document_no_below_title"/>
      <w:bookmarkEnd w:id="11"/>
      <w:r>
        <w:rPr>
          <w:rFonts w:ascii="Arial" w:hAnsi="Arial" w:cs="Arial"/>
          <w:b/>
          <w:szCs w:val="22"/>
        </w:rPr>
        <w:t xml:space="preserve"> </w:t>
      </w:r>
    </w:p>
    <w:tbl>
      <w:tblPr>
        <w:tblStyle w:val="TableGrid"/>
        <w:tblW w:w="7740" w:type="dxa"/>
        <w:jc w:val="center"/>
        <w:tblCellMar>
          <w:top w:w="120" w:type="dxa"/>
          <w:left w:w="120" w:type="dxa"/>
          <w:right w:w="120" w:type="dxa"/>
        </w:tblCellMar>
        <w:tblLook w:val="01E0" w:firstRow="1" w:lastRow="1" w:firstColumn="1" w:lastColumn="1" w:noHBand="0" w:noVBand="0"/>
      </w:tblPr>
      <w:tblGrid>
        <w:gridCol w:w="7740"/>
      </w:tblGrid>
      <w:tr w:rsidR="006C445E" w:rsidTr="00303DFF">
        <w:trPr>
          <w:jc w:val="center"/>
        </w:trPr>
        <w:tc>
          <w:tcPr>
            <w:tcW w:w="7740" w:type="dxa"/>
            <w:tcBorders>
              <w:bottom w:val="nil"/>
            </w:tcBorders>
          </w:tcPr>
          <w:p w:rsidR="006C445E" w:rsidRPr="006C445E" w:rsidRDefault="006C445E" w:rsidP="00DA52CB">
            <w:pPr>
              <w:jc w:val="center"/>
              <w:rPr>
                <w:b/>
                <w:szCs w:val="22"/>
              </w:rPr>
            </w:pPr>
            <w:bookmarkStart w:id="12" w:name="summary_box"/>
            <w:bookmarkEnd w:id="12"/>
            <w:r w:rsidRPr="006C445E">
              <w:rPr>
                <w:b/>
                <w:szCs w:val="22"/>
              </w:rPr>
              <w:t>SUMMARY</w:t>
            </w:r>
          </w:p>
        </w:tc>
      </w:tr>
      <w:tr w:rsidR="006C445E" w:rsidTr="00303DFF">
        <w:trPr>
          <w:jc w:val="center"/>
        </w:trPr>
        <w:tc>
          <w:tcPr>
            <w:tcW w:w="7740" w:type="dxa"/>
            <w:tcBorders>
              <w:top w:val="nil"/>
            </w:tcBorders>
            <w:shd w:val="clear" w:color="auto" w:fill="auto"/>
          </w:tcPr>
          <w:p w:rsidR="000844A1" w:rsidRDefault="00ED433D" w:rsidP="00DA7BC4">
            <w:bookmarkStart w:id="13" w:name="OLE_LINK1"/>
            <w:bookmarkStart w:id="14" w:name="OLE_LINK2"/>
            <w:r>
              <w:t xml:space="preserve">This </w:t>
            </w:r>
            <w:r w:rsidR="00DA7BC4">
              <w:t>information</w:t>
            </w:r>
            <w:r>
              <w:t xml:space="preserve"> paper presents the results of the </w:t>
            </w:r>
            <w:r w:rsidR="0007142D">
              <w:t xml:space="preserve">International Telecommunication </w:t>
            </w:r>
            <w:r w:rsidR="0007142D" w:rsidRPr="0007142D">
              <w:t>Union</w:t>
            </w:r>
            <w:r w:rsidR="0007142D">
              <w:t xml:space="preserve"> (</w:t>
            </w:r>
            <w:r w:rsidR="0007142D" w:rsidRPr="0007142D">
              <w:t>ITU</w:t>
            </w:r>
            <w:r w:rsidR="0007142D">
              <w:t>)</w:t>
            </w:r>
            <w:r w:rsidR="00F264F2">
              <w:t xml:space="preserve"> </w:t>
            </w:r>
            <w:r w:rsidRPr="0007142D">
              <w:t>World</w:t>
            </w:r>
            <w:r>
              <w:t xml:space="preserve"> Radiocommunication Conference (20</w:t>
            </w:r>
            <w:r w:rsidR="00846793">
              <w:t>1</w:t>
            </w:r>
            <w:r w:rsidR="002A3414">
              <w:t>5</w:t>
            </w:r>
            <w:r>
              <w:t>) (WRC-</w:t>
            </w:r>
            <w:r w:rsidR="00846793">
              <w:t>1</w:t>
            </w:r>
            <w:r w:rsidR="002A3414">
              <w:t>5</w:t>
            </w:r>
            <w:r>
              <w:t>)</w:t>
            </w:r>
            <w:r w:rsidR="0079545B">
              <w:t xml:space="preserve"> (</w:t>
            </w:r>
            <w:r w:rsidR="008A2867" w:rsidRPr="00DE661F">
              <w:t>2</w:t>
            </w:r>
            <w:r w:rsidR="008A2867">
              <w:t> </w:t>
            </w:r>
            <w:r w:rsidR="008471FA">
              <w:t>to</w:t>
            </w:r>
            <w:r w:rsidR="008A2867">
              <w:t> 27 </w:t>
            </w:r>
            <w:r w:rsidR="002A3414">
              <w:t>November</w:t>
            </w:r>
            <w:r w:rsidR="00E45EE6">
              <w:t xml:space="preserve"> 20</w:t>
            </w:r>
            <w:r w:rsidR="00846793">
              <w:t>1</w:t>
            </w:r>
            <w:r w:rsidR="002A3414">
              <w:t>5</w:t>
            </w:r>
            <w:r w:rsidR="0079545B">
              <w:t>,</w:t>
            </w:r>
            <w:r w:rsidRPr="009D41F8">
              <w:t xml:space="preserve"> Geneva, Switzerland</w:t>
            </w:r>
            <w:r w:rsidR="0079545B">
              <w:t>)</w:t>
            </w:r>
            <w:r w:rsidR="00AC0A59">
              <w:t>.</w:t>
            </w:r>
            <w:r w:rsidR="0064052D">
              <w:t xml:space="preserve"> </w:t>
            </w:r>
          </w:p>
          <w:p w:rsidR="000844A1" w:rsidRDefault="000844A1" w:rsidP="00C26FEE"/>
          <w:p w:rsidR="00B17AC2" w:rsidRPr="000F4938" w:rsidRDefault="00DA7BC4" w:rsidP="000F4938">
            <w:r>
              <w:t>In general the conference results conformed to the ICAO Position.  An expeditious start of the ICAO preparatory activities for the next conf</w:t>
            </w:r>
            <w:r w:rsidR="000F4938">
              <w:t>erence in 2019 is now essential</w:t>
            </w:r>
            <w:r w:rsidR="000844A1">
              <w:t>.</w:t>
            </w:r>
          </w:p>
          <w:p w:rsidR="006C445E" w:rsidRPr="004D74DC" w:rsidRDefault="006C445E" w:rsidP="004D0C5B"/>
        </w:tc>
      </w:tr>
    </w:tbl>
    <w:p w:rsidR="006C445E" w:rsidRDefault="005F56C5" w:rsidP="000551BC">
      <w:pPr>
        <w:pStyle w:val="1Heading"/>
        <w:keepLines/>
        <w:numPr>
          <w:ilvl w:val="0"/>
          <w:numId w:val="0"/>
        </w:numPr>
      </w:pPr>
      <w:bookmarkStart w:id="15" w:name="beginning"/>
      <w:bookmarkEnd w:id="13"/>
      <w:bookmarkEnd w:id="14"/>
      <w:bookmarkEnd w:id="15"/>
      <w:r>
        <w:rPr>
          <w:b w:val="0"/>
          <w:bCs/>
        </w:rPr>
        <w:t>1.</w:t>
      </w:r>
      <w:r>
        <w:rPr>
          <w:b w:val="0"/>
          <w:bCs/>
        </w:rPr>
        <w:tab/>
      </w:r>
      <w:r w:rsidR="006C445E">
        <w:t>INTRODUCTION</w:t>
      </w:r>
    </w:p>
    <w:p w:rsidR="006C445E" w:rsidRDefault="005F56C5" w:rsidP="002A3414">
      <w:pPr>
        <w:pStyle w:val="2Para"/>
        <w:keepNext/>
        <w:keepLines/>
        <w:numPr>
          <w:ilvl w:val="0"/>
          <w:numId w:val="0"/>
        </w:numPr>
      </w:pPr>
      <w:r>
        <w:t>1.1</w:t>
      </w:r>
      <w:r>
        <w:tab/>
      </w:r>
      <w:r w:rsidR="00ED433D" w:rsidRPr="009D41F8">
        <w:t>The ITU</w:t>
      </w:r>
      <w:r w:rsidR="00F264F2">
        <w:t xml:space="preserve"> </w:t>
      </w:r>
      <w:r w:rsidR="00ED433D" w:rsidRPr="009D41F8">
        <w:t>World Radiocommunication Conference (20</w:t>
      </w:r>
      <w:r w:rsidR="003D7F8B">
        <w:t>1</w:t>
      </w:r>
      <w:r w:rsidR="002A3414">
        <w:t>5</w:t>
      </w:r>
      <w:r w:rsidR="00ED433D" w:rsidRPr="009D41F8">
        <w:t>) (WRC-</w:t>
      </w:r>
      <w:r w:rsidR="003D7F8B">
        <w:t>1</w:t>
      </w:r>
      <w:r w:rsidR="002A3414">
        <w:t>5</w:t>
      </w:r>
      <w:r w:rsidR="00ED433D" w:rsidRPr="009D41F8">
        <w:t>) was held from 2</w:t>
      </w:r>
      <w:r w:rsidR="002A3414">
        <w:t xml:space="preserve"> to 27 November 2015</w:t>
      </w:r>
      <w:r w:rsidR="00F108EA">
        <w:t xml:space="preserve"> </w:t>
      </w:r>
      <w:r w:rsidR="00ED433D" w:rsidRPr="009D41F8">
        <w:t xml:space="preserve">in Geneva, Switzerland. The ICAO </w:t>
      </w:r>
      <w:r w:rsidR="003A5FA8">
        <w:t>d</w:t>
      </w:r>
      <w:r w:rsidR="00ED433D" w:rsidRPr="009D41F8">
        <w:t>elegat</w:t>
      </w:r>
      <w:r w:rsidR="00ED433D">
        <w:t xml:space="preserve">ion to the conference included </w:t>
      </w:r>
      <w:r w:rsidR="002A3414">
        <w:t xml:space="preserve">D/ANB (first day), </w:t>
      </w:r>
      <w:r w:rsidR="00F108EA">
        <w:t>a</w:t>
      </w:r>
      <w:r w:rsidR="00E45EE6">
        <w:t>n</w:t>
      </w:r>
      <w:r w:rsidR="00F108EA">
        <w:t xml:space="preserve"> RO/CNS, ICAO </w:t>
      </w:r>
      <w:r w:rsidR="003D7F8B">
        <w:t>WACAF</w:t>
      </w:r>
      <w:r w:rsidR="00F108EA">
        <w:t xml:space="preserve"> Office</w:t>
      </w:r>
      <w:r w:rsidR="00ED433D">
        <w:t xml:space="preserve"> (first two weeks)</w:t>
      </w:r>
      <w:r w:rsidR="00DE661F">
        <w:t>,</w:t>
      </w:r>
      <w:r w:rsidR="00ED433D">
        <w:t xml:space="preserve"> </w:t>
      </w:r>
      <w:r w:rsidR="00F108EA">
        <w:t>a</w:t>
      </w:r>
      <w:r w:rsidR="00E45EE6">
        <w:t>n</w:t>
      </w:r>
      <w:r w:rsidR="00F108EA">
        <w:t xml:space="preserve"> RO/CNS, ICAO </w:t>
      </w:r>
      <w:r w:rsidR="003D7F8B">
        <w:t>ESAF</w:t>
      </w:r>
      <w:r w:rsidR="00F108EA">
        <w:t xml:space="preserve"> Office</w:t>
      </w:r>
      <w:r w:rsidR="00ED433D">
        <w:t xml:space="preserve"> (</w:t>
      </w:r>
      <w:r w:rsidR="002A3414">
        <w:t>third</w:t>
      </w:r>
      <w:r w:rsidR="00973B72">
        <w:t xml:space="preserve"> </w:t>
      </w:r>
      <w:r w:rsidR="00ED433D">
        <w:t>week)</w:t>
      </w:r>
      <w:r w:rsidR="00B54322">
        <w:t xml:space="preserve"> and </w:t>
      </w:r>
      <w:r w:rsidR="003D7F8B">
        <w:t>two</w:t>
      </w:r>
      <w:r w:rsidR="00B54322">
        <w:t xml:space="preserve"> TOs/</w:t>
      </w:r>
      <w:r w:rsidR="002A753D">
        <w:t>AOI (</w:t>
      </w:r>
      <w:r w:rsidR="00B54322">
        <w:t>CNS</w:t>
      </w:r>
      <w:r w:rsidR="002A753D">
        <w:t>)</w:t>
      </w:r>
      <w:r w:rsidR="00521F0E">
        <w:t xml:space="preserve"> from Headquarters</w:t>
      </w:r>
      <w:r w:rsidR="00B54322">
        <w:t xml:space="preserve"> (full time)</w:t>
      </w:r>
      <w:r w:rsidR="00ED433D" w:rsidRPr="009D41F8">
        <w:t>.</w:t>
      </w:r>
    </w:p>
    <w:p w:rsidR="00B54322" w:rsidRDefault="00B54322" w:rsidP="007247DA">
      <w:pPr>
        <w:pStyle w:val="2Para"/>
        <w:numPr>
          <w:ilvl w:val="0"/>
          <w:numId w:val="0"/>
        </w:numPr>
      </w:pPr>
      <w:r>
        <w:t>1.2</w:t>
      </w:r>
      <w:r>
        <w:tab/>
        <w:t xml:space="preserve">In total, </w:t>
      </w:r>
      <w:r w:rsidR="002A753D">
        <w:t>about</w:t>
      </w:r>
      <w:r>
        <w:t xml:space="preserve"> </w:t>
      </w:r>
      <w:r w:rsidR="00D001B2">
        <w:t>3 </w:t>
      </w:r>
      <w:r w:rsidR="002A753D">
        <w:t>8</w:t>
      </w:r>
      <w:r w:rsidRPr="007118B0">
        <w:t>00</w:t>
      </w:r>
      <w:r>
        <w:t xml:space="preserve"> delegates from 16</w:t>
      </w:r>
      <w:r w:rsidR="002A753D">
        <w:t>2</w:t>
      </w:r>
      <w:r>
        <w:t xml:space="preserve"> ITU Member States and </w:t>
      </w:r>
      <w:r w:rsidR="002A753D">
        <w:t xml:space="preserve">130 other entities, including international organizations and industry, </w:t>
      </w:r>
      <w:r>
        <w:t>participated in the work of the conference.</w:t>
      </w:r>
    </w:p>
    <w:p w:rsidR="00B54322" w:rsidRDefault="00B54322" w:rsidP="002A753D">
      <w:pPr>
        <w:pStyle w:val="2Para"/>
        <w:numPr>
          <w:ilvl w:val="0"/>
          <w:numId w:val="0"/>
        </w:numPr>
      </w:pPr>
      <w:r>
        <w:t>1.3</w:t>
      </w:r>
      <w:r>
        <w:tab/>
        <w:t>T</w:t>
      </w:r>
      <w:r w:rsidR="002A753D">
        <w:t>wo</w:t>
      </w:r>
      <w:r>
        <w:t xml:space="preserve"> aviation coordination meetings were organized by the ICAO </w:t>
      </w:r>
      <w:r w:rsidR="003A5FA8">
        <w:t>d</w:t>
      </w:r>
      <w:r>
        <w:t>elegation during the conference. Coordination and promotion of the ICAO policy during the conference was also performed on a more bilateral basis</w:t>
      </w:r>
      <w:r w:rsidR="00EC215C">
        <w:t>, including</w:t>
      </w:r>
      <w:r>
        <w:t xml:space="preserve"> </w:t>
      </w:r>
      <w:r w:rsidR="00EC215C">
        <w:t>individuals</w:t>
      </w:r>
      <w:r w:rsidR="00912DAA">
        <w:t>,</w:t>
      </w:r>
      <w:r w:rsidR="00EC215C">
        <w:t xml:space="preserve"> various industry groups and representing spectrum administrations</w:t>
      </w:r>
      <w:r>
        <w:t>.</w:t>
      </w:r>
    </w:p>
    <w:p w:rsidR="00ED433D" w:rsidRDefault="005F56C5" w:rsidP="00BC5684">
      <w:pPr>
        <w:pStyle w:val="1Heading"/>
        <w:numPr>
          <w:ilvl w:val="0"/>
          <w:numId w:val="0"/>
        </w:numPr>
        <w:ind w:right="1797"/>
      </w:pPr>
      <w:r>
        <w:rPr>
          <w:b w:val="0"/>
          <w:bCs/>
        </w:rPr>
        <w:t>2.</w:t>
      </w:r>
      <w:r>
        <w:rPr>
          <w:b w:val="0"/>
          <w:bCs/>
        </w:rPr>
        <w:tab/>
      </w:r>
      <w:r w:rsidR="00B54322">
        <w:t>BACKGROUND</w:t>
      </w:r>
    </w:p>
    <w:p w:rsidR="008E68A2" w:rsidRPr="00A908CA" w:rsidRDefault="005F56C5" w:rsidP="009676BD">
      <w:pPr>
        <w:pStyle w:val="2Para"/>
        <w:numPr>
          <w:ilvl w:val="0"/>
          <w:numId w:val="0"/>
        </w:numPr>
        <w:rPr>
          <w:spacing w:val="-2"/>
        </w:rPr>
      </w:pPr>
      <w:r>
        <w:t>2.1</w:t>
      </w:r>
      <w:r>
        <w:tab/>
      </w:r>
      <w:r w:rsidR="00F54307">
        <w:t>Frequency spectrum is a finite and limited resource</w:t>
      </w:r>
      <w:r w:rsidR="003A5FA8">
        <w:t>,</w:t>
      </w:r>
      <w:r w:rsidR="00F54307">
        <w:t xml:space="preserve"> managed by the I</w:t>
      </w:r>
      <w:r w:rsidR="0007142D">
        <w:t>TU</w:t>
      </w:r>
      <w:r w:rsidR="00F54307">
        <w:t xml:space="preserve"> through its </w:t>
      </w:r>
      <w:r w:rsidR="00D05BCD">
        <w:t>WRC</w:t>
      </w:r>
      <w:r w:rsidR="002E72B5">
        <w:t>s</w:t>
      </w:r>
      <w:r w:rsidR="004C0F74">
        <w:t xml:space="preserve"> held every four years</w:t>
      </w:r>
      <w:r w:rsidR="002A753D">
        <w:t>, approximately</w:t>
      </w:r>
      <w:r w:rsidR="00F54307">
        <w:t xml:space="preserve">. </w:t>
      </w:r>
      <w:r w:rsidR="008E68A2" w:rsidRPr="00A908CA">
        <w:rPr>
          <w:spacing w:val="-2"/>
        </w:rPr>
        <w:t xml:space="preserve">Availability of the necessary radio frequency spectrum </w:t>
      </w:r>
      <w:r w:rsidR="00260AC7">
        <w:rPr>
          <w:spacing w:val="-2"/>
        </w:rPr>
        <w:t>is a critical</w:t>
      </w:r>
      <w:r w:rsidR="008E68A2" w:rsidRPr="00A908CA">
        <w:rPr>
          <w:spacing w:val="-2"/>
        </w:rPr>
        <w:t xml:space="preserve"> prerequisite for the safety of civil aviation and the effective implementation of the </w:t>
      </w:r>
      <w:r w:rsidR="00E45EE6">
        <w:rPr>
          <w:spacing w:val="-2"/>
        </w:rPr>
        <w:t>communications, navigation, and surveillance/air traffic management (CNS/ATM</w:t>
      </w:r>
      <w:r w:rsidR="00E45EE6" w:rsidRPr="00E45EE6">
        <w:rPr>
          <w:szCs w:val="24"/>
        </w:rPr>
        <w:t>)</w:t>
      </w:r>
      <w:r w:rsidR="008E68A2" w:rsidRPr="00A908CA">
        <w:rPr>
          <w:spacing w:val="-2"/>
        </w:rPr>
        <w:t xml:space="preserve"> systems. However, as demand for</w:t>
      </w:r>
      <w:r w:rsidR="00303DFF">
        <w:rPr>
          <w:spacing w:val="-2"/>
        </w:rPr>
        <w:t xml:space="preserve"> radio</w:t>
      </w:r>
      <w:r w:rsidR="008E68A2" w:rsidRPr="00A908CA">
        <w:rPr>
          <w:spacing w:val="-2"/>
        </w:rPr>
        <w:t xml:space="preserve"> spectrum from non</w:t>
      </w:r>
      <w:r w:rsidR="00303DFF">
        <w:rPr>
          <w:spacing w:val="-2"/>
        </w:rPr>
        <w:t>-</w:t>
      </w:r>
      <w:r w:rsidR="008E68A2" w:rsidRPr="00A908CA">
        <w:rPr>
          <w:spacing w:val="-2"/>
        </w:rPr>
        <w:t xml:space="preserve">aviation users </w:t>
      </w:r>
      <w:r w:rsidR="001A7A31">
        <w:rPr>
          <w:spacing w:val="-2"/>
        </w:rPr>
        <w:t>keeps</w:t>
      </w:r>
      <w:r w:rsidR="008E68A2" w:rsidRPr="00A908CA">
        <w:rPr>
          <w:spacing w:val="-2"/>
        </w:rPr>
        <w:t xml:space="preserve"> growing, aviation faces </w:t>
      </w:r>
      <w:r w:rsidR="00260AC7">
        <w:rPr>
          <w:spacing w:val="-2"/>
        </w:rPr>
        <w:t xml:space="preserve">an </w:t>
      </w:r>
      <w:r w:rsidR="001A7A31">
        <w:rPr>
          <w:spacing w:val="-2"/>
        </w:rPr>
        <w:t xml:space="preserve">ever </w:t>
      </w:r>
      <w:r w:rsidR="008E68A2" w:rsidRPr="00A908CA">
        <w:rPr>
          <w:spacing w:val="-2"/>
        </w:rPr>
        <w:t xml:space="preserve">increasing competition for the </w:t>
      </w:r>
      <w:r w:rsidR="008E68A2" w:rsidRPr="00A908CA">
        <w:rPr>
          <w:spacing w:val="-2"/>
        </w:rPr>
        <w:lastRenderedPageBreak/>
        <w:t xml:space="preserve">limited available spectrum, in particular from </w:t>
      </w:r>
      <w:r w:rsidR="001A7A31">
        <w:rPr>
          <w:spacing w:val="-2"/>
        </w:rPr>
        <w:t>mobile and broadband</w:t>
      </w:r>
      <w:r w:rsidR="008E68A2" w:rsidRPr="00A908CA">
        <w:rPr>
          <w:spacing w:val="-2"/>
        </w:rPr>
        <w:t xml:space="preserve"> </w:t>
      </w:r>
      <w:r w:rsidR="002C61CB">
        <w:rPr>
          <w:spacing w:val="-2"/>
        </w:rPr>
        <w:t xml:space="preserve">wireless access </w:t>
      </w:r>
      <w:r w:rsidR="008E68A2" w:rsidRPr="00A908CA">
        <w:rPr>
          <w:spacing w:val="-2"/>
        </w:rPr>
        <w:t xml:space="preserve">services. It is essential that aviation requirements for radio frequency spectrum be strongly supported by all ICAO </w:t>
      </w:r>
      <w:r w:rsidR="00303DFF">
        <w:rPr>
          <w:spacing w:val="-2"/>
        </w:rPr>
        <w:t>Member</w:t>
      </w:r>
      <w:r w:rsidR="008E68A2" w:rsidRPr="00A908CA">
        <w:rPr>
          <w:spacing w:val="-2"/>
        </w:rPr>
        <w:t xml:space="preserve"> States in all international </w:t>
      </w:r>
      <w:r w:rsidR="00D05BCD">
        <w:rPr>
          <w:spacing w:val="-2"/>
        </w:rPr>
        <w:t>fora</w:t>
      </w:r>
      <w:r w:rsidR="008E68A2" w:rsidRPr="00A908CA">
        <w:rPr>
          <w:spacing w:val="-2"/>
        </w:rPr>
        <w:t xml:space="preserve"> where spectrum allocations are addressed so as to ensure that aviation requirements for safety o</w:t>
      </w:r>
      <w:r w:rsidR="0007142D">
        <w:rPr>
          <w:spacing w:val="-2"/>
        </w:rPr>
        <w:t>f lif</w:t>
      </w:r>
      <w:r w:rsidR="008E68A2" w:rsidRPr="00A908CA">
        <w:rPr>
          <w:spacing w:val="-2"/>
        </w:rPr>
        <w:t>e services are duly presented and understood.</w:t>
      </w:r>
    </w:p>
    <w:p w:rsidR="008A5C17" w:rsidRPr="00A908CA" w:rsidRDefault="008A5C17" w:rsidP="00CC0226">
      <w:pPr>
        <w:pStyle w:val="2Para"/>
        <w:numPr>
          <w:ilvl w:val="0"/>
          <w:numId w:val="0"/>
        </w:numPr>
        <w:rPr>
          <w:spacing w:val="-2"/>
        </w:rPr>
      </w:pPr>
      <w:r>
        <w:rPr>
          <w:spacing w:val="-2"/>
        </w:rPr>
        <w:t>2.</w:t>
      </w:r>
      <w:r w:rsidR="00CC0226">
        <w:rPr>
          <w:spacing w:val="-2"/>
        </w:rPr>
        <w:t>2</w:t>
      </w:r>
      <w:r>
        <w:rPr>
          <w:spacing w:val="-2"/>
        </w:rPr>
        <w:tab/>
        <w:t xml:space="preserve">ICAO policies and practices related to radio frequency spectrum matters are </w:t>
      </w:r>
      <w:r w:rsidR="0069327B">
        <w:rPr>
          <w:spacing w:val="-2"/>
        </w:rPr>
        <w:t xml:space="preserve">outlined </w:t>
      </w:r>
      <w:r>
        <w:rPr>
          <w:spacing w:val="-2"/>
        </w:rPr>
        <w:t>in Assembly Resolution A3</w:t>
      </w:r>
      <w:r w:rsidR="00260AC7">
        <w:rPr>
          <w:spacing w:val="-2"/>
        </w:rPr>
        <w:t>8</w:t>
      </w:r>
      <w:r>
        <w:rPr>
          <w:spacing w:val="-2"/>
        </w:rPr>
        <w:t>-</w:t>
      </w:r>
      <w:r w:rsidR="00260AC7">
        <w:rPr>
          <w:spacing w:val="-2"/>
        </w:rPr>
        <w:t>6</w:t>
      </w:r>
      <w:r w:rsidR="001A7A31">
        <w:rPr>
          <w:spacing w:val="-2"/>
        </w:rPr>
        <w:t xml:space="preserve">, which </w:t>
      </w:r>
      <w:r>
        <w:rPr>
          <w:spacing w:val="-2"/>
        </w:rPr>
        <w:t>urges</w:t>
      </w:r>
      <w:r w:rsidRPr="00A908CA">
        <w:rPr>
          <w:spacing w:val="-2"/>
        </w:rPr>
        <w:t xml:space="preserve"> ICAO Contracting States</w:t>
      </w:r>
      <w:r w:rsidR="00CB33B1">
        <w:rPr>
          <w:spacing w:val="-2"/>
        </w:rPr>
        <w:t>, international organizations and other civil aviation stakeholders</w:t>
      </w:r>
      <w:r w:rsidRPr="00A908CA">
        <w:rPr>
          <w:spacing w:val="-2"/>
        </w:rPr>
        <w:t xml:space="preserve"> to support aviation requirements for s</w:t>
      </w:r>
      <w:r>
        <w:rPr>
          <w:spacing w:val="-2"/>
        </w:rPr>
        <w:t>pectrum and instruc</w:t>
      </w:r>
      <w:r w:rsidR="004D6E7E">
        <w:rPr>
          <w:spacing w:val="-2"/>
        </w:rPr>
        <w:t>t</w:t>
      </w:r>
      <w:r>
        <w:rPr>
          <w:spacing w:val="-2"/>
        </w:rPr>
        <w:t>s</w:t>
      </w:r>
      <w:r w:rsidRPr="00A908CA">
        <w:rPr>
          <w:spacing w:val="-2"/>
        </w:rPr>
        <w:t xml:space="preserve"> ICAO to make sufficient resources available to enable increased participation in spectrum management activities.</w:t>
      </w:r>
    </w:p>
    <w:p w:rsidR="00D87202" w:rsidRDefault="008A5C17" w:rsidP="00CC0226">
      <w:pPr>
        <w:pStyle w:val="2Heading"/>
        <w:numPr>
          <w:ilvl w:val="0"/>
          <w:numId w:val="0"/>
        </w:numPr>
        <w:ind w:left="720" w:hanging="720"/>
      </w:pPr>
      <w:r w:rsidRPr="009676BD">
        <w:rPr>
          <w:b w:val="0"/>
          <w:bCs/>
        </w:rPr>
        <w:t>2.</w:t>
      </w:r>
      <w:r w:rsidR="00CC0226">
        <w:rPr>
          <w:b w:val="0"/>
          <w:bCs/>
        </w:rPr>
        <w:t>3</w:t>
      </w:r>
      <w:r>
        <w:tab/>
      </w:r>
      <w:r w:rsidR="00BA0273" w:rsidRPr="00D5104D">
        <w:t xml:space="preserve">Summary of the main significant </w:t>
      </w:r>
      <w:r w:rsidR="00D87202" w:rsidRPr="00D5104D">
        <w:t>efforts made during the lead up to WRC-1</w:t>
      </w:r>
      <w:r w:rsidR="00A063E6">
        <w:t>5</w:t>
      </w:r>
    </w:p>
    <w:p w:rsidR="001318B9" w:rsidRDefault="00884CF1" w:rsidP="00CC0226">
      <w:pPr>
        <w:pStyle w:val="2Para"/>
        <w:numPr>
          <w:ilvl w:val="0"/>
          <w:numId w:val="0"/>
        </w:numPr>
        <w:spacing w:before="0" w:after="120"/>
      </w:pPr>
      <w:r>
        <w:t>2.</w:t>
      </w:r>
      <w:r w:rsidR="00CC0226">
        <w:t>3</w:t>
      </w:r>
      <w:r>
        <w:t>.1</w:t>
      </w:r>
      <w:r w:rsidR="005156B0">
        <w:tab/>
      </w:r>
      <w:r w:rsidR="00A02C54">
        <w:t xml:space="preserve">Development and distribution of </w:t>
      </w:r>
      <w:r w:rsidR="0007142D">
        <w:t xml:space="preserve">the </w:t>
      </w:r>
      <w:r w:rsidR="00BD44F9">
        <w:t>ICAO Position</w:t>
      </w:r>
      <w:r w:rsidR="00D87202">
        <w:t xml:space="preserve">:  </w:t>
      </w:r>
    </w:p>
    <w:p w:rsidR="001318B9" w:rsidRDefault="0007142D" w:rsidP="003507D6">
      <w:pPr>
        <w:pStyle w:val="2Para"/>
        <w:numPr>
          <w:ilvl w:val="0"/>
          <w:numId w:val="18"/>
        </w:numPr>
        <w:spacing w:before="0" w:after="120"/>
        <w:ind w:left="1800"/>
      </w:pPr>
      <w:r>
        <w:t>i</w:t>
      </w:r>
      <w:r w:rsidR="00D87202">
        <w:t>ni</w:t>
      </w:r>
      <w:r w:rsidR="0040753C">
        <w:t xml:space="preserve">tially developed in </w:t>
      </w:r>
      <w:r w:rsidR="00CB33B1">
        <w:t>2012</w:t>
      </w:r>
      <w:r w:rsidR="0040753C">
        <w:t xml:space="preserve"> by </w:t>
      </w:r>
      <w:r w:rsidR="00FB7005">
        <w:t>Working Group F (frequency) of the</w:t>
      </w:r>
      <w:r w:rsidR="00203E19">
        <w:t xml:space="preserve"> Aeronautical Communications Panel</w:t>
      </w:r>
      <w:r w:rsidR="00FB7005">
        <w:t xml:space="preserve"> (ACP WG-F)</w:t>
      </w:r>
      <w:r>
        <w:t xml:space="preserve">, </w:t>
      </w:r>
      <w:r w:rsidR="00D87202">
        <w:t>reviewed by the Air Naviga</w:t>
      </w:r>
      <w:r w:rsidR="00D5104D">
        <w:t>tion Commission (</w:t>
      </w:r>
      <w:r w:rsidR="00A02C54">
        <w:t>1</w:t>
      </w:r>
      <w:r w:rsidR="00BD27F1">
        <w:t>91-7</w:t>
      </w:r>
      <w:r>
        <w:t xml:space="preserve"> and 1</w:t>
      </w:r>
      <w:r w:rsidR="00BD27F1">
        <w:t>93-6</w:t>
      </w:r>
      <w:r w:rsidR="00A02C54">
        <w:t>)</w:t>
      </w:r>
      <w:r w:rsidR="003A5FA8">
        <w:t>,</w:t>
      </w:r>
      <w:r w:rsidR="0040753C">
        <w:t xml:space="preserve"> </w:t>
      </w:r>
      <w:r w:rsidR="00A02C54">
        <w:t xml:space="preserve">approved by </w:t>
      </w:r>
      <w:r w:rsidR="00A02C54" w:rsidRPr="0032266A">
        <w:t xml:space="preserve">Council </w:t>
      </w:r>
      <w:r w:rsidR="00A02C54">
        <w:t>(1</w:t>
      </w:r>
      <w:r w:rsidR="00FB7005">
        <w:t>99</w:t>
      </w:r>
      <w:r w:rsidR="00A02C54">
        <w:t>/</w:t>
      </w:r>
      <w:r w:rsidR="00FB7005">
        <w:t>4</w:t>
      </w:r>
      <w:r w:rsidR="00A02C54">
        <w:t xml:space="preserve">) </w:t>
      </w:r>
      <w:r w:rsidR="00A02C54" w:rsidRPr="0032266A">
        <w:t xml:space="preserve">on </w:t>
      </w:r>
      <w:r w:rsidR="00FB7005">
        <w:t>27</w:t>
      </w:r>
      <w:r w:rsidR="00A02C54" w:rsidRPr="0032266A">
        <w:t> </w:t>
      </w:r>
      <w:r w:rsidR="00FB7005">
        <w:t>May</w:t>
      </w:r>
      <w:r w:rsidR="00A02C54" w:rsidRPr="0032266A">
        <w:t> </w:t>
      </w:r>
      <w:r w:rsidR="00CB33B1">
        <w:t>2013</w:t>
      </w:r>
      <w:r>
        <w:t xml:space="preserve"> and sent to States (</w:t>
      </w:r>
      <w:r w:rsidR="0040753C" w:rsidRPr="00052669">
        <w:t>State letter E 3/5-</w:t>
      </w:r>
      <w:r w:rsidR="00FB7005">
        <w:t>13</w:t>
      </w:r>
      <w:r w:rsidR="0040753C" w:rsidRPr="00052669">
        <w:t>/</w:t>
      </w:r>
      <w:r w:rsidR="00FB7005">
        <w:t>57</w:t>
      </w:r>
      <w:r>
        <w:t>)</w:t>
      </w:r>
      <w:r w:rsidR="0097488B">
        <w:t>;</w:t>
      </w:r>
    </w:p>
    <w:p w:rsidR="001318B9" w:rsidRDefault="00A02C54" w:rsidP="003507D6">
      <w:pPr>
        <w:pStyle w:val="2Para"/>
        <w:numPr>
          <w:ilvl w:val="0"/>
          <w:numId w:val="18"/>
        </w:numPr>
        <w:spacing w:before="0" w:after="120"/>
        <w:ind w:left="1800"/>
      </w:pPr>
      <w:r>
        <w:t xml:space="preserve">subsequent </w:t>
      </w:r>
      <w:r w:rsidRPr="0032266A">
        <w:t xml:space="preserve">update </w:t>
      </w:r>
      <w:r w:rsidR="00FB7005">
        <w:t xml:space="preserve">by the Frequency Spectrum Management Panel (FSMP) (successor to ACP WG-F) </w:t>
      </w:r>
      <w:r>
        <w:t xml:space="preserve">to reflect the progress of studies within ITU and the </w:t>
      </w:r>
      <w:r w:rsidR="00FB7005">
        <w:t>FSMP</w:t>
      </w:r>
      <w:r w:rsidR="0007142D">
        <w:t>,</w:t>
      </w:r>
      <w:r w:rsidRPr="0032266A">
        <w:t xml:space="preserve"> reviewed by the C</w:t>
      </w:r>
      <w:r>
        <w:t>ommission (1</w:t>
      </w:r>
      <w:r w:rsidR="008A1242">
        <w:t>99-3</w:t>
      </w:r>
      <w:r>
        <w:t>)</w:t>
      </w:r>
      <w:r w:rsidR="0007142D">
        <w:t>, approved by</w:t>
      </w:r>
      <w:r>
        <w:t xml:space="preserve"> </w:t>
      </w:r>
      <w:r w:rsidRPr="0032266A">
        <w:t xml:space="preserve">Council </w:t>
      </w:r>
      <w:r>
        <w:t>(</w:t>
      </w:r>
      <w:r w:rsidR="008A1242">
        <w:t>205</w:t>
      </w:r>
      <w:r>
        <w:t>/</w:t>
      </w:r>
      <w:r w:rsidR="008A1242">
        <w:t>5</w:t>
      </w:r>
      <w:r>
        <w:t xml:space="preserve">) </w:t>
      </w:r>
      <w:r w:rsidRPr="0032266A">
        <w:t xml:space="preserve">on </w:t>
      </w:r>
      <w:r w:rsidR="008A1242">
        <w:t>17</w:t>
      </w:r>
      <w:r w:rsidRPr="0032266A">
        <w:t> June 20</w:t>
      </w:r>
      <w:r w:rsidR="008A1242">
        <w:t>15</w:t>
      </w:r>
      <w:r w:rsidR="0007142D">
        <w:t xml:space="preserve"> and sent to States (</w:t>
      </w:r>
      <w:r>
        <w:t>State letter E 3/5-1</w:t>
      </w:r>
      <w:r w:rsidR="008A1242">
        <w:t>5</w:t>
      </w:r>
      <w:r>
        <w:t>/5</w:t>
      </w:r>
      <w:r w:rsidR="008A1242">
        <w:t>2</w:t>
      </w:r>
      <w:r w:rsidR="0007142D">
        <w:t>)</w:t>
      </w:r>
      <w:r w:rsidR="0097488B">
        <w:t>; and</w:t>
      </w:r>
    </w:p>
    <w:p w:rsidR="001318B9" w:rsidRDefault="00BD44F9" w:rsidP="00FD5DAE">
      <w:pPr>
        <w:pStyle w:val="2Para"/>
        <w:numPr>
          <w:ilvl w:val="0"/>
          <w:numId w:val="18"/>
        </w:numPr>
        <w:spacing w:before="0" w:after="120"/>
        <w:ind w:left="1800"/>
      </w:pPr>
      <w:r>
        <w:t>ICAO Position</w:t>
      </w:r>
      <w:r w:rsidR="003B298E">
        <w:t xml:space="preserve"> </w:t>
      </w:r>
      <w:r w:rsidR="00A02C54">
        <w:t xml:space="preserve">submitted to the ITU </w:t>
      </w:r>
      <w:r w:rsidR="00A02C54">
        <w:t>WRC-</w:t>
      </w:r>
      <w:r w:rsidR="00FD5DAE">
        <w:t xml:space="preserve">15 </w:t>
      </w:r>
      <w:r w:rsidR="00A02C54">
        <w:t>on 1</w:t>
      </w:r>
      <w:r w:rsidR="008A1242">
        <w:t>6 July 2015</w:t>
      </w:r>
      <w:r w:rsidR="0040753C">
        <w:t>.</w:t>
      </w:r>
    </w:p>
    <w:p w:rsidR="001318B9" w:rsidRDefault="00884CF1" w:rsidP="00CC0226">
      <w:pPr>
        <w:pStyle w:val="1Para"/>
        <w:numPr>
          <w:ilvl w:val="0"/>
          <w:numId w:val="0"/>
        </w:numPr>
        <w:spacing w:before="0" w:after="240"/>
      </w:pPr>
      <w:r>
        <w:t>2.</w:t>
      </w:r>
      <w:r w:rsidR="00CC0226">
        <w:t>3</w:t>
      </w:r>
      <w:r>
        <w:t>.2</w:t>
      </w:r>
      <w:r>
        <w:tab/>
      </w:r>
      <w:r>
        <w:tab/>
      </w:r>
      <w:r w:rsidR="003B298E">
        <w:t>ICAO Secretariat p</w:t>
      </w:r>
      <w:r w:rsidR="005156B0">
        <w:t xml:space="preserve">reparatory activities </w:t>
      </w:r>
      <w:r w:rsidR="00912472">
        <w:t xml:space="preserve">(missions) </w:t>
      </w:r>
      <w:r w:rsidR="005156B0">
        <w:t xml:space="preserve">to promote the </w:t>
      </w:r>
      <w:r w:rsidR="00BD44F9">
        <w:t>ICAO Position</w:t>
      </w:r>
      <w:r w:rsidR="005156B0">
        <w:t xml:space="preserve"> and spectrum policy to secure adequate support in the preparatory work leading up to </w:t>
      </w:r>
      <w:r w:rsidR="005156B0">
        <w:t>WRC-1</w:t>
      </w:r>
      <w:r w:rsidR="00907673">
        <w:t>5</w:t>
      </w:r>
      <w:r w:rsidR="005156B0">
        <w:t>:</w:t>
      </w:r>
    </w:p>
    <w:p w:rsidR="001318B9" w:rsidRDefault="003A5FA8" w:rsidP="003507D6">
      <w:pPr>
        <w:pStyle w:val="1Para"/>
        <w:numPr>
          <w:ilvl w:val="0"/>
          <w:numId w:val="19"/>
        </w:numPr>
        <w:tabs>
          <w:tab w:val="left" w:pos="2160"/>
        </w:tabs>
        <w:spacing w:before="0" w:after="240"/>
        <w:ind w:left="1890" w:hanging="450"/>
      </w:pPr>
      <w:r>
        <w:t>s</w:t>
      </w:r>
      <w:r w:rsidR="00BA0273">
        <w:t xml:space="preserve">upport of </w:t>
      </w:r>
      <w:r w:rsidR="00514734">
        <w:t>ITU-R</w:t>
      </w:r>
      <w:r w:rsidR="00BA0273">
        <w:t>adiocommunication Sector (ITU-R) work activities, including</w:t>
      </w:r>
      <w:r w:rsidR="00514734">
        <w:t xml:space="preserve"> </w:t>
      </w:r>
      <w:r w:rsidR="00884CF1">
        <w:t xml:space="preserve">ITU-R </w:t>
      </w:r>
      <w:r w:rsidR="00514734">
        <w:t>Study Group</w:t>
      </w:r>
      <w:r w:rsidR="00BA0273">
        <w:t>s</w:t>
      </w:r>
      <w:r w:rsidR="00514734">
        <w:t xml:space="preserve"> </w:t>
      </w:r>
      <w:r w:rsidR="00BA0273">
        <w:t xml:space="preserve">4 and 5, Working Parties </w:t>
      </w:r>
      <w:r w:rsidR="00907673">
        <w:t xml:space="preserve">4A, </w:t>
      </w:r>
      <w:r w:rsidR="00BA0273">
        <w:t>4C</w:t>
      </w:r>
      <w:r w:rsidR="00907673">
        <w:t>,</w:t>
      </w:r>
      <w:r w:rsidR="00BA0273">
        <w:t xml:space="preserve"> 5B</w:t>
      </w:r>
      <w:r w:rsidR="00907673">
        <w:t>, JTG-4-5-6-7</w:t>
      </w:r>
      <w:r w:rsidR="003B298E">
        <w:t>,</w:t>
      </w:r>
      <w:r w:rsidR="00BA0273">
        <w:t xml:space="preserve"> CPM-1</w:t>
      </w:r>
      <w:r w:rsidR="00907673">
        <w:t>5</w:t>
      </w:r>
      <w:r w:rsidR="00BA0273">
        <w:t>/2</w:t>
      </w:r>
      <w:r w:rsidR="00912472">
        <w:t>,</w:t>
      </w:r>
      <w:r w:rsidR="00907673">
        <w:t xml:space="preserve"> </w:t>
      </w:r>
      <w:r w:rsidR="003B298E">
        <w:t>RA-1</w:t>
      </w:r>
      <w:r w:rsidR="00907673">
        <w:t>5</w:t>
      </w:r>
      <w:r w:rsidR="003B298E">
        <w:t xml:space="preserve">; </w:t>
      </w:r>
      <w:r w:rsidR="00912472">
        <w:t xml:space="preserve">on average </w:t>
      </w:r>
      <w:r w:rsidR="00907673">
        <w:t>eleven</w:t>
      </w:r>
      <w:r w:rsidR="00AD0FED">
        <w:t xml:space="preserve"> man</w:t>
      </w:r>
      <w:r>
        <w:t>-</w:t>
      </w:r>
      <w:r w:rsidR="00AD0FED">
        <w:t>weeks per year</w:t>
      </w:r>
      <w:r>
        <w:t>;</w:t>
      </w:r>
    </w:p>
    <w:p w:rsidR="001318B9" w:rsidRDefault="003A5FA8" w:rsidP="003507D6">
      <w:pPr>
        <w:pStyle w:val="1Para"/>
        <w:numPr>
          <w:ilvl w:val="0"/>
          <w:numId w:val="19"/>
        </w:numPr>
        <w:tabs>
          <w:tab w:val="left" w:pos="2160"/>
        </w:tabs>
        <w:spacing w:before="0" w:after="240"/>
        <w:ind w:left="1890" w:hanging="450"/>
      </w:pPr>
      <w:r>
        <w:t>s</w:t>
      </w:r>
      <w:r w:rsidR="00AD0FED">
        <w:t>upport of the WRC-1</w:t>
      </w:r>
      <w:r w:rsidR="00A063E6">
        <w:t>5</w:t>
      </w:r>
      <w:r w:rsidR="00AD0FED">
        <w:t xml:space="preserve"> preparatory activities of </w:t>
      </w:r>
      <w:r w:rsidR="00AD0FED" w:rsidRPr="00751103">
        <w:t>regional telecommunication organizations</w:t>
      </w:r>
      <w:r w:rsidR="00AD0FED" w:rsidRPr="00751103">
        <w:rPr>
          <w:rStyle w:val="FootnoteReference"/>
        </w:rPr>
        <w:footnoteReference w:id="1"/>
      </w:r>
      <w:r w:rsidR="003B298E">
        <w:t>;</w:t>
      </w:r>
      <w:r w:rsidR="00AD0FED">
        <w:t xml:space="preserve"> on average </w:t>
      </w:r>
      <w:r w:rsidR="00A063E6">
        <w:t xml:space="preserve">four </w:t>
      </w:r>
      <w:r w:rsidR="00AD0FED">
        <w:t>man</w:t>
      </w:r>
      <w:r>
        <w:t>-</w:t>
      </w:r>
      <w:r w:rsidR="00AD0FED">
        <w:t xml:space="preserve">weeks </w:t>
      </w:r>
      <w:r w:rsidR="00514734">
        <w:t>per year</w:t>
      </w:r>
      <w:r>
        <w:t>; and</w:t>
      </w:r>
    </w:p>
    <w:p w:rsidR="001318B9" w:rsidRDefault="003A5FA8" w:rsidP="003507D6">
      <w:pPr>
        <w:pStyle w:val="1Para"/>
        <w:numPr>
          <w:ilvl w:val="0"/>
          <w:numId w:val="19"/>
        </w:numPr>
        <w:tabs>
          <w:tab w:val="left" w:pos="2160"/>
        </w:tabs>
        <w:spacing w:before="0" w:after="240"/>
        <w:ind w:left="1890" w:hanging="450"/>
      </w:pPr>
      <w:r>
        <w:t>m</w:t>
      </w:r>
      <w:r w:rsidR="00912472">
        <w:t xml:space="preserve">eetings of </w:t>
      </w:r>
      <w:r w:rsidR="00907673">
        <w:t xml:space="preserve">FSMP (previously </w:t>
      </w:r>
      <w:r w:rsidR="00912472">
        <w:t>ACP WG-F</w:t>
      </w:r>
      <w:r w:rsidR="00907673">
        <w:t>)</w:t>
      </w:r>
      <w:r w:rsidR="00912472">
        <w:t xml:space="preserve"> in conjunction with frequency spectrum workshops for aviation professionals in the ICAO regional offices</w:t>
      </w:r>
      <w:r w:rsidR="003B298E">
        <w:t>;</w:t>
      </w:r>
      <w:r w:rsidR="00912472">
        <w:t xml:space="preserve"> on average </w:t>
      </w:r>
      <w:r w:rsidR="0007142D">
        <w:t>four</w:t>
      </w:r>
      <w:r w:rsidR="00912472">
        <w:t xml:space="preserve"> man weeks per year.</w:t>
      </w:r>
    </w:p>
    <w:p w:rsidR="00ED433D" w:rsidRDefault="005F56C5" w:rsidP="00BC5684">
      <w:pPr>
        <w:pStyle w:val="1Heading"/>
        <w:numPr>
          <w:ilvl w:val="0"/>
          <w:numId w:val="0"/>
        </w:numPr>
        <w:ind w:left="720" w:right="431" w:hanging="720"/>
        <w:jc w:val="left"/>
      </w:pPr>
      <w:r>
        <w:rPr>
          <w:b w:val="0"/>
          <w:bCs/>
        </w:rPr>
        <w:t>3.</w:t>
      </w:r>
      <w:r>
        <w:rPr>
          <w:b w:val="0"/>
          <w:bCs/>
        </w:rPr>
        <w:tab/>
      </w:r>
      <w:r w:rsidR="00ED433D">
        <w:t>Results of the Conference on the agenda items related to International Civil Aviation</w:t>
      </w:r>
    </w:p>
    <w:p w:rsidR="00ED433D" w:rsidRDefault="005F56C5" w:rsidP="00394979">
      <w:pPr>
        <w:pStyle w:val="2Para"/>
        <w:numPr>
          <w:ilvl w:val="0"/>
          <w:numId w:val="0"/>
        </w:numPr>
      </w:pPr>
      <w:r>
        <w:t>3.1</w:t>
      </w:r>
      <w:r>
        <w:tab/>
      </w:r>
      <w:r w:rsidR="00ED433D">
        <w:t>Details of the results of the conference on all agenda items relevant to aviation are contained in Appendix</w:t>
      </w:r>
      <w:r w:rsidR="00F1099F">
        <w:t> </w:t>
      </w:r>
      <w:r w:rsidR="007A0C60">
        <w:t>A</w:t>
      </w:r>
      <w:r w:rsidR="00ED433D">
        <w:t>.</w:t>
      </w:r>
      <w:r w:rsidR="00394979">
        <w:t xml:space="preserve">  Appendix B contains a copy of the Radioregulatory text developed to solve agenda items 1.5, 9.1.5 and Global Flight Tracking, including the Resolution describing an aeronautical agenda item for WRC-19 on the Global Aeronautical Distress and Safety System (GADSS)</w:t>
      </w:r>
      <w:r w:rsidR="00D63394">
        <w:t xml:space="preserve">. </w:t>
      </w:r>
      <w:r w:rsidR="00ED433D">
        <w:t xml:space="preserve">In summary, the main results for civil aviation are as </w:t>
      </w:r>
      <w:r w:rsidR="00060F58">
        <w:t>outlined below</w:t>
      </w:r>
      <w:r w:rsidR="000B601C">
        <w:t>.</w:t>
      </w:r>
    </w:p>
    <w:p w:rsidR="009676BD" w:rsidRDefault="005F56C5" w:rsidP="009676BD">
      <w:pPr>
        <w:pStyle w:val="2Heading"/>
        <w:numPr>
          <w:ilvl w:val="0"/>
          <w:numId w:val="0"/>
        </w:numPr>
        <w:spacing w:before="0" w:after="0"/>
        <w:ind w:left="720" w:hanging="720"/>
        <w:rPr>
          <w:bCs/>
        </w:rPr>
      </w:pPr>
      <w:r w:rsidRPr="004B43A3">
        <w:rPr>
          <w:b w:val="0"/>
          <w:bCs/>
        </w:rPr>
        <w:lastRenderedPageBreak/>
        <w:t>3.</w:t>
      </w:r>
      <w:r w:rsidR="00262F4A" w:rsidRPr="004B43A3">
        <w:rPr>
          <w:b w:val="0"/>
          <w:bCs/>
        </w:rPr>
        <w:t>2</w:t>
      </w:r>
      <w:r w:rsidRPr="007247DA">
        <w:tab/>
      </w:r>
      <w:r w:rsidR="007D64FB" w:rsidRPr="007247DA">
        <w:rPr>
          <w:bCs/>
        </w:rPr>
        <w:t>WRC-1</w:t>
      </w:r>
      <w:r w:rsidR="00262F4A">
        <w:rPr>
          <w:bCs/>
        </w:rPr>
        <w:t>5</w:t>
      </w:r>
      <w:r w:rsidR="007D64FB" w:rsidRPr="007247DA">
        <w:rPr>
          <w:bCs/>
        </w:rPr>
        <w:t xml:space="preserve"> Agenda Item 1.</w:t>
      </w:r>
      <w:r w:rsidR="00262F4A">
        <w:rPr>
          <w:bCs/>
        </w:rPr>
        <w:t>1</w:t>
      </w:r>
    </w:p>
    <w:p w:rsidR="00391F54" w:rsidRPr="00093749" w:rsidRDefault="009676BD" w:rsidP="00552C88">
      <w:pPr>
        <w:pStyle w:val="2Heading"/>
        <w:numPr>
          <w:ilvl w:val="0"/>
          <w:numId w:val="0"/>
        </w:numPr>
        <w:spacing w:before="0"/>
        <w:ind w:left="720" w:hanging="720"/>
      </w:pPr>
      <w:r>
        <w:rPr>
          <w:bCs/>
        </w:rPr>
        <w:tab/>
      </w:r>
      <w:r w:rsidR="00391F54" w:rsidRPr="004B43A3">
        <w:rPr>
          <w:b w:val="0"/>
          <w:i/>
          <w:iCs/>
        </w:rPr>
        <w:t>(</w:t>
      </w:r>
      <w:r w:rsidR="003A53F9" w:rsidRPr="009676BD">
        <w:rPr>
          <w:b w:val="0"/>
          <w:i/>
          <w:iCs/>
        </w:rPr>
        <w:t xml:space="preserve">detailed discussion in </w:t>
      </w:r>
      <w:r w:rsidR="00391F54" w:rsidRPr="009676BD">
        <w:rPr>
          <w:b w:val="0"/>
          <w:i/>
          <w:iCs/>
        </w:rPr>
        <w:t>Appendix</w:t>
      </w:r>
      <w:r w:rsidRPr="009676BD">
        <w:rPr>
          <w:b w:val="0"/>
          <w:i/>
          <w:iCs/>
        </w:rPr>
        <w:t> </w:t>
      </w:r>
      <w:r w:rsidR="00391F54" w:rsidRPr="009676BD">
        <w:rPr>
          <w:b w:val="0"/>
          <w:i/>
          <w:iCs/>
        </w:rPr>
        <w:t xml:space="preserve">A, </w:t>
      </w:r>
      <w:r w:rsidR="00552C88">
        <w:rPr>
          <w:b w:val="0"/>
          <w:i/>
          <w:iCs/>
        </w:rPr>
        <w:t>paragraph</w:t>
      </w:r>
      <w:r w:rsidR="00391F54" w:rsidRPr="009676BD">
        <w:rPr>
          <w:b w:val="0"/>
          <w:i/>
          <w:iCs/>
        </w:rPr>
        <w:t xml:space="preserve"> 1)</w:t>
      </w:r>
    </w:p>
    <w:p w:rsidR="001E1DB3" w:rsidRDefault="009B4B25" w:rsidP="004B43A3">
      <w:pPr>
        <w:pStyle w:val="2Para"/>
        <w:numPr>
          <w:ilvl w:val="0"/>
          <w:numId w:val="0"/>
        </w:numPr>
      </w:pPr>
      <w:r w:rsidRPr="007247DA">
        <w:t>3.</w:t>
      </w:r>
      <w:r w:rsidR="00A93038">
        <w:t>2</w:t>
      </w:r>
      <w:r w:rsidRPr="007247DA">
        <w:t>.1</w:t>
      </w:r>
      <w:r w:rsidRPr="007247DA">
        <w:tab/>
      </w:r>
      <w:r w:rsidR="007F760D" w:rsidRPr="007247DA">
        <w:t>Th</w:t>
      </w:r>
      <w:r w:rsidR="00262F4A">
        <w:t xml:space="preserve">e demand for spectrum for mobile and broadband applications </w:t>
      </w:r>
      <w:r w:rsidR="007F760D" w:rsidRPr="007247DA">
        <w:t xml:space="preserve">is </w:t>
      </w:r>
      <w:r w:rsidR="00262F4A">
        <w:t>growing at a fast pace. Under this agenda item, the telecommunications industry was seeking up to 1 200 MHz of additional spectrum in the 300 MHz to 6 GHz range</w:t>
      </w:r>
      <w:r w:rsidR="00515E38">
        <w:t xml:space="preserve"> </w:t>
      </w:r>
      <w:r w:rsidR="00B4682E">
        <w:t>for</w:t>
      </w:r>
      <w:r w:rsidR="00515E38">
        <w:t xml:space="preserve"> International Mobile Telecommunications (IMT)</w:t>
      </w:r>
      <w:r w:rsidR="00262F4A">
        <w:t xml:space="preserve">.  This frequency range includes a number of aeronautical frequency bands and several of these were </w:t>
      </w:r>
      <w:r w:rsidR="00EC4451">
        <w:t>examined</w:t>
      </w:r>
      <w:r w:rsidR="00262F4A">
        <w:t xml:space="preserve"> by the conference </w:t>
      </w:r>
      <w:r w:rsidR="00EC4451">
        <w:t>for a</w:t>
      </w:r>
      <w:r w:rsidR="00262F4A">
        <w:t xml:space="preserve"> potential allocation to </w:t>
      </w:r>
      <w:r w:rsidR="00515E38">
        <w:t>IMT, including 2</w:t>
      </w:r>
      <w:r w:rsidR="004B43A3">
        <w:t xml:space="preserve"> </w:t>
      </w:r>
      <w:r w:rsidR="00515E38">
        <w:t>700 – 2</w:t>
      </w:r>
      <w:r w:rsidR="004B43A3">
        <w:t xml:space="preserve"> </w:t>
      </w:r>
      <w:r w:rsidR="00515E38">
        <w:t xml:space="preserve">900 MHz used by aeronautical primary surveillance radar </w:t>
      </w:r>
      <w:r w:rsidR="006E20E9">
        <w:t xml:space="preserve">(PSR) </w:t>
      </w:r>
      <w:r w:rsidR="00515E38">
        <w:t>and 4.4</w:t>
      </w:r>
      <w:r w:rsidR="001E1DB3">
        <w:t> – </w:t>
      </w:r>
      <w:r w:rsidR="00515E38">
        <w:t>4.5 GHz</w:t>
      </w:r>
      <w:r w:rsidR="00B4682E">
        <w:t xml:space="preserve"> which is</w:t>
      </w:r>
      <w:r w:rsidR="00515E38">
        <w:t xml:space="preserve"> adjacent to the </w:t>
      </w:r>
      <w:r w:rsidR="00F56271">
        <w:t>aeronautical r</w:t>
      </w:r>
      <w:r w:rsidR="00515E38">
        <w:t xml:space="preserve">adio </w:t>
      </w:r>
      <w:r w:rsidR="00F56271">
        <w:t>a</w:t>
      </w:r>
      <w:r w:rsidR="00515E38">
        <w:t>ltimeter band at 4.2 – 4.4 GHz</w:t>
      </w:r>
      <w:r w:rsidR="00F56271">
        <w:t>.  The aeronautical radio altimeters</w:t>
      </w:r>
      <w:r w:rsidR="00515E38">
        <w:t xml:space="preserve"> constitut</w:t>
      </w:r>
      <w:r w:rsidR="00F56271">
        <w:t>e</w:t>
      </w:r>
      <w:r w:rsidR="00515E38">
        <w:t xml:space="preserve"> a critical component of the aircraft ground proximity warning system (GPWS) and </w:t>
      </w:r>
      <w:r w:rsidR="00EC4451">
        <w:t xml:space="preserve">are </w:t>
      </w:r>
      <w:r w:rsidR="00515E38">
        <w:t>used during CAT I/II/III landings.</w:t>
      </w:r>
      <w:r w:rsidR="001E1DB3">
        <w:t xml:space="preserve">  </w:t>
      </w:r>
    </w:p>
    <w:p w:rsidR="00F941EC" w:rsidRDefault="00A93038" w:rsidP="004B43A3">
      <w:pPr>
        <w:pStyle w:val="2Para"/>
        <w:numPr>
          <w:ilvl w:val="0"/>
          <w:numId w:val="0"/>
        </w:numPr>
      </w:pPr>
      <w:r w:rsidRPr="00093749">
        <w:t>3.</w:t>
      </w:r>
      <w:r>
        <w:t>2</w:t>
      </w:r>
      <w:r w:rsidRPr="00093749">
        <w:t>.</w:t>
      </w:r>
      <w:r>
        <w:t>2</w:t>
      </w:r>
      <w:r w:rsidRPr="00093749">
        <w:tab/>
      </w:r>
      <w:r w:rsidR="001E1DB3">
        <w:t xml:space="preserve">While studies in the ITU prior to the conference had indicated that sharing is not possible between PSR and IMT, </w:t>
      </w:r>
      <w:r w:rsidR="00EC4451">
        <w:t xml:space="preserve">ITU had performed no </w:t>
      </w:r>
      <w:r w:rsidR="001E1DB3">
        <w:t xml:space="preserve">studies to analyse adjacent band compatibility between IMT and </w:t>
      </w:r>
      <w:r w:rsidR="00F56271">
        <w:t>the r</w:t>
      </w:r>
      <w:r w:rsidR="001E1DB3">
        <w:t xml:space="preserve">adio </w:t>
      </w:r>
      <w:r w:rsidR="00F56271">
        <w:t>a</w:t>
      </w:r>
      <w:r w:rsidR="001E1DB3">
        <w:t xml:space="preserve">ltimeters. ICAO studies </w:t>
      </w:r>
      <w:r w:rsidR="00EC4451">
        <w:t xml:space="preserve">(FSMP) </w:t>
      </w:r>
      <w:r w:rsidR="001E1DB3">
        <w:t xml:space="preserve">prior to the conference indicated </w:t>
      </w:r>
      <w:r w:rsidR="000360E5">
        <w:t xml:space="preserve">a strong potential for </w:t>
      </w:r>
      <w:r w:rsidR="00B4682E">
        <w:t xml:space="preserve">harmful </w:t>
      </w:r>
      <w:r w:rsidR="001E1DB3">
        <w:t>interfere</w:t>
      </w:r>
      <w:r w:rsidR="00B4682E">
        <w:t xml:space="preserve">nce to the </w:t>
      </w:r>
      <w:r w:rsidR="001E1DB3">
        <w:t>radio altimeters</w:t>
      </w:r>
      <w:r w:rsidR="000360E5">
        <w:t xml:space="preserve"> by IMT</w:t>
      </w:r>
      <w:r w:rsidR="001E1DB3">
        <w:t>. Relatively early during the conference an agreement was reached to take PSR band</w:t>
      </w:r>
      <w:r w:rsidR="000360E5">
        <w:t>s</w:t>
      </w:r>
      <w:r w:rsidR="001E1DB3">
        <w:t xml:space="preserve"> out of consideration</w:t>
      </w:r>
      <w:r w:rsidR="004B43A3">
        <w:t>.</w:t>
      </w:r>
      <w:r w:rsidR="001E1DB3">
        <w:t xml:space="preserve"> However</w:t>
      </w:r>
      <w:r w:rsidR="004B43A3">
        <w:t>,</w:t>
      </w:r>
      <w:r w:rsidR="001E1DB3">
        <w:t xml:space="preserve"> </w:t>
      </w:r>
      <w:r w:rsidR="000360E5">
        <w:t xml:space="preserve">4.4 – 4.5 GHz, </w:t>
      </w:r>
      <w:r w:rsidR="001E1DB3">
        <w:t xml:space="preserve">adjacent to the </w:t>
      </w:r>
      <w:r w:rsidR="00F56271">
        <w:t>r</w:t>
      </w:r>
      <w:r w:rsidR="001E1DB3">
        <w:t xml:space="preserve">adio </w:t>
      </w:r>
      <w:r w:rsidR="00F56271">
        <w:t>a</w:t>
      </w:r>
      <w:r w:rsidR="001E1DB3">
        <w:t xml:space="preserve">ltimeter band was not off the table until the final days of the conference. </w:t>
      </w:r>
      <w:r w:rsidR="00F941EC">
        <w:t>Prompt action by ICAO, IATA and other aeronautical stakeholders during the conference and direct coordination to aviation authorities through the ICAO APAC Office, was instrumental in averting this threat.</w:t>
      </w:r>
    </w:p>
    <w:p w:rsidR="00F941EC" w:rsidRDefault="00A93038" w:rsidP="005E0632">
      <w:pPr>
        <w:pStyle w:val="2Para"/>
        <w:numPr>
          <w:ilvl w:val="0"/>
          <w:numId w:val="0"/>
        </w:numPr>
      </w:pPr>
      <w:r w:rsidRPr="00093749">
        <w:t>3.</w:t>
      </w:r>
      <w:r>
        <w:t>2.3</w:t>
      </w:r>
      <w:r w:rsidRPr="00093749">
        <w:tab/>
      </w:r>
      <w:r w:rsidR="00B4682E">
        <w:t>A</w:t>
      </w:r>
      <w:r w:rsidR="00F941EC">
        <w:t xml:space="preserve"> favourable outcome was secured for the C-band (3.4 – 4.2 GHz), used fo</w:t>
      </w:r>
      <w:r w:rsidR="00AD1AF4">
        <w:t>r</w:t>
      </w:r>
      <w:r w:rsidR="00F941EC">
        <w:t xml:space="preserve"> satellite links in the </w:t>
      </w:r>
      <w:r w:rsidR="005E0632">
        <w:t>F</w:t>
      </w:r>
      <w:r w:rsidR="00F941EC">
        <w:t xml:space="preserve">ixed </w:t>
      </w:r>
      <w:r w:rsidR="005E0632">
        <w:t>S</w:t>
      </w:r>
      <w:r w:rsidR="00F941EC">
        <w:t xml:space="preserve">atellite </w:t>
      </w:r>
      <w:r w:rsidR="005E0632">
        <w:t>S</w:t>
      </w:r>
      <w:r w:rsidR="00F941EC">
        <w:t>ervice (FSS) supporting aeronautical ground-ground communications, using very small aperture terminal (VSAT) equipment, especially in Africa (Agenda Item 9.1.5 also refers) and South/Central America. The conference made no new allocations or identifications for IMT between 3.7 and 4.2 GHz</w:t>
      </w:r>
      <w:r w:rsidR="000360E5">
        <w:t>. I</w:t>
      </w:r>
      <w:r w:rsidR="00F941EC">
        <w:t xml:space="preserve">n the remainder of the </w:t>
      </w:r>
      <w:r w:rsidR="000360E5">
        <w:t>C-band</w:t>
      </w:r>
      <w:r w:rsidR="00F941EC">
        <w:t xml:space="preserve"> (less critical for aviation VSATs)</w:t>
      </w:r>
      <w:r w:rsidR="004B43A3">
        <w:t>,</w:t>
      </w:r>
      <w:r w:rsidR="00F941EC">
        <w:t xml:space="preserve"> the conference specified necessary conditions to protect the FSS.</w:t>
      </w:r>
    </w:p>
    <w:p w:rsidR="004B43A3" w:rsidRDefault="00E06C26" w:rsidP="004B43A3">
      <w:pPr>
        <w:pStyle w:val="2Heading"/>
        <w:numPr>
          <w:ilvl w:val="0"/>
          <w:numId w:val="0"/>
        </w:numPr>
        <w:spacing w:after="0"/>
        <w:ind w:left="720" w:hanging="720"/>
        <w:rPr>
          <w:bCs/>
        </w:rPr>
      </w:pPr>
      <w:r w:rsidRPr="004B43A3">
        <w:rPr>
          <w:b w:val="0"/>
          <w:bCs/>
        </w:rPr>
        <w:t>3.</w:t>
      </w:r>
      <w:r w:rsidR="00A93038" w:rsidRPr="004B43A3">
        <w:rPr>
          <w:b w:val="0"/>
          <w:bCs/>
        </w:rPr>
        <w:t>3</w:t>
      </w:r>
      <w:r w:rsidRPr="007247DA">
        <w:tab/>
      </w:r>
      <w:r w:rsidR="007D64FB" w:rsidRPr="007247DA">
        <w:rPr>
          <w:bCs/>
        </w:rPr>
        <w:t>WRC-1</w:t>
      </w:r>
      <w:r w:rsidR="00A93038">
        <w:rPr>
          <w:bCs/>
        </w:rPr>
        <w:t>5</w:t>
      </w:r>
      <w:r w:rsidR="007D64FB" w:rsidRPr="007247DA">
        <w:rPr>
          <w:bCs/>
        </w:rPr>
        <w:t xml:space="preserve"> Agenda Item 1.</w:t>
      </w:r>
      <w:r w:rsidR="00A93038">
        <w:rPr>
          <w:bCs/>
        </w:rPr>
        <w:t>5</w:t>
      </w:r>
    </w:p>
    <w:p w:rsidR="00391F54" w:rsidRPr="00093749" w:rsidRDefault="004B43A3" w:rsidP="00552C88">
      <w:pPr>
        <w:pStyle w:val="2Heading"/>
        <w:numPr>
          <w:ilvl w:val="0"/>
          <w:numId w:val="0"/>
        </w:numPr>
        <w:spacing w:before="0"/>
        <w:ind w:left="720" w:hanging="720"/>
      </w:pPr>
      <w:r>
        <w:rPr>
          <w:b w:val="0"/>
          <w:bCs/>
          <w:i/>
          <w:iCs/>
        </w:rPr>
        <w:tab/>
      </w:r>
      <w:r w:rsidR="003A53F9" w:rsidRPr="004B43A3">
        <w:rPr>
          <w:b w:val="0"/>
          <w:bCs/>
          <w:i/>
          <w:iCs/>
        </w:rPr>
        <w:t xml:space="preserve">(detailed discussion in </w:t>
      </w:r>
      <w:r w:rsidR="00391F54" w:rsidRPr="004B43A3">
        <w:rPr>
          <w:b w:val="0"/>
          <w:bCs/>
          <w:i/>
          <w:iCs/>
        </w:rPr>
        <w:t xml:space="preserve">Appendix A, </w:t>
      </w:r>
      <w:r w:rsidR="00552C88">
        <w:rPr>
          <w:b w:val="0"/>
          <w:bCs/>
          <w:i/>
          <w:iCs/>
        </w:rPr>
        <w:t>paragraph</w:t>
      </w:r>
      <w:r w:rsidR="00391F54" w:rsidRPr="004B43A3">
        <w:rPr>
          <w:b w:val="0"/>
          <w:bCs/>
          <w:i/>
          <w:iCs/>
        </w:rPr>
        <w:t xml:space="preserve"> 3</w:t>
      </w:r>
      <w:r w:rsidR="00391F54">
        <w:t>)</w:t>
      </w:r>
    </w:p>
    <w:p w:rsidR="00A93038" w:rsidRDefault="009B4B25" w:rsidP="00C766D8">
      <w:pPr>
        <w:pStyle w:val="2Para"/>
        <w:numPr>
          <w:ilvl w:val="0"/>
          <w:numId w:val="0"/>
        </w:numPr>
      </w:pPr>
      <w:r w:rsidRPr="007247DA">
        <w:t>3.</w:t>
      </w:r>
      <w:r w:rsidR="00A93038">
        <w:t>3</w:t>
      </w:r>
      <w:r w:rsidRPr="007247DA">
        <w:t>.1</w:t>
      </w:r>
      <w:r w:rsidRPr="007247DA">
        <w:tab/>
      </w:r>
      <w:r w:rsidR="00A93038">
        <w:t xml:space="preserve">Existing satellite networks operating in the FSS in the frequency bands at 14/12 GHz </w:t>
      </w:r>
      <w:r w:rsidR="00AF535F">
        <w:t xml:space="preserve">(Ku-band) </w:t>
      </w:r>
      <w:r w:rsidR="00A93038">
        <w:t xml:space="preserve">and 30/20 GHz </w:t>
      </w:r>
      <w:r w:rsidR="00AF535F">
        <w:t>(</w:t>
      </w:r>
      <w:proofErr w:type="spellStart"/>
      <w:r w:rsidR="00AF535F">
        <w:t>Ka</w:t>
      </w:r>
      <w:proofErr w:type="spellEnd"/>
      <w:r w:rsidR="00AF535F">
        <w:t xml:space="preserve">-band) </w:t>
      </w:r>
      <w:r w:rsidR="00A93038">
        <w:t xml:space="preserve">have potential spectrum capacity </w:t>
      </w:r>
      <w:r w:rsidR="00B4682E">
        <w:t>to</w:t>
      </w:r>
      <w:r w:rsidR="00A93038">
        <w:t xml:space="preserve"> meet the requirements for beyond line-of-sight </w:t>
      </w:r>
      <w:r w:rsidR="00394607">
        <w:t xml:space="preserve">communication </w:t>
      </w:r>
      <w:r w:rsidR="00A93038">
        <w:t xml:space="preserve">links and could be used for </w:t>
      </w:r>
      <w:r w:rsidR="00580277">
        <w:t xml:space="preserve">the Command and Control </w:t>
      </w:r>
      <w:r w:rsidR="0075655D">
        <w:t>(C2)</w:t>
      </w:r>
      <w:r w:rsidR="00580277">
        <w:t xml:space="preserve"> of Remotely Piloted Aircraft Systems</w:t>
      </w:r>
      <w:r w:rsidR="0075655D">
        <w:t xml:space="preserve"> (RPAS),</w:t>
      </w:r>
      <w:r w:rsidR="00A93038">
        <w:t xml:space="preserve"> provided that certain principles (conditions)</w:t>
      </w:r>
      <w:r w:rsidR="00E2722E">
        <w:t xml:space="preserve"> as</w:t>
      </w:r>
      <w:r w:rsidR="00A93038">
        <w:t xml:space="preserve"> indicated in the ICAO Position are fulfilled. However, the FSS is normally not recognized in the ITU as a </w:t>
      </w:r>
      <w:r w:rsidR="00A93038" w:rsidRPr="00CD5427">
        <w:rPr>
          <w:i/>
          <w:iCs/>
        </w:rPr>
        <w:t>safety service</w:t>
      </w:r>
      <w:r w:rsidR="00A93038">
        <w:t xml:space="preserve">. State operated </w:t>
      </w:r>
      <w:r w:rsidR="0075655D">
        <w:t>RPAS</w:t>
      </w:r>
      <w:r w:rsidR="00A93038">
        <w:t xml:space="preserve"> have been using </w:t>
      </w:r>
      <w:r w:rsidR="0075655D">
        <w:t>C2</w:t>
      </w:r>
      <w:r w:rsidR="00A93038">
        <w:t xml:space="preserve"> links over FSS in segregated airspaces for a number of years. Previously WRC-12 had attempted but failed to develop a solution supporting the use of FSS spectrum for </w:t>
      </w:r>
      <w:r w:rsidR="0075655D">
        <w:t>RPAS</w:t>
      </w:r>
      <w:r w:rsidR="00A93038">
        <w:t xml:space="preserve"> in a manner satisfying the </w:t>
      </w:r>
      <w:r w:rsidR="00E2722E" w:rsidRPr="00CD5427">
        <w:rPr>
          <w:i/>
          <w:iCs/>
        </w:rPr>
        <w:t>safety</w:t>
      </w:r>
      <w:r w:rsidR="00E2722E">
        <w:rPr>
          <w:i/>
          <w:iCs/>
        </w:rPr>
        <w:t> </w:t>
      </w:r>
      <w:r w:rsidR="00E2722E" w:rsidRPr="00CD5427">
        <w:rPr>
          <w:i/>
          <w:iCs/>
        </w:rPr>
        <w:t>and</w:t>
      </w:r>
      <w:r w:rsidR="00E2722E">
        <w:rPr>
          <w:i/>
          <w:iCs/>
        </w:rPr>
        <w:t> </w:t>
      </w:r>
      <w:r w:rsidR="00E2722E" w:rsidRPr="00CD5427">
        <w:rPr>
          <w:i/>
          <w:iCs/>
        </w:rPr>
        <w:t>regularity</w:t>
      </w:r>
      <w:r w:rsidR="00E2722E">
        <w:rPr>
          <w:i/>
          <w:iCs/>
        </w:rPr>
        <w:t> </w:t>
      </w:r>
      <w:r w:rsidR="00E2722E" w:rsidRPr="00CD5427">
        <w:rPr>
          <w:i/>
          <w:iCs/>
        </w:rPr>
        <w:t>of</w:t>
      </w:r>
      <w:r w:rsidR="00E2722E">
        <w:rPr>
          <w:i/>
          <w:iCs/>
        </w:rPr>
        <w:t> </w:t>
      </w:r>
      <w:r w:rsidR="00A93038" w:rsidRPr="00CD5427">
        <w:rPr>
          <w:i/>
          <w:iCs/>
        </w:rPr>
        <w:t>flight</w:t>
      </w:r>
      <w:r w:rsidR="00A93038">
        <w:t xml:space="preserve"> requirements of civil aviation.</w:t>
      </w:r>
    </w:p>
    <w:p w:rsidR="00A93038" w:rsidRDefault="00F044BD" w:rsidP="00C766D8">
      <w:pPr>
        <w:pStyle w:val="2Para"/>
        <w:numPr>
          <w:ilvl w:val="0"/>
          <w:numId w:val="0"/>
        </w:numPr>
      </w:pPr>
      <w:r>
        <w:t>3.3.2</w:t>
      </w:r>
      <w:r>
        <w:tab/>
      </w:r>
      <w:r w:rsidR="00A93038">
        <w:t xml:space="preserve">The conference agreed to </w:t>
      </w:r>
      <w:r w:rsidR="00160201">
        <w:t xml:space="preserve">new </w:t>
      </w:r>
      <w:r w:rsidR="00A93038">
        <w:t>allocation</w:t>
      </w:r>
      <w:r w:rsidR="00160201">
        <w:t xml:space="preserve">s in the </w:t>
      </w:r>
      <w:r>
        <w:t xml:space="preserve">FSS </w:t>
      </w:r>
      <w:r w:rsidR="00A93038">
        <w:t xml:space="preserve">Ku and </w:t>
      </w:r>
      <w:proofErr w:type="spellStart"/>
      <w:r w:rsidR="00A93038">
        <w:t>Ka</w:t>
      </w:r>
      <w:proofErr w:type="spellEnd"/>
      <w:r w:rsidR="00A93038">
        <w:t xml:space="preserve"> </w:t>
      </w:r>
      <w:r>
        <w:t xml:space="preserve">frequency </w:t>
      </w:r>
      <w:r w:rsidR="00A93038">
        <w:t>bands</w:t>
      </w:r>
      <w:r w:rsidR="00160201">
        <w:t>, identifying over 2.2 GHz of spectrum</w:t>
      </w:r>
      <w:r w:rsidR="00C5766C">
        <w:t xml:space="preserve"> against a Resolution</w:t>
      </w:r>
      <w:r w:rsidR="00A93038">
        <w:t xml:space="preserve">. </w:t>
      </w:r>
      <w:r>
        <w:t>The Resolution specifies that t</w:t>
      </w:r>
      <w:r w:rsidR="00A93038">
        <w:t>h</w:t>
      </w:r>
      <w:r w:rsidR="00160201">
        <w:t>ese frequency bands</w:t>
      </w:r>
      <w:r w:rsidR="00A93038">
        <w:t xml:space="preserve"> can be used for the </w:t>
      </w:r>
      <w:r w:rsidR="0075655D">
        <w:t xml:space="preserve">RPAS </w:t>
      </w:r>
      <w:r w:rsidR="00580277">
        <w:t>C</w:t>
      </w:r>
      <w:r w:rsidR="0075655D">
        <w:t>2</w:t>
      </w:r>
      <w:r w:rsidR="00580277">
        <w:t xml:space="preserve"> links </w:t>
      </w:r>
      <w:r w:rsidR="00A93038">
        <w:t>in non-segregated airspaces and any other airspaces under the control of civil aviation authorities</w:t>
      </w:r>
      <w:r w:rsidR="00394607">
        <w:t>.</w:t>
      </w:r>
      <w:r w:rsidR="00A93038">
        <w:t xml:space="preserve"> Th</w:t>
      </w:r>
      <w:r w:rsidR="00160201">
        <w:t>is use</w:t>
      </w:r>
      <w:r w:rsidR="00A93038">
        <w:t xml:space="preserve"> is contingent on the successful development of ICAO SARPs.</w:t>
      </w:r>
      <w:r w:rsidR="00A933EF">
        <w:t xml:space="preserve"> </w:t>
      </w:r>
      <w:r w:rsidR="000151A2">
        <w:t xml:space="preserve">The Resolution goes into considerable detail to protect the current FSS environment against being disrupted by the introduction of a </w:t>
      </w:r>
      <w:r w:rsidR="000151A2">
        <w:rPr>
          <w:i/>
          <w:iCs/>
        </w:rPr>
        <w:t xml:space="preserve">safety </w:t>
      </w:r>
      <w:r w:rsidR="000151A2" w:rsidRPr="00E22CB7">
        <w:t>service</w:t>
      </w:r>
      <w:r w:rsidR="000151A2">
        <w:t xml:space="preserve">. </w:t>
      </w:r>
      <w:r w:rsidR="00A933EF" w:rsidRPr="007F10FC">
        <w:t>While</w:t>
      </w:r>
      <w:r w:rsidR="00A933EF">
        <w:t xml:space="preserve"> not providing a traditional aeronautical mobile satellite (route) service, the </w:t>
      </w:r>
      <w:r w:rsidR="00A93038">
        <w:t>Resolution introduce</w:t>
      </w:r>
      <w:r w:rsidR="00A933EF">
        <w:t>s</w:t>
      </w:r>
      <w:r w:rsidR="00A93038">
        <w:t xml:space="preserve"> an application with </w:t>
      </w:r>
      <w:r w:rsidR="00A93038" w:rsidRPr="00CD5427">
        <w:rPr>
          <w:i/>
          <w:iCs/>
        </w:rPr>
        <w:t>safety of life</w:t>
      </w:r>
      <w:r w:rsidR="00A93038">
        <w:t xml:space="preserve"> implications into the FSS</w:t>
      </w:r>
      <w:r w:rsidR="007342B2">
        <w:t xml:space="preserve"> and </w:t>
      </w:r>
      <w:r w:rsidR="00A93038">
        <w:t xml:space="preserve">contains language consistent with </w:t>
      </w:r>
      <w:r w:rsidR="00160201">
        <w:t xml:space="preserve">a </w:t>
      </w:r>
      <w:r w:rsidR="00A93038">
        <w:rPr>
          <w:i/>
          <w:iCs/>
        </w:rPr>
        <w:t>safety</w:t>
      </w:r>
      <w:r w:rsidR="00A93038" w:rsidRPr="0013369E">
        <w:rPr>
          <w:i/>
          <w:iCs/>
        </w:rPr>
        <w:t xml:space="preserve"> service</w:t>
      </w:r>
      <w:r w:rsidR="00A93038">
        <w:t xml:space="preserve"> </w:t>
      </w:r>
      <w:r w:rsidR="00394607">
        <w:t xml:space="preserve">and appropriately referencing article </w:t>
      </w:r>
      <w:r w:rsidR="00A93038">
        <w:rPr>
          <w:b/>
          <w:bCs/>
        </w:rPr>
        <w:t>4.10</w:t>
      </w:r>
      <w:r w:rsidR="00394607" w:rsidRPr="0013369E">
        <w:t xml:space="preserve"> of the </w:t>
      </w:r>
      <w:r w:rsidR="007E58B9">
        <w:t>Radio Regulations</w:t>
      </w:r>
      <w:r w:rsidR="00A93038">
        <w:t xml:space="preserve">. </w:t>
      </w:r>
      <w:r w:rsidR="0075655D">
        <w:t>While ensuring the highest degree of certainty against harmful inte</w:t>
      </w:r>
      <w:r w:rsidR="001910CC">
        <w:t xml:space="preserve">rference, </w:t>
      </w:r>
      <w:r w:rsidR="00160201">
        <w:t>to the extent</w:t>
      </w:r>
      <w:r w:rsidR="006F3A76">
        <w:t xml:space="preserve"> possible </w:t>
      </w:r>
      <w:r w:rsidR="001910CC">
        <w:t xml:space="preserve">under the conditions </w:t>
      </w:r>
      <w:r w:rsidR="00160201">
        <w:t xml:space="preserve">governing the </w:t>
      </w:r>
      <w:r w:rsidR="001910CC">
        <w:t>coordination process for FSS, t</w:t>
      </w:r>
      <w:r w:rsidR="00A93038">
        <w:t xml:space="preserve">his </w:t>
      </w:r>
      <w:r w:rsidR="007342B2">
        <w:lastRenderedPageBreak/>
        <w:t xml:space="preserve">approach </w:t>
      </w:r>
      <w:r w:rsidR="001910CC">
        <w:t xml:space="preserve">also </w:t>
      </w:r>
      <w:r w:rsidR="00A93038">
        <w:t xml:space="preserve">takes care of the moral obligation </w:t>
      </w:r>
      <w:r w:rsidR="007342B2">
        <w:t xml:space="preserve">by States and spectrum users </w:t>
      </w:r>
      <w:r w:rsidR="00A93038">
        <w:t>for safeguarding life in the use of the relevant fre</w:t>
      </w:r>
      <w:r w:rsidR="001910CC">
        <w:t>quencies.</w:t>
      </w:r>
      <w:r w:rsidR="00A93038">
        <w:t xml:space="preserve"> </w:t>
      </w:r>
      <w:r w:rsidR="001910CC">
        <w:t>H</w:t>
      </w:r>
      <w:r w:rsidR="007342B2">
        <w:t>owever</w:t>
      </w:r>
      <w:r w:rsidR="00C766D8">
        <w:t>,</w:t>
      </w:r>
      <w:r w:rsidR="007342B2">
        <w:t xml:space="preserve"> </w:t>
      </w:r>
      <w:r w:rsidR="001910CC">
        <w:t xml:space="preserve">a </w:t>
      </w:r>
      <w:r w:rsidR="00A93038">
        <w:t xml:space="preserve">part of the burden </w:t>
      </w:r>
      <w:r w:rsidR="0075655D">
        <w:t xml:space="preserve">to </w:t>
      </w:r>
      <w:r w:rsidR="00A93038">
        <w:t>ensur</w:t>
      </w:r>
      <w:r w:rsidR="0075655D">
        <w:t>e</w:t>
      </w:r>
      <w:r w:rsidR="00A93038">
        <w:t xml:space="preserve"> </w:t>
      </w:r>
      <w:r w:rsidR="0075655D">
        <w:t>operation without harmful interference</w:t>
      </w:r>
      <w:r w:rsidR="00A93038">
        <w:t xml:space="preserve">, such as real time interference monitoring and predicting interference risks, </w:t>
      </w:r>
      <w:r w:rsidR="00394607">
        <w:t>will have to be addressed in SARPs and is thus</w:t>
      </w:r>
      <w:r w:rsidR="001910CC">
        <w:t xml:space="preserve"> placed </w:t>
      </w:r>
      <w:r w:rsidR="00A93038">
        <w:t>on the shoulders of the aeronautical regulators.</w:t>
      </w:r>
      <w:r w:rsidR="007342B2">
        <w:t xml:space="preserve"> </w:t>
      </w:r>
      <w:r w:rsidR="00A93038">
        <w:t xml:space="preserve">Further, the Resolution requires ICAO to report on its progress in the development of SARPs for the </w:t>
      </w:r>
      <w:r w:rsidR="00394607">
        <w:t>RPAS C2</w:t>
      </w:r>
      <w:r w:rsidR="00A93038">
        <w:t xml:space="preserve"> link to WRC-19 and WRC-23. This reporting should include identification of any problems in the application of the Resolution and potential means by the WRC to address those. The Resolution comes fully into force by WRC-23.</w:t>
      </w:r>
    </w:p>
    <w:p w:rsidR="007342B2" w:rsidRDefault="007342B2" w:rsidP="00C766D8">
      <w:pPr>
        <w:pStyle w:val="2Para"/>
        <w:numPr>
          <w:ilvl w:val="0"/>
          <w:numId w:val="0"/>
        </w:numPr>
      </w:pPr>
      <w:r>
        <w:t>3.3.3</w:t>
      </w:r>
      <w:r>
        <w:tab/>
      </w:r>
      <w:r w:rsidR="00A93038">
        <w:t xml:space="preserve">The delicate compromise achieved by the </w:t>
      </w:r>
      <w:r w:rsidR="00C766D8">
        <w:t>c</w:t>
      </w:r>
      <w:r w:rsidR="00A93038">
        <w:t xml:space="preserve">onference is </w:t>
      </w:r>
      <w:r w:rsidR="009809C8">
        <w:t xml:space="preserve">fully </w:t>
      </w:r>
      <w:r w:rsidR="00A93038">
        <w:t xml:space="preserve">in line with the ICAO Position. It provides the Remotely Piloted Aircraft Systems Panel (RPASP) with a set of conditions to develop SARPs </w:t>
      </w:r>
      <w:r w:rsidR="00783E7A">
        <w:t xml:space="preserve">against </w:t>
      </w:r>
      <w:r w:rsidR="00A93038">
        <w:t xml:space="preserve">– or to identify showstoppers, if any. </w:t>
      </w:r>
      <w:r w:rsidR="009809C8">
        <w:t>However, t</w:t>
      </w:r>
      <w:r w:rsidR="00A93038">
        <w:t xml:space="preserve">he </w:t>
      </w:r>
      <w:r w:rsidR="00783E7A">
        <w:t xml:space="preserve">implicit </w:t>
      </w:r>
      <w:r w:rsidR="00A93038">
        <w:t xml:space="preserve">obligation of the ICAO work programme to fully support the required ITU studies, to enable WRC-19 and WRC-23 to fine tune the Resolution before it enters into full force in 2023, should be noted. It is expected that this work will take place within the FSMP, RPASP </w:t>
      </w:r>
      <w:r w:rsidR="00783E7A">
        <w:t>and</w:t>
      </w:r>
      <w:r w:rsidR="00A93038">
        <w:t xml:space="preserve"> other supporting </w:t>
      </w:r>
      <w:r w:rsidR="00C766D8">
        <w:t>p</w:t>
      </w:r>
      <w:r w:rsidR="00A93038">
        <w:t>anels of the Air Navigation Commission.</w:t>
      </w:r>
    </w:p>
    <w:p w:rsidR="00C766D8" w:rsidRDefault="00CB028E" w:rsidP="00C766D8">
      <w:pPr>
        <w:pStyle w:val="2Heading"/>
        <w:numPr>
          <w:ilvl w:val="0"/>
          <w:numId w:val="0"/>
        </w:numPr>
        <w:spacing w:after="0"/>
        <w:ind w:left="720" w:hanging="720"/>
        <w:rPr>
          <w:bCs/>
        </w:rPr>
      </w:pPr>
      <w:r w:rsidRPr="00C766D8">
        <w:rPr>
          <w:b w:val="0"/>
          <w:bCs/>
        </w:rPr>
        <w:t>3.</w:t>
      </w:r>
      <w:r w:rsidR="00580277" w:rsidRPr="00C766D8">
        <w:rPr>
          <w:b w:val="0"/>
          <w:bCs/>
        </w:rPr>
        <w:t>4</w:t>
      </w:r>
      <w:r w:rsidRPr="007247DA">
        <w:tab/>
      </w:r>
      <w:r w:rsidR="007D64FB" w:rsidRPr="007247DA">
        <w:rPr>
          <w:bCs/>
        </w:rPr>
        <w:t>WRC-1</w:t>
      </w:r>
      <w:r w:rsidR="00580277">
        <w:rPr>
          <w:bCs/>
        </w:rPr>
        <w:t>5</w:t>
      </w:r>
      <w:r w:rsidR="007D64FB" w:rsidRPr="007247DA">
        <w:rPr>
          <w:bCs/>
        </w:rPr>
        <w:t xml:space="preserve"> </w:t>
      </w:r>
      <w:r w:rsidRPr="007247DA">
        <w:rPr>
          <w:bCs/>
        </w:rPr>
        <w:t xml:space="preserve">Agenda Item </w:t>
      </w:r>
      <w:r w:rsidR="00580277">
        <w:rPr>
          <w:bCs/>
        </w:rPr>
        <w:t>9.1.5</w:t>
      </w:r>
    </w:p>
    <w:p w:rsidR="00B91C40" w:rsidRPr="00C766D8" w:rsidRDefault="00C766D8" w:rsidP="00552C88">
      <w:pPr>
        <w:pStyle w:val="2Heading"/>
        <w:numPr>
          <w:ilvl w:val="0"/>
          <w:numId w:val="0"/>
        </w:numPr>
        <w:spacing w:before="0"/>
        <w:ind w:left="720" w:hanging="720"/>
        <w:rPr>
          <w:b w:val="0"/>
          <w:i/>
          <w:iCs/>
        </w:rPr>
      </w:pPr>
      <w:r>
        <w:rPr>
          <w:bCs/>
        </w:rPr>
        <w:tab/>
      </w:r>
      <w:r w:rsidRPr="00C766D8">
        <w:rPr>
          <w:b w:val="0"/>
          <w:i/>
          <w:iCs/>
        </w:rPr>
        <w:t>(</w:t>
      </w:r>
      <w:r w:rsidR="003A53F9" w:rsidRPr="00C766D8">
        <w:rPr>
          <w:b w:val="0"/>
          <w:i/>
          <w:iCs/>
        </w:rPr>
        <w:t xml:space="preserve">detailed discussion in </w:t>
      </w:r>
      <w:r w:rsidR="00B91C40" w:rsidRPr="00C766D8">
        <w:rPr>
          <w:b w:val="0"/>
          <w:i/>
          <w:iCs/>
        </w:rPr>
        <w:t xml:space="preserve">Appendix A, </w:t>
      </w:r>
      <w:r w:rsidR="00552C88">
        <w:rPr>
          <w:b w:val="0"/>
          <w:i/>
          <w:iCs/>
        </w:rPr>
        <w:t>paragraph</w:t>
      </w:r>
      <w:r w:rsidR="00B91C40" w:rsidRPr="00C766D8">
        <w:rPr>
          <w:b w:val="0"/>
          <w:i/>
          <w:iCs/>
        </w:rPr>
        <w:t xml:space="preserve"> 14.2)</w:t>
      </w:r>
    </w:p>
    <w:p w:rsidR="00CF1764" w:rsidRDefault="009B4B25" w:rsidP="005E0632">
      <w:pPr>
        <w:tabs>
          <w:tab w:val="left" w:pos="1440"/>
        </w:tabs>
        <w:spacing w:before="260" w:after="260"/>
      </w:pPr>
      <w:r w:rsidRPr="007247DA">
        <w:t>3.</w:t>
      </w:r>
      <w:r w:rsidR="00580277">
        <w:t>4</w:t>
      </w:r>
      <w:r w:rsidRPr="007247DA">
        <w:t>.1</w:t>
      </w:r>
      <w:r w:rsidRPr="007247DA">
        <w:tab/>
      </w:r>
      <w:r w:rsidR="00CF1764">
        <w:t xml:space="preserve">The efficient </w:t>
      </w:r>
      <w:r w:rsidR="00783E7A">
        <w:t xml:space="preserve">and safe </w:t>
      </w:r>
      <w:r w:rsidR="00CF1764">
        <w:t>provision of air navigation services requires the implementation and operation of ground communications infrastructure with high availability, reliability and integrity. In the Africa and Indian Ocean Region, the difficulty of fulfilling these requirements, given the extent of the airspace and weakness in terrestrial communication infrastructure, led, in 1997, the ICAO AFI Planning and Implementation Regional Group to approve the use of satellite te</w:t>
      </w:r>
      <w:r w:rsidR="00783E7A">
        <w:t>rminals</w:t>
      </w:r>
      <w:r w:rsidR="00CF1764">
        <w:t xml:space="preserve"> (VSAT) operating under the FSS to support terrestrial aeronautical communications services in the frequency range 3.4 – 4.2 GHz, a frequency range which remains the only viable option for satellite links with high availability in tropical regions, due to </w:t>
      </w:r>
      <w:r w:rsidR="00783E7A">
        <w:t xml:space="preserve">the </w:t>
      </w:r>
      <w:r w:rsidR="00CF1764">
        <w:t>pronounced rain attenuation at higher frequency bands.</w:t>
      </w:r>
    </w:p>
    <w:p w:rsidR="00CF1764" w:rsidRDefault="00391F54" w:rsidP="005E0632">
      <w:pPr>
        <w:tabs>
          <w:tab w:val="left" w:pos="1440"/>
        </w:tabs>
        <w:spacing w:before="260" w:after="260"/>
      </w:pPr>
      <w:r>
        <w:t>3.4.2</w:t>
      </w:r>
      <w:r>
        <w:tab/>
      </w:r>
      <w:r w:rsidR="00CF1764">
        <w:t xml:space="preserve">While the frequency band 3.4 – 3.6 GHz is allocated to the FSS, it is also allocated to the </w:t>
      </w:r>
      <w:r w:rsidR="00DF62B6">
        <w:t xml:space="preserve">mobile </w:t>
      </w:r>
      <w:r w:rsidR="00CF1764">
        <w:t xml:space="preserve">service, identified for </w:t>
      </w:r>
      <w:r w:rsidR="00DF62B6">
        <w:t xml:space="preserve">international mobile telecommunications </w:t>
      </w:r>
      <w:r w:rsidR="00CF1764">
        <w:t xml:space="preserve">(IMT). </w:t>
      </w:r>
      <w:r w:rsidR="00EB2F24">
        <w:t>A</w:t>
      </w:r>
      <w:r w:rsidR="00CF1764">
        <w:t xml:space="preserve">eronautical VSAT operations have </w:t>
      </w:r>
      <w:r w:rsidR="00EB2F24">
        <w:t>experienc</w:t>
      </w:r>
      <w:r w:rsidR="00DF62B6">
        <w:t>ed</w:t>
      </w:r>
      <w:r w:rsidR="00EB2F24">
        <w:t xml:space="preserve"> a number of cases </w:t>
      </w:r>
      <w:r w:rsidR="00DF62B6">
        <w:t>of</w:t>
      </w:r>
      <w:r w:rsidR="00EB2F24">
        <w:t xml:space="preserve"> harmful interference due to</w:t>
      </w:r>
      <w:r w:rsidR="00CF1764">
        <w:t xml:space="preserve"> lack of sufficient measures to protect them by administrations when licensing IMT or other services to co-share the band</w:t>
      </w:r>
      <w:r w:rsidR="00EB2F24">
        <w:t>.</w:t>
      </w:r>
      <w:r w:rsidR="00CF1764">
        <w:t xml:space="preserve"> To address this issue, the con</w:t>
      </w:r>
      <w:r w:rsidR="00EB2F24">
        <w:t xml:space="preserve">ference modified Resolution </w:t>
      </w:r>
      <w:r w:rsidR="00EB2F24" w:rsidRPr="007247DA">
        <w:rPr>
          <w:b/>
          <w:bCs/>
        </w:rPr>
        <w:t>154</w:t>
      </w:r>
      <w:r w:rsidR="00EB2F24">
        <w:t xml:space="preserve"> to </w:t>
      </w:r>
      <w:r w:rsidR="00DF62B6">
        <w:t xml:space="preserve">underscore </w:t>
      </w:r>
      <w:r w:rsidR="00CF1764">
        <w:t xml:space="preserve">the </w:t>
      </w:r>
      <w:r w:rsidR="00EB2F24">
        <w:t>protection needs of existing and planned aeronautical and meteorological VSAT stations.</w:t>
      </w:r>
      <w:r w:rsidR="00CF1764">
        <w:t xml:space="preserve"> The </w:t>
      </w:r>
      <w:r w:rsidR="00EB2F24">
        <w:t xml:space="preserve">modified </w:t>
      </w:r>
      <w:r w:rsidR="00CF1764">
        <w:t xml:space="preserve">Resolution </w:t>
      </w:r>
      <w:r w:rsidR="00EB2F24">
        <w:t xml:space="preserve">also </w:t>
      </w:r>
      <w:r w:rsidR="00CF1764">
        <w:t xml:space="preserve">highlights the need to license the VSAT stations and register them in the Master International Frequency Register (MIFR), to ensure that they are visible to all administrations concerned.  </w:t>
      </w:r>
    </w:p>
    <w:p w:rsidR="00580277" w:rsidRDefault="00391F54" w:rsidP="005E0632">
      <w:pPr>
        <w:tabs>
          <w:tab w:val="left" w:pos="1440"/>
        </w:tabs>
        <w:spacing w:before="260" w:after="260"/>
      </w:pPr>
      <w:r>
        <w:t>3.4.3</w:t>
      </w:r>
      <w:r>
        <w:tab/>
      </w:r>
      <w:r w:rsidR="00CF1764">
        <w:t xml:space="preserve">The modification to Resolution </w:t>
      </w:r>
      <w:r w:rsidR="00CF1764" w:rsidRPr="007247DA">
        <w:rPr>
          <w:b/>
          <w:bCs/>
        </w:rPr>
        <w:t>154</w:t>
      </w:r>
      <w:r w:rsidR="00CF1764">
        <w:t xml:space="preserve"> developed by the conference is fully in line with the ICAO Position. As a follow up measure, aviation service providers operating VSAT stations should be encouraged to have their stations licensed and registered in the MIFR. It is expected that the same measures will help ameliorate similar issues, currently experienced with the operation of aeronautical VSAT networks in South and Central America</w:t>
      </w:r>
    </w:p>
    <w:p w:rsidR="005E0632" w:rsidRDefault="00580277" w:rsidP="005E0632">
      <w:pPr>
        <w:pStyle w:val="2Heading"/>
        <w:numPr>
          <w:ilvl w:val="0"/>
          <w:numId w:val="0"/>
        </w:numPr>
        <w:spacing w:after="0"/>
        <w:ind w:left="720" w:hanging="720"/>
      </w:pPr>
      <w:r w:rsidRPr="005E0632">
        <w:rPr>
          <w:b w:val="0"/>
          <w:bCs/>
        </w:rPr>
        <w:t>3.5</w:t>
      </w:r>
      <w:r w:rsidRPr="00093749">
        <w:tab/>
        <w:t>WRC-1</w:t>
      </w:r>
      <w:r>
        <w:t>5</w:t>
      </w:r>
      <w:r w:rsidRPr="00093749">
        <w:t xml:space="preserve"> Agenda Item </w:t>
      </w:r>
      <w:r>
        <w:t>on Global Flight Tracking for Civil Aviation and a Future Agenda Item on the Global Aeronautical Distress and Safety System</w:t>
      </w:r>
      <w:r w:rsidR="00D6208C">
        <w:t xml:space="preserve"> </w:t>
      </w:r>
    </w:p>
    <w:p w:rsidR="00580277" w:rsidRPr="007247DA" w:rsidRDefault="005E0632" w:rsidP="00552C88">
      <w:pPr>
        <w:pStyle w:val="2Heading"/>
        <w:numPr>
          <w:ilvl w:val="0"/>
          <w:numId w:val="0"/>
        </w:numPr>
        <w:spacing w:before="0"/>
        <w:ind w:left="720" w:hanging="720"/>
      </w:pPr>
      <w:r>
        <w:rPr>
          <w:b w:val="0"/>
          <w:bCs/>
          <w:i/>
          <w:iCs/>
        </w:rPr>
        <w:tab/>
      </w:r>
      <w:r w:rsidR="00D6208C" w:rsidRPr="005E0632">
        <w:rPr>
          <w:b w:val="0"/>
          <w:bCs/>
          <w:i/>
          <w:iCs/>
        </w:rPr>
        <w:t>(</w:t>
      </w:r>
      <w:r w:rsidR="003A53F9" w:rsidRPr="005E0632">
        <w:rPr>
          <w:b w:val="0"/>
          <w:bCs/>
          <w:i/>
          <w:iCs/>
        </w:rPr>
        <w:t xml:space="preserve">detailed discussion in </w:t>
      </w:r>
      <w:r w:rsidR="00D6208C" w:rsidRPr="005E0632">
        <w:rPr>
          <w:b w:val="0"/>
          <w:bCs/>
          <w:i/>
          <w:iCs/>
        </w:rPr>
        <w:t>Appendix A, </w:t>
      </w:r>
      <w:r w:rsidR="00552C88">
        <w:rPr>
          <w:b w:val="0"/>
          <w:bCs/>
          <w:i/>
          <w:iCs/>
        </w:rPr>
        <w:t>paragraph</w:t>
      </w:r>
      <w:r w:rsidR="00D6208C" w:rsidRPr="005E0632">
        <w:rPr>
          <w:b w:val="0"/>
          <w:bCs/>
          <w:i/>
          <w:iCs/>
        </w:rPr>
        <w:t>s 15 and 16)</w:t>
      </w:r>
    </w:p>
    <w:p w:rsidR="00D6208C" w:rsidRPr="00AC21F9" w:rsidRDefault="00580277" w:rsidP="002B36D9">
      <w:pPr>
        <w:pStyle w:val="2Para"/>
        <w:numPr>
          <w:ilvl w:val="0"/>
          <w:numId w:val="0"/>
        </w:numPr>
        <w:rPr>
          <w:rFonts w:asciiTheme="majorBidi" w:hAnsiTheme="majorBidi" w:cstheme="majorBidi"/>
        </w:rPr>
      </w:pPr>
      <w:r w:rsidRPr="00093749">
        <w:t>3.</w:t>
      </w:r>
      <w:r>
        <w:t>5</w:t>
      </w:r>
      <w:r w:rsidRPr="00093749">
        <w:t>.1</w:t>
      </w:r>
      <w:r w:rsidRPr="00093749">
        <w:tab/>
      </w:r>
      <w:r w:rsidR="00391F54" w:rsidRPr="00BC304E">
        <w:rPr>
          <w:lang w:val="en-US"/>
        </w:rPr>
        <w:t xml:space="preserve">While </w:t>
      </w:r>
      <w:r w:rsidR="00391F54">
        <w:rPr>
          <w:lang w:val="en-US"/>
        </w:rPr>
        <w:t xml:space="preserve">the year </w:t>
      </w:r>
      <w:r w:rsidR="00391F54" w:rsidRPr="00BC304E">
        <w:rPr>
          <w:lang w:val="en-US"/>
        </w:rPr>
        <w:t xml:space="preserve">2014 represented one of aviation’s safest years in terms of the number of accidents, the tragedy of Malaysia Airlines flight 370 in March 2014 highlighted vulnerabilities in the global air navigation system requiring urgent mitigation. </w:t>
      </w:r>
      <w:r w:rsidR="00056396">
        <w:rPr>
          <w:lang w:val="en-US"/>
        </w:rPr>
        <w:t>T</w:t>
      </w:r>
      <w:r w:rsidR="00391F54" w:rsidRPr="008E4C5F">
        <w:rPr>
          <w:lang w:val="en-US"/>
        </w:rPr>
        <w:t>o address the</w:t>
      </w:r>
      <w:r w:rsidR="00056396">
        <w:rPr>
          <w:lang w:val="en-US"/>
        </w:rPr>
        <w:t>se</w:t>
      </w:r>
      <w:r w:rsidR="00391F54" w:rsidRPr="008E4C5F">
        <w:rPr>
          <w:lang w:val="en-US"/>
        </w:rPr>
        <w:t xml:space="preserve"> vulnerabilities, the aviation community embarked in a global effort to develop and implement a Global Aeronautical Distress and </w:t>
      </w:r>
      <w:r w:rsidR="00391F54" w:rsidRPr="008E4C5F">
        <w:rPr>
          <w:lang w:val="en-US"/>
        </w:rPr>
        <w:lastRenderedPageBreak/>
        <w:t>Safety System (GADSS)</w:t>
      </w:r>
      <w:r w:rsidR="00056396">
        <w:rPr>
          <w:lang w:val="en-US"/>
        </w:rPr>
        <w:t xml:space="preserve">, </w:t>
      </w:r>
      <w:r w:rsidR="00EC5A6A">
        <w:rPr>
          <w:lang w:val="en-US"/>
        </w:rPr>
        <w:t xml:space="preserve">and </w:t>
      </w:r>
      <w:r w:rsidR="00056396">
        <w:rPr>
          <w:lang w:val="en-US"/>
        </w:rPr>
        <w:t>forg</w:t>
      </w:r>
      <w:r w:rsidR="00EC5A6A">
        <w:rPr>
          <w:lang w:val="en-US"/>
        </w:rPr>
        <w:t>ed</w:t>
      </w:r>
      <w:r w:rsidR="00391F54" w:rsidRPr="0063175F">
        <w:t xml:space="preserve"> consensus among its Member States and the international air transport industry sector on the near-term priority to track airline flights, no matter their global location or destination. </w:t>
      </w:r>
      <w:r w:rsidR="00391F54">
        <w:t>T</w:t>
      </w:r>
      <w:r w:rsidR="00391F54" w:rsidRPr="0063175F">
        <w:t>he ICAO Second High-level Safety Conference</w:t>
      </w:r>
      <w:r w:rsidR="002B36D9">
        <w:t xml:space="preserve"> 2015</w:t>
      </w:r>
      <w:r w:rsidR="00391F54" w:rsidRPr="0063175F">
        <w:t xml:space="preserve"> </w:t>
      </w:r>
      <w:r w:rsidR="00AD1AF4">
        <w:t xml:space="preserve">(HLSC 2015) </w:t>
      </w:r>
      <w:r w:rsidR="00391F54" w:rsidRPr="0063175F">
        <w:t>supported that ICAO should encourage States and the ITU to discuss allocation requirements at WRC-15 to provide the necessary frequency spectrum allocations to enable global air traffic services (ATS) surveillance.</w:t>
      </w:r>
      <w:r w:rsidR="00EC5A6A">
        <w:rPr>
          <w:szCs w:val="24"/>
        </w:rPr>
        <w:t xml:space="preserve"> T</w:t>
      </w:r>
      <w:r w:rsidR="004B47F4">
        <w:rPr>
          <w:rFonts w:asciiTheme="majorBidi" w:hAnsiTheme="majorBidi" w:cstheme="majorBidi"/>
        </w:rPr>
        <w:t xml:space="preserve">he HLSC </w:t>
      </w:r>
      <w:r w:rsidR="002B36D9">
        <w:rPr>
          <w:rFonts w:asciiTheme="majorBidi" w:hAnsiTheme="majorBidi" w:cstheme="majorBidi"/>
        </w:rPr>
        <w:t xml:space="preserve">2015 </w:t>
      </w:r>
      <w:r w:rsidR="004B47F4">
        <w:rPr>
          <w:rFonts w:asciiTheme="majorBidi" w:hAnsiTheme="majorBidi" w:cstheme="majorBidi"/>
        </w:rPr>
        <w:t xml:space="preserve">also endorsed a </w:t>
      </w:r>
      <w:r w:rsidR="00D6208C" w:rsidRPr="004D0ED5">
        <w:rPr>
          <w:rFonts w:asciiTheme="majorBidi" w:hAnsiTheme="majorBidi" w:cstheme="majorBidi"/>
        </w:rPr>
        <w:t xml:space="preserve">concept of operations to support future development of </w:t>
      </w:r>
      <w:r w:rsidR="00300EA4">
        <w:rPr>
          <w:rFonts w:asciiTheme="majorBidi" w:hAnsiTheme="majorBidi" w:cstheme="majorBidi"/>
        </w:rPr>
        <w:t xml:space="preserve">the </w:t>
      </w:r>
      <w:r w:rsidR="00D6208C" w:rsidRPr="004D0ED5">
        <w:rPr>
          <w:rFonts w:asciiTheme="majorBidi" w:hAnsiTheme="majorBidi" w:cstheme="majorBidi"/>
        </w:rPr>
        <w:t>GADSS</w:t>
      </w:r>
      <w:r w:rsidR="004B47F4">
        <w:rPr>
          <w:rFonts w:asciiTheme="majorBidi" w:hAnsiTheme="majorBidi" w:cstheme="majorBidi"/>
        </w:rPr>
        <w:t xml:space="preserve">. It is </w:t>
      </w:r>
      <w:r w:rsidR="00D6208C" w:rsidRPr="004D0ED5">
        <w:rPr>
          <w:rFonts w:asciiTheme="majorBidi" w:hAnsiTheme="majorBidi" w:cstheme="majorBidi"/>
        </w:rPr>
        <w:t>envisaged that GADSS will address issues such as:</w:t>
      </w:r>
      <w:r w:rsidR="004B47F4">
        <w:rPr>
          <w:rFonts w:asciiTheme="majorBidi" w:hAnsiTheme="majorBidi" w:cstheme="majorBidi"/>
        </w:rPr>
        <w:t xml:space="preserve"> </w:t>
      </w:r>
      <w:r w:rsidR="002B36D9">
        <w:rPr>
          <w:rFonts w:asciiTheme="majorBidi" w:hAnsiTheme="majorBidi" w:cstheme="majorBidi"/>
        </w:rPr>
        <w:t>a</w:t>
      </w:r>
      <w:r w:rsidR="00D6208C" w:rsidRPr="004D0ED5">
        <w:rPr>
          <w:rFonts w:asciiTheme="majorBidi" w:hAnsiTheme="majorBidi" w:cstheme="majorBidi"/>
        </w:rPr>
        <w:t>ircraft tracking under normal and abnormal conditions</w:t>
      </w:r>
      <w:r w:rsidR="004B47F4">
        <w:rPr>
          <w:rFonts w:asciiTheme="majorBidi" w:hAnsiTheme="majorBidi" w:cstheme="majorBidi"/>
        </w:rPr>
        <w:t>;</w:t>
      </w:r>
      <w:r w:rsidR="004B47F4" w:rsidRPr="004D0ED5">
        <w:rPr>
          <w:rFonts w:asciiTheme="majorBidi" w:hAnsiTheme="majorBidi" w:cstheme="majorBidi"/>
        </w:rPr>
        <w:t xml:space="preserve"> </w:t>
      </w:r>
      <w:r w:rsidR="002B36D9">
        <w:rPr>
          <w:rFonts w:asciiTheme="majorBidi" w:hAnsiTheme="majorBidi" w:cstheme="majorBidi"/>
        </w:rPr>
        <w:t>a</w:t>
      </w:r>
      <w:r w:rsidR="00D6208C" w:rsidRPr="004D0ED5">
        <w:rPr>
          <w:rFonts w:asciiTheme="majorBidi" w:hAnsiTheme="majorBidi" w:cstheme="majorBidi"/>
        </w:rPr>
        <w:t>utonomous distress tracking</w:t>
      </w:r>
      <w:r w:rsidR="004B47F4">
        <w:rPr>
          <w:rFonts w:asciiTheme="majorBidi" w:hAnsiTheme="majorBidi" w:cstheme="majorBidi"/>
        </w:rPr>
        <w:t xml:space="preserve">; </w:t>
      </w:r>
      <w:r w:rsidR="002B36D9">
        <w:rPr>
          <w:rFonts w:asciiTheme="majorBidi" w:hAnsiTheme="majorBidi" w:cstheme="majorBidi"/>
        </w:rPr>
        <w:t>a</w:t>
      </w:r>
      <w:r w:rsidR="00D6208C" w:rsidRPr="004D0ED5">
        <w:rPr>
          <w:rFonts w:asciiTheme="majorBidi" w:hAnsiTheme="majorBidi" w:cstheme="majorBidi"/>
        </w:rPr>
        <w:t>utomatic deployable flight recorder</w:t>
      </w:r>
      <w:r w:rsidR="004B47F4">
        <w:rPr>
          <w:rFonts w:asciiTheme="majorBidi" w:hAnsiTheme="majorBidi" w:cstheme="majorBidi"/>
        </w:rPr>
        <w:t xml:space="preserve">; and </w:t>
      </w:r>
      <w:r w:rsidR="002B36D9">
        <w:rPr>
          <w:rFonts w:asciiTheme="majorBidi" w:hAnsiTheme="majorBidi" w:cstheme="majorBidi"/>
        </w:rPr>
        <w:t>p</w:t>
      </w:r>
      <w:r w:rsidR="00D6208C" w:rsidRPr="004D0ED5">
        <w:rPr>
          <w:rFonts w:asciiTheme="majorBidi" w:hAnsiTheme="majorBidi" w:cstheme="majorBidi"/>
        </w:rPr>
        <w:t>rocedures and information management</w:t>
      </w:r>
      <w:r w:rsidR="004B47F4">
        <w:rPr>
          <w:rFonts w:asciiTheme="majorBidi" w:hAnsiTheme="majorBidi" w:cstheme="majorBidi"/>
        </w:rPr>
        <w:t>.</w:t>
      </w:r>
      <w:r w:rsidR="00D6208C" w:rsidRPr="004D0ED5">
        <w:rPr>
          <w:rFonts w:asciiTheme="majorBidi" w:hAnsiTheme="majorBidi" w:cstheme="majorBidi"/>
        </w:rPr>
        <w:t xml:space="preserve"> </w:t>
      </w:r>
    </w:p>
    <w:p w:rsidR="00AD1AF4" w:rsidRDefault="004B47F4" w:rsidP="002B36D9">
      <w:pPr>
        <w:pStyle w:val="2Para"/>
        <w:numPr>
          <w:ilvl w:val="0"/>
          <w:numId w:val="0"/>
        </w:numPr>
        <w:rPr>
          <w:szCs w:val="24"/>
        </w:rPr>
      </w:pPr>
      <w:r>
        <w:rPr>
          <w:rFonts w:asciiTheme="majorBidi" w:hAnsiTheme="majorBidi" w:cstheme="majorBidi"/>
        </w:rPr>
        <w:t>3.5.</w:t>
      </w:r>
      <w:r w:rsidR="002B36D9">
        <w:rPr>
          <w:rFonts w:asciiTheme="majorBidi" w:hAnsiTheme="majorBidi" w:cstheme="majorBidi"/>
        </w:rPr>
        <w:t>2</w:t>
      </w:r>
      <w:r>
        <w:rPr>
          <w:rFonts w:asciiTheme="majorBidi" w:hAnsiTheme="majorBidi" w:cstheme="majorBidi"/>
        </w:rPr>
        <w:tab/>
      </w:r>
      <w:r w:rsidR="00D6208C">
        <w:rPr>
          <w:rFonts w:asciiTheme="majorBidi" w:hAnsiTheme="majorBidi" w:cstheme="majorBidi"/>
        </w:rPr>
        <w:t>T</w:t>
      </w:r>
      <w:r w:rsidR="00D6208C" w:rsidRPr="004D0ED5">
        <w:rPr>
          <w:rFonts w:asciiTheme="majorBidi" w:hAnsiTheme="majorBidi" w:cstheme="majorBidi"/>
        </w:rPr>
        <w:t>he collec</w:t>
      </w:r>
      <w:r w:rsidR="00D6208C">
        <w:rPr>
          <w:rFonts w:asciiTheme="majorBidi" w:hAnsiTheme="majorBidi" w:cstheme="majorBidi"/>
        </w:rPr>
        <w:t>tive urgency of the situation was</w:t>
      </w:r>
      <w:r w:rsidR="00D6208C" w:rsidRPr="004D0ED5">
        <w:rPr>
          <w:rFonts w:asciiTheme="majorBidi" w:hAnsiTheme="majorBidi" w:cstheme="majorBidi"/>
        </w:rPr>
        <w:t xml:space="preserve"> </w:t>
      </w:r>
      <w:r w:rsidR="003A53F9">
        <w:rPr>
          <w:rFonts w:asciiTheme="majorBidi" w:hAnsiTheme="majorBidi" w:cstheme="majorBidi"/>
        </w:rPr>
        <w:t>further</w:t>
      </w:r>
      <w:r w:rsidR="00AD1AF4">
        <w:rPr>
          <w:rFonts w:asciiTheme="majorBidi" w:hAnsiTheme="majorBidi" w:cstheme="majorBidi"/>
        </w:rPr>
        <w:t xml:space="preserve"> </w:t>
      </w:r>
      <w:r w:rsidR="00D6208C" w:rsidRPr="004D0ED5">
        <w:rPr>
          <w:rFonts w:asciiTheme="majorBidi" w:hAnsiTheme="majorBidi" w:cstheme="majorBidi"/>
        </w:rPr>
        <w:t>highlighted by the decision of the ITU Plenipotentiary Conference</w:t>
      </w:r>
      <w:r w:rsidR="00D6208C">
        <w:rPr>
          <w:rFonts w:asciiTheme="majorBidi" w:hAnsiTheme="majorBidi" w:cstheme="majorBidi"/>
        </w:rPr>
        <w:t xml:space="preserve"> (October 2014)</w:t>
      </w:r>
      <w:r w:rsidR="00D6208C" w:rsidRPr="004D0ED5">
        <w:rPr>
          <w:rFonts w:asciiTheme="majorBidi" w:hAnsiTheme="majorBidi" w:cstheme="majorBidi"/>
        </w:rPr>
        <w:t>, instruct</w:t>
      </w:r>
      <w:r w:rsidR="00EC5A6A">
        <w:rPr>
          <w:rFonts w:asciiTheme="majorBidi" w:hAnsiTheme="majorBidi" w:cstheme="majorBidi"/>
        </w:rPr>
        <w:t>ing</w:t>
      </w:r>
      <w:r w:rsidR="00D6208C" w:rsidRPr="004D0ED5">
        <w:rPr>
          <w:rFonts w:asciiTheme="majorBidi" w:hAnsiTheme="majorBidi" w:cstheme="majorBidi"/>
        </w:rPr>
        <w:t xml:space="preserve"> WRC</w:t>
      </w:r>
      <w:r w:rsidR="00D6208C" w:rsidRPr="004D0ED5">
        <w:rPr>
          <w:rFonts w:ascii="Cambria Math" w:hAnsi="Cambria Math" w:cs="Cambria Math"/>
        </w:rPr>
        <w:t>‐</w:t>
      </w:r>
      <w:r w:rsidR="00D6208C" w:rsidRPr="004D0ED5">
        <w:rPr>
          <w:rFonts w:asciiTheme="majorBidi" w:hAnsiTheme="majorBidi" w:cstheme="majorBidi"/>
        </w:rPr>
        <w:t>15 to include in its agenda, as a matter of urgency, the consideration of global flight tracking</w:t>
      </w:r>
      <w:r w:rsidR="00EC5A6A">
        <w:rPr>
          <w:rFonts w:asciiTheme="majorBidi" w:hAnsiTheme="majorBidi" w:cstheme="majorBidi"/>
        </w:rPr>
        <w:t xml:space="preserve"> for civil aviation</w:t>
      </w:r>
      <w:r w:rsidR="00D6208C">
        <w:rPr>
          <w:rFonts w:asciiTheme="majorBidi" w:hAnsiTheme="majorBidi" w:cstheme="majorBidi"/>
        </w:rPr>
        <w:t>.</w:t>
      </w:r>
      <w:r w:rsidR="00D6208C" w:rsidRPr="005651B6">
        <w:rPr>
          <w:szCs w:val="24"/>
        </w:rPr>
        <w:t xml:space="preserve"> </w:t>
      </w:r>
    </w:p>
    <w:p w:rsidR="00070530" w:rsidRDefault="00AD1AF4" w:rsidP="002B36D9">
      <w:pPr>
        <w:pStyle w:val="2Para"/>
        <w:numPr>
          <w:ilvl w:val="0"/>
          <w:numId w:val="0"/>
        </w:numPr>
      </w:pPr>
      <w:r>
        <w:rPr>
          <w:szCs w:val="24"/>
        </w:rPr>
        <w:t>3.5.</w:t>
      </w:r>
      <w:r w:rsidR="002B36D9">
        <w:rPr>
          <w:szCs w:val="24"/>
        </w:rPr>
        <w:t>3</w:t>
      </w:r>
      <w:r>
        <w:rPr>
          <w:szCs w:val="24"/>
        </w:rPr>
        <w:tab/>
        <w:t xml:space="preserve">Addressing the issue of </w:t>
      </w:r>
      <w:r w:rsidR="00EC5A6A">
        <w:rPr>
          <w:szCs w:val="24"/>
        </w:rPr>
        <w:t>g</w:t>
      </w:r>
      <w:r>
        <w:rPr>
          <w:szCs w:val="24"/>
        </w:rPr>
        <w:t xml:space="preserve">lobal </w:t>
      </w:r>
      <w:r w:rsidR="00EC5A6A">
        <w:rPr>
          <w:szCs w:val="24"/>
        </w:rPr>
        <w:t>f</w:t>
      </w:r>
      <w:r>
        <w:rPr>
          <w:szCs w:val="24"/>
        </w:rPr>
        <w:t xml:space="preserve">light </w:t>
      </w:r>
      <w:r w:rsidR="00EC5A6A">
        <w:rPr>
          <w:szCs w:val="24"/>
        </w:rPr>
        <w:t>t</w:t>
      </w:r>
      <w:r>
        <w:rPr>
          <w:szCs w:val="24"/>
        </w:rPr>
        <w:t>racking, WRC-15</w:t>
      </w:r>
      <w:r w:rsidR="004B47F4">
        <w:rPr>
          <w:szCs w:val="24"/>
        </w:rPr>
        <w:t xml:space="preserve"> </w:t>
      </w:r>
      <w:r w:rsidR="00056396">
        <w:t>agreed to an allocation to aeronautical mobile satellite (route) service (Earth-to-space) at 1 090 MHz</w:t>
      </w:r>
      <w:r w:rsidR="00EC5A6A">
        <w:t>,</w:t>
      </w:r>
      <w:r w:rsidR="00056396">
        <w:t xml:space="preserve"> limit</w:t>
      </w:r>
      <w:r w:rsidR="00EC5A6A">
        <w:t>ed</w:t>
      </w:r>
      <w:r w:rsidR="00056396">
        <w:t xml:space="preserve"> to the space station reception of ADS-B emissions from aircraft transmitters operating in accordance with ICAO SARPs. The new allocation has to protect the aeronautical radionavigation service under which the aircraft </w:t>
      </w:r>
      <w:r w:rsidR="00AE2544">
        <w:t>secondary surveillance radar</w:t>
      </w:r>
      <w:r w:rsidR="00056396">
        <w:t xml:space="preserve"> transponders and </w:t>
      </w:r>
      <w:r w:rsidR="00AE2544">
        <w:t>distance measuring equipment</w:t>
      </w:r>
      <w:r w:rsidR="00056396">
        <w:t xml:space="preserve"> operate. The ITU Radiocommunication Sector </w:t>
      </w:r>
      <w:r w:rsidR="00F07089">
        <w:t xml:space="preserve">(ITU-R) </w:t>
      </w:r>
      <w:r w:rsidR="00056396">
        <w:t xml:space="preserve">has been tasked to complete studies related to the space station reception of ADS-B, including consideration of </w:t>
      </w:r>
      <w:r w:rsidR="00EC5A6A">
        <w:t xml:space="preserve">potential interference from </w:t>
      </w:r>
      <w:r w:rsidR="00056396">
        <w:t xml:space="preserve">non-ICAO standardized systems, and to report their outcome to ICAO. This </w:t>
      </w:r>
      <w:r w:rsidR="00070530">
        <w:t>result</w:t>
      </w:r>
      <w:r w:rsidR="00056396">
        <w:t xml:space="preserve"> fully accommodates the ICAO Position.</w:t>
      </w:r>
    </w:p>
    <w:p w:rsidR="00056396" w:rsidRDefault="00070530" w:rsidP="004A6D66">
      <w:pPr>
        <w:pStyle w:val="2Para"/>
        <w:numPr>
          <w:ilvl w:val="0"/>
          <w:numId w:val="0"/>
        </w:numPr>
      </w:pPr>
      <w:r>
        <w:t>3.5.</w:t>
      </w:r>
      <w:r w:rsidR="00CC0226">
        <w:t>4</w:t>
      </w:r>
      <w:r>
        <w:tab/>
      </w:r>
      <w:r w:rsidR="00EC5A6A">
        <w:t>T</w:t>
      </w:r>
      <w:r w:rsidR="00056396">
        <w:t>he conference decided on an agenda item for WRC</w:t>
      </w:r>
      <w:r w:rsidR="006E7B75">
        <w:t>-</w:t>
      </w:r>
      <w:r w:rsidR="00056396">
        <w:t xml:space="preserve">2019, </w:t>
      </w:r>
      <w:r w:rsidR="00056396" w:rsidRPr="00322CC6">
        <w:t>to consider spectrum needs and regulatory provisions for the introduction and use</w:t>
      </w:r>
      <w:r w:rsidR="00056396" w:rsidRPr="00322CC6" w:rsidDel="003F2919">
        <w:t xml:space="preserve"> </w:t>
      </w:r>
      <w:r w:rsidR="00056396" w:rsidRPr="00322CC6">
        <w:t>of GADSS</w:t>
      </w:r>
      <w:r>
        <w:t>.</w:t>
      </w:r>
      <w:r w:rsidR="00056396">
        <w:t xml:space="preserve"> ICAO is invited to participate actively in the studies by providing requirements and information that should be taken into account in the studies of ITU</w:t>
      </w:r>
      <w:r w:rsidR="00F07089">
        <w:t>-R</w:t>
      </w:r>
      <w:r w:rsidR="00056396">
        <w:t xml:space="preserve">, in particular the quantification and characterization of radiocommunication requirements related to </w:t>
      </w:r>
      <w:r w:rsidR="00F07089">
        <w:t xml:space="preserve">the </w:t>
      </w:r>
      <w:r w:rsidR="00056396">
        <w:t>GADSS. This outcome is fully in line with the ICAO Position.</w:t>
      </w:r>
    </w:p>
    <w:p w:rsidR="003E4466" w:rsidRDefault="003E4466" w:rsidP="003E4466">
      <w:pPr>
        <w:pStyle w:val="1Heading"/>
        <w:numPr>
          <w:ilvl w:val="0"/>
          <w:numId w:val="0"/>
        </w:numPr>
      </w:pPr>
      <w:r>
        <w:rPr>
          <w:b w:val="0"/>
          <w:bCs/>
        </w:rPr>
        <w:t>4.</w:t>
      </w:r>
      <w:r>
        <w:rPr>
          <w:b w:val="0"/>
          <w:bCs/>
        </w:rPr>
        <w:tab/>
      </w:r>
      <w:r w:rsidRPr="00B63CBC">
        <w:t>Conclusions</w:t>
      </w:r>
    </w:p>
    <w:p w:rsidR="008D6EA7" w:rsidRDefault="003E4466" w:rsidP="006E7B75">
      <w:pPr>
        <w:pStyle w:val="2Para"/>
        <w:numPr>
          <w:ilvl w:val="0"/>
          <w:numId w:val="0"/>
        </w:numPr>
      </w:pPr>
      <w:r>
        <w:t>4.1</w:t>
      </w:r>
      <w:r>
        <w:tab/>
        <w:t xml:space="preserve">In general, the conference results </w:t>
      </w:r>
      <w:r w:rsidR="00C76FCD">
        <w:t xml:space="preserve">fully </w:t>
      </w:r>
      <w:r>
        <w:t xml:space="preserve">conformed to the </w:t>
      </w:r>
      <w:r w:rsidR="00BD44F9">
        <w:t>ICAO Position</w:t>
      </w:r>
      <w:r>
        <w:t xml:space="preserve">. </w:t>
      </w:r>
      <w:r w:rsidR="00E03262">
        <w:t xml:space="preserve">In order </w:t>
      </w:r>
      <w:r w:rsidR="00ED7D05">
        <w:t>to follow</w:t>
      </w:r>
      <w:r w:rsidR="006E7B75">
        <w:t xml:space="preserve"> </w:t>
      </w:r>
      <w:r w:rsidR="00ED7D05">
        <w:t xml:space="preserve">up on this very positive result, ICAO will need to ensure consistency between ICAO provisions and the new radioregulatory provisions, through </w:t>
      </w:r>
      <w:r w:rsidR="00E03262">
        <w:t xml:space="preserve">active </w:t>
      </w:r>
      <w:r w:rsidR="00ED7D05">
        <w:t xml:space="preserve">participation in </w:t>
      </w:r>
      <w:r w:rsidR="00E03262">
        <w:t xml:space="preserve">the relevant </w:t>
      </w:r>
      <w:r w:rsidR="00ED7D05">
        <w:t>ITU studies and the development of SARPs as appropriate. In this regard, sections 3.3 and 3.5 are highlighted.</w:t>
      </w:r>
      <w:r w:rsidR="008D6EA7">
        <w:t xml:space="preserve"> </w:t>
      </w:r>
    </w:p>
    <w:p w:rsidR="003E4466" w:rsidRDefault="008D6EA7" w:rsidP="00D81B4D">
      <w:pPr>
        <w:pStyle w:val="2Para"/>
        <w:numPr>
          <w:ilvl w:val="0"/>
          <w:numId w:val="0"/>
        </w:numPr>
      </w:pPr>
      <w:r>
        <w:t>4.2</w:t>
      </w:r>
      <w:r>
        <w:tab/>
      </w:r>
      <w:r w:rsidR="003E4466">
        <w:t xml:space="preserve">A significant element in the ICAO preparatory activities for this conference was the early awareness and involvement of </w:t>
      </w:r>
      <w:r w:rsidR="00D81B4D">
        <w:t>Member</w:t>
      </w:r>
      <w:r w:rsidR="003E4466">
        <w:t xml:space="preserve"> States in the development of the </w:t>
      </w:r>
      <w:r w:rsidR="00BD44F9">
        <w:t>ICAO Position</w:t>
      </w:r>
      <w:r w:rsidR="003E4466">
        <w:t>. Major factors contributing to this achievement included:</w:t>
      </w:r>
    </w:p>
    <w:p w:rsidR="003E4466" w:rsidRDefault="003E4466" w:rsidP="00DE35F2">
      <w:pPr>
        <w:pStyle w:val="Listabc"/>
        <w:ind w:left="1870" w:hanging="330"/>
      </w:pPr>
      <w:r>
        <w:t>a)</w:t>
      </w:r>
      <w:r>
        <w:tab/>
        <w:t xml:space="preserve">the early development and dissemination of the draft </w:t>
      </w:r>
      <w:r w:rsidR="00BD44F9">
        <w:t>ICAO Position</w:t>
      </w:r>
      <w:r>
        <w:t xml:space="preserve"> by </w:t>
      </w:r>
      <w:r w:rsidR="00572482">
        <w:t xml:space="preserve">the Secretariat and </w:t>
      </w:r>
      <w:r>
        <w:t xml:space="preserve">the Commission, assisted by </w:t>
      </w:r>
      <w:r w:rsidR="00DE35F2">
        <w:t>the ACP and the FSMP</w:t>
      </w:r>
      <w:r>
        <w:t>;</w:t>
      </w:r>
    </w:p>
    <w:p w:rsidR="003E4466" w:rsidRDefault="003E4466" w:rsidP="00CA02E0">
      <w:pPr>
        <w:pStyle w:val="Listabc"/>
        <w:ind w:left="1870" w:hanging="330"/>
      </w:pPr>
      <w:r>
        <w:t>b)</w:t>
      </w:r>
      <w:r>
        <w:tab/>
        <w:t xml:space="preserve">the active participation by ICAO </w:t>
      </w:r>
      <w:r w:rsidR="00CA02E0">
        <w:t xml:space="preserve">and civil aviation experts of States and industry </w:t>
      </w:r>
      <w:r>
        <w:t>in the preparatory work of the ITU, including the relevant meetings of the ITU-R (e.g. Study Groups 4 and 5, including the relevant Working Parties</w:t>
      </w:r>
      <w:r w:rsidR="003A240C">
        <w:t>, and the</w:t>
      </w:r>
      <w:r>
        <w:t xml:space="preserve"> Conference Preparatory Meeting (CPM));</w:t>
      </w:r>
    </w:p>
    <w:p w:rsidR="003E4466" w:rsidRDefault="003E4466" w:rsidP="0013369E">
      <w:pPr>
        <w:pStyle w:val="Listabc"/>
        <w:ind w:left="1870" w:hanging="330"/>
      </w:pPr>
      <w:r>
        <w:t>c)</w:t>
      </w:r>
      <w:r>
        <w:tab/>
        <w:t xml:space="preserve">the </w:t>
      </w:r>
      <w:r w:rsidR="00E03262">
        <w:t xml:space="preserve">active </w:t>
      </w:r>
      <w:r>
        <w:t xml:space="preserve">participation by ICAO </w:t>
      </w:r>
      <w:r w:rsidR="00CA02E0">
        <w:t xml:space="preserve">and civil aviation </w:t>
      </w:r>
      <w:r>
        <w:t xml:space="preserve">experts </w:t>
      </w:r>
      <w:r w:rsidR="00CA02E0">
        <w:t xml:space="preserve">of States and industry </w:t>
      </w:r>
      <w:r>
        <w:t xml:space="preserve">in the meetings of the regional telecommunication organizations (APT, CEPT, CITEL, </w:t>
      </w:r>
      <w:r>
        <w:lastRenderedPageBreak/>
        <w:t xml:space="preserve">ATU). The involvement </w:t>
      </w:r>
      <w:r w:rsidR="00E40B3D">
        <w:t xml:space="preserve">and assistance </w:t>
      </w:r>
      <w:r>
        <w:t xml:space="preserve">of the regional offices proved important in supporting the development of proposals by the regional telecommunication organizations to the conference which were in line with the </w:t>
      </w:r>
      <w:r w:rsidR="00BD44F9">
        <w:t>ICAO Position</w:t>
      </w:r>
      <w:r>
        <w:t>;</w:t>
      </w:r>
    </w:p>
    <w:p w:rsidR="003E4466" w:rsidRDefault="003E4466" w:rsidP="007247DA">
      <w:pPr>
        <w:pStyle w:val="Listabc"/>
        <w:ind w:left="1870" w:hanging="330"/>
      </w:pPr>
      <w:r>
        <w:t>d)</w:t>
      </w:r>
      <w:r>
        <w:tab/>
      </w:r>
      <w:r w:rsidR="00D81B4D">
        <w:t xml:space="preserve">the </w:t>
      </w:r>
      <w:r>
        <w:t xml:space="preserve">organization of </w:t>
      </w:r>
      <w:r w:rsidR="00C76FCD">
        <w:t xml:space="preserve">ACP and </w:t>
      </w:r>
      <w:r w:rsidR="00DE35F2">
        <w:t>FSMP</w:t>
      </w:r>
      <w:r>
        <w:t xml:space="preserve"> working group meetings and </w:t>
      </w:r>
      <w:r w:rsidR="00DE3A4E">
        <w:t xml:space="preserve">ICAO </w:t>
      </w:r>
      <w:r>
        <w:t xml:space="preserve">radio frequency </w:t>
      </w:r>
      <w:r w:rsidR="00DE35F2">
        <w:t>workshops</w:t>
      </w:r>
      <w:r>
        <w:t xml:space="preserve"> in the </w:t>
      </w:r>
      <w:r w:rsidR="00E03262">
        <w:t xml:space="preserve">ICAO </w:t>
      </w:r>
      <w:r>
        <w:t xml:space="preserve">regions; </w:t>
      </w:r>
    </w:p>
    <w:p w:rsidR="00865FCF" w:rsidRDefault="00865FCF" w:rsidP="00DE35F2">
      <w:pPr>
        <w:pStyle w:val="Listabc"/>
        <w:ind w:left="1870" w:hanging="330"/>
      </w:pPr>
      <w:r>
        <w:t>e)</w:t>
      </w:r>
      <w:r>
        <w:tab/>
        <w:t>the implementation of Assembly Resolution A3</w:t>
      </w:r>
      <w:r w:rsidR="00DE35F2">
        <w:t>8</w:t>
      </w:r>
      <w:r w:rsidR="00DB19CF">
        <w:t>-</w:t>
      </w:r>
      <w:r w:rsidR="00DE35F2">
        <w:t>6</w:t>
      </w:r>
      <w:r w:rsidR="005B4C30">
        <w:t>; and</w:t>
      </w:r>
    </w:p>
    <w:p w:rsidR="00865FCF" w:rsidRDefault="00865FCF" w:rsidP="00D81B4D">
      <w:pPr>
        <w:pStyle w:val="Listabc"/>
        <w:ind w:left="1870" w:hanging="330"/>
      </w:pPr>
      <w:r>
        <w:t>f</w:t>
      </w:r>
      <w:r w:rsidR="003E4466" w:rsidRPr="00DA377F">
        <w:t>)</w:t>
      </w:r>
      <w:r w:rsidR="003E4466" w:rsidRPr="00DA377F">
        <w:tab/>
      </w:r>
      <w:r w:rsidR="00D81B4D">
        <w:t xml:space="preserve">the </w:t>
      </w:r>
      <w:r w:rsidR="005B4C30">
        <w:t>a</w:t>
      </w:r>
      <w:r w:rsidR="003E4466" w:rsidRPr="00DA377F">
        <w:t xml:space="preserve">ctive participation of the ICAO </w:t>
      </w:r>
      <w:r w:rsidR="00D81B4D">
        <w:t>d</w:t>
      </w:r>
      <w:r w:rsidR="003E4466" w:rsidRPr="00DA377F">
        <w:t xml:space="preserve">elegation </w:t>
      </w:r>
      <w:r w:rsidR="00CA02E0">
        <w:t xml:space="preserve">and civil aviation experts of States and industry </w:t>
      </w:r>
      <w:r w:rsidR="00DE3A4E">
        <w:t>at</w:t>
      </w:r>
      <w:r w:rsidR="00DE3A4E" w:rsidRPr="00DA377F">
        <w:t xml:space="preserve"> </w:t>
      </w:r>
      <w:r w:rsidR="003E4466" w:rsidRPr="00DA377F">
        <w:t xml:space="preserve">the </w:t>
      </w:r>
      <w:r w:rsidR="00DA377F" w:rsidRPr="00DA377F">
        <w:t>c</w:t>
      </w:r>
      <w:r w:rsidR="003E4466" w:rsidRPr="00DA377F">
        <w:t xml:space="preserve">onference itself, during which the </w:t>
      </w:r>
      <w:r w:rsidR="00BD44F9">
        <w:t>ICAO Position</w:t>
      </w:r>
      <w:r w:rsidR="003E4466" w:rsidRPr="00DA377F">
        <w:t xml:space="preserve"> was often </w:t>
      </w:r>
      <w:r w:rsidR="00E40B3D">
        <w:t>challenged</w:t>
      </w:r>
      <w:r>
        <w:t>, allowed ICAO to counter and refute numerous proposals that would adversely impact aeronautical spectrum</w:t>
      </w:r>
      <w:r w:rsidR="00F40373">
        <w:t>.</w:t>
      </w:r>
    </w:p>
    <w:p w:rsidR="00CA02E0" w:rsidRDefault="00CA02E0" w:rsidP="007F3DB5">
      <w:pPr>
        <w:pStyle w:val="3Para"/>
        <w:numPr>
          <w:ilvl w:val="0"/>
          <w:numId w:val="0"/>
        </w:numPr>
      </w:pPr>
      <w:r>
        <w:t>4.3</w:t>
      </w:r>
      <w:r>
        <w:tab/>
        <w:t xml:space="preserve">The implicit obligation of the ICAO work programme to fully support the ITU WRC process should be noted.  In addition to follow up by the Air Navigation Commission and its panels on the items identified at sections 3.3 and 3.5, an expeditious start of the ICAO preparatory activities for the next conference in 2019 is now essential. </w:t>
      </w:r>
      <w:r>
        <w:t>The development of a</w:t>
      </w:r>
      <w:r>
        <w:t xml:space="preserve">n initial draft of the </w:t>
      </w:r>
      <w:r>
        <w:t xml:space="preserve">ICAO Position by end of 2016 has been placed on the agenda of the FSMP.  This initial draft will then </w:t>
      </w:r>
      <w:r>
        <w:t xml:space="preserve">subsequently </w:t>
      </w:r>
      <w:r>
        <w:t xml:space="preserve">be </w:t>
      </w:r>
      <w:r>
        <w:t>reviewed by the Air Navigation Commission and sent to States for comments</w:t>
      </w:r>
      <w:r w:rsidRPr="00E070AE">
        <w:t xml:space="preserve">. A final review of the ICAO Position and </w:t>
      </w:r>
      <w:r>
        <w:t>its</w:t>
      </w:r>
      <w:r w:rsidRPr="00E070AE">
        <w:t xml:space="preserve"> subsequent approval by the Council is foreseen </w:t>
      </w:r>
      <w:r>
        <w:t>by mid-</w:t>
      </w:r>
      <w:r w:rsidRPr="00E070AE">
        <w:t>2017</w:t>
      </w:r>
      <w:r>
        <w:t>. In light of the constantly growing demand for spectrum for non-aviation users (section 2.1 refers), it is expected that non-aviation interests will oppose some or all of the elements of the ICAO Position at WRC-19 by targeting existing aeronautical spectrum for allocation to other uses and by opposing aviation attempts to obtain new allocations. As a consequence, a substantial effort will be required on the part of the Organization and its Member States to ensure that the ICAO Position is supported by the conference.</w:t>
      </w:r>
      <w:r w:rsidRPr="00C3114B">
        <w:t xml:space="preserve"> </w:t>
      </w:r>
    </w:p>
    <w:p w:rsidR="006C445E" w:rsidRPr="006C445E" w:rsidRDefault="007C0696" w:rsidP="0043787A">
      <w:pPr>
        <w:pStyle w:val="1Heading"/>
        <w:numPr>
          <w:ilvl w:val="0"/>
          <w:numId w:val="0"/>
        </w:numPr>
        <w:rPr>
          <w:b w:val="0"/>
        </w:rPr>
      </w:pPr>
      <w:bookmarkStart w:id="16" w:name="_Ref184010722"/>
      <w:r>
        <w:rPr>
          <w:b w:val="0"/>
          <w:bCs/>
        </w:rPr>
        <w:t>5</w:t>
      </w:r>
      <w:r w:rsidR="0098544E">
        <w:rPr>
          <w:b w:val="0"/>
          <w:bCs/>
        </w:rPr>
        <w:t>.</w:t>
      </w:r>
      <w:r w:rsidR="0098544E">
        <w:rPr>
          <w:b w:val="0"/>
          <w:bCs/>
        </w:rPr>
        <w:tab/>
      </w:r>
      <w:r w:rsidR="006C445E">
        <w:t xml:space="preserve">ACTION BY </w:t>
      </w:r>
      <w:r w:rsidR="0043787A">
        <w:t>FSMP-WG</w:t>
      </w:r>
      <w:bookmarkEnd w:id="16"/>
      <w:r w:rsidR="0043787A">
        <w:t>/2</w:t>
      </w:r>
    </w:p>
    <w:p w:rsidR="006C445E" w:rsidRPr="006C445E" w:rsidRDefault="007C0696" w:rsidP="0043787A">
      <w:pPr>
        <w:pStyle w:val="2Para"/>
        <w:numPr>
          <w:ilvl w:val="0"/>
          <w:numId w:val="0"/>
        </w:numPr>
      </w:pPr>
      <w:r>
        <w:t>5</w:t>
      </w:r>
      <w:r w:rsidR="0098544E">
        <w:t>.1</w:t>
      </w:r>
      <w:r w:rsidR="0098544E">
        <w:tab/>
      </w:r>
      <w:r w:rsidR="0043787A">
        <w:t>FSMP-WG/2</w:t>
      </w:r>
      <w:r w:rsidR="006C445E">
        <w:t xml:space="preserve"> is invited to:</w:t>
      </w:r>
    </w:p>
    <w:p w:rsidR="0043787A" w:rsidRDefault="003E4466" w:rsidP="0043787A">
      <w:pPr>
        <w:pStyle w:val="Listabc"/>
        <w:ind w:left="1870" w:hanging="330"/>
      </w:pPr>
      <w:r>
        <w:t>a</w:t>
      </w:r>
      <w:r w:rsidR="00726BC6">
        <w:t>)</w:t>
      </w:r>
      <w:r w:rsidR="00726BC6">
        <w:tab/>
      </w:r>
      <w:r w:rsidR="00734CA3">
        <w:t>note</w:t>
      </w:r>
      <w:r w:rsidR="00246074">
        <w:t xml:space="preserve"> the </w:t>
      </w:r>
      <w:r w:rsidR="0043787A">
        <w:t>detailed information on the outcome of WRC-15, as contained in Appendix A</w:t>
      </w:r>
    </w:p>
    <w:p w:rsidR="00246074" w:rsidRDefault="0043787A" w:rsidP="00BF4C6A">
      <w:pPr>
        <w:pStyle w:val="Listabc"/>
        <w:ind w:left="1870" w:hanging="330"/>
      </w:pPr>
      <w:r>
        <w:t>b)</w:t>
      </w:r>
      <w:r>
        <w:tab/>
        <w:t xml:space="preserve">note the </w:t>
      </w:r>
      <w:r w:rsidR="00246074">
        <w:t>conclusions in paragraph</w:t>
      </w:r>
      <w:r w:rsidR="00B51EC6">
        <w:t> 4</w:t>
      </w:r>
      <w:r w:rsidR="00246074">
        <w:t>.1;</w:t>
      </w:r>
    </w:p>
    <w:p w:rsidR="00246074" w:rsidRDefault="003E4466" w:rsidP="00D81B4D">
      <w:pPr>
        <w:pStyle w:val="Listabc"/>
        <w:ind w:left="1870" w:hanging="330"/>
      </w:pPr>
      <w:r>
        <w:t>b</w:t>
      </w:r>
      <w:r w:rsidR="00726BC6">
        <w:t>)</w:t>
      </w:r>
      <w:r w:rsidR="00726BC6">
        <w:tab/>
      </w:r>
      <w:r w:rsidR="00246074">
        <w:t xml:space="preserve">note the information </w:t>
      </w:r>
      <w:r w:rsidR="00D81B4D">
        <w:t>provided</w:t>
      </w:r>
      <w:r w:rsidR="00246074">
        <w:t xml:space="preserve"> in paragraph</w:t>
      </w:r>
      <w:r w:rsidR="00214A54">
        <w:t> </w:t>
      </w:r>
      <w:r w:rsidR="00B51EC6">
        <w:t>4</w:t>
      </w:r>
      <w:r w:rsidR="00246074">
        <w:t>.2;</w:t>
      </w:r>
      <w:r w:rsidR="0043787A">
        <w:t xml:space="preserve"> and</w:t>
      </w:r>
    </w:p>
    <w:p w:rsidR="00246074" w:rsidRDefault="007C0696" w:rsidP="00DE35F2">
      <w:pPr>
        <w:pStyle w:val="Listabc"/>
        <w:ind w:left="1870" w:hanging="330"/>
      </w:pPr>
      <w:r>
        <w:t>c</w:t>
      </w:r>
      <w:r w:rsidR="00726BC6">
        <w:t>)</w:t>
      </w:r>
      <w:r w:rsidR="00726BC6">
        <w:tab/>
      </w:r>
      <w:r w:rsidR="00246074">
        <w:t xml:space="preserve">place a high priority </w:t>
      </w:r>
      <w:r w:rsidR="00B51EC6">
        <w:t xml:space="preserve">on </w:t>
      </w:r>
      <w:r w:rsidR="00246074">
        <w:t xml:space="preserve">the development of the </w:t>
      </w:r>
      <w:r w:rsidR="00BD44F9">
        <w:t>ICAO Position</w:t>
      </w:r>
      <w:r w:rsidR="00246074">
        <w:t xml:space="preserve"> for the WRC-1</w:t>
      </w:r>
      <w:r w:rsidR="00DE35F2">
        <w:t>9</w:t>
      </w:r>
      <w:r w:rsidR="00246074">
        <w:t>, in full coordination with other relevant bodies, taking due account of spectrum management activities in the regions;</w:t>
      </w:r>
      <w:r w:rsidR="00D81B4D">
        <w:t xml:space="preserve"> and</w:t>
      </w:r>
    </w:p>
    <w:p w:rsidR="00082142" w:rsidRDefault="00082142" w:rsidP="00461726"/>
    <w:p w:rsidR="008F3C3A" w:rsidRDefault="008F3C3A" w:rsidP="008F3C3A">
      <w:pPr>
        <w:jc w:val="center"/>
      </w:pPr>
      <w:r>
        <w:t>— — — — — — — —</w:t>
      </w:r>
    </w:p>
    <w:p w:rsidR="00D8661C" w:rsidRDefault="00D8661C">
      <w:pPr>
        <w:autoSpaceDE/>
        <w:autoSpaceDN/>
        <w:adjustRightInd/>
        <w:jc w:val="left"/>
        <w:rPr>
          <w:b/>
        </w:rPr>
      </w:pPr>
    </w:p>
    <w:p w:rsidR="007C6A19" w:rsidRDefault="007C6A19">
      <w:pPr>
        <w:autoSpaceDE/>
        <w:autoSpaceDN/>
        <w:adjustRightInd/>
        <w:jc w:val="left"/>
        <w:rPr>
          <w:b/>
        </w:rPr>
        <w:sectPr w:rsidR="007C6A19" w:rsidSect="00BC5684">
          <w:headerReference w:type="even" r:id="rId10"/>
          <w:headerReference w:type="default" r:id="rId11"/>
          <w:footerReference w:type="first" r:id="rId12"/>
          <w:pgSz w:w="12240" w:h="15840" w:code="9"/>
          <w:pgMar w:top="1009" w:right="1440" w:bottom="1009" w:left="1440" w:header="1009" w:footer="1009" w:gutter="0"/>
          <w:pgNumType w:start="1"/>
          <w:cols w:space="720"/>
          <w:titlePg/>
          <w:docGrid w:linePitch="360"/>
        </w:sectPr>
      </w:pPr>
    </w:p>
    <w:p w:rsidR="00D8661C" w:rsidRDefault="00D8661C" w:rsidP="00D8661C">
      <w:pPr>
        <w:jc w:val="right"/>
        <w:rPr>
          <w:b/>
          <w:sz w:val="18"/>
          <w:lang w:eastAsia="zh-CN"/>
        </w:rPr>
      </w:pPr>
    </w:p>
    <w:p w:rsidR="00D8661C" w:rsidRPr="00BB584B" w:rsidRDefault="00D8661C" w:rsidP="00D8661C">
      <w:pPr>
        <w:jc w:val="right"/>
        <w:rPr>
          <w:b/>
        </w:rPr>
      </w:pPr>
    </w:p>
    <w:p w:rsidR="00BB584B" w:rsidRDefault="00BB584B" w:rsidP="0042508D">
      <w:pPr>
        <w:jc w:val="center"/>
        <w:rPr>
          <w:b/>
        </w:rPr>
      </w:pPr>
      <w:r w:rsidRPr="00BB584B">
        <w:rPr>
          <w:b/>
        </w:rPr>
        <w:t xml:space="preserve">APPENDIX </w:t>
      </w:r>
      <w:r w:rsidR="00082142">
        <w:rPr>
          <w:b/>
        </w:rPr>
        <w:t>A</w:t>
      </w:r>
    </w:p>
    <w:p w:rsidR="00BB584B" w:rsidRDefault="00BB584B" w:rsidP="00BB584B">
      <w:pPr>
        <w:jc w:val="center"/>
        <w:rPr>
          <w:b/>
        </w:rPr>
      </w:pPr>
    </w:p>
    <w:p w:rsidR="004E6531" w:rsidRPr="00845997" w:rsidRDefault="00332BBE" w:rsidP="00A13096">
      <w:pPr>
        <w:pStyle w:val="TitleMain"/>
        <w:rPr>
          <w:sz w:val="28"/>
          <w:szCs w:val="28"/>
        </w:rPr>
      </w:pPr>
      <w:bookmarkStart w:id="20" w:name="appTitle0"/>
      <w:bookmarkEnd w:id="20"/>
      <w:r w:rsidRPr="00845997">
        <w:rPr>
          <w:sz w:val="28"/>
          <w:szCs w:val="28"/>
        </w:rPr>
        <w:t>WRC-1</w:t>
      </w:r>
      <w:r w:rsidR="00A13096" w:rsidRPr="00845997">
        <w:rPr>
          <w:sz w:val="28"/>
          <w:szCs w:val="28"/>
        </w:rPr>
        <w:t>5</w:t>
      </w:r>
      <w:r w:rsidRPr="00845997">
        <w:rPr>
          <w:sz w:val="28"/>
          <w:szCs w:val="28"/>
        </w:rPr>
        <w:t xml:space="preserve"> </w:t>
      </w:r>
      <w:r w:rsidR="00BB584B" w:rsidRPr="00845997">
        <w:rPr>
          <w:sz w:val="28"/>
          <w:szCs w:val="28"/>
        </w:rPr>
        <w:t xml:space="preserve">RESULTS </w:t>
      </w:r>
      <w:r w:rsidRPr="00845997">
        <w:rPr>
          <w:sz w:val="28"/>
          <w:szCs w:val="28"/>
        </w:rPr>
        <w:t>OF RELEVANCE TO</w:t>
      </w:r>
      <w:r w:rsidR="00BB584B" w:rsidRPr="00845997">
        <w:rPr>
          <w:sz w:val="28"/>
          <w:szCs w:val="28"/>
        </w:rPr>
        <w:t xml:space="preserve"> </w:t>
      </w:r>
    </w:p>
    <w:p w:rsidR="00BB584B" w:rsidRPr="00845997" w:rsidRDefault="00BB584B" w:rsidP="00A13096">
      <w:pPr>
        <w:pStyle w:val="TitleMain"/>
        <w:rPr>
          <w:sz w:val="28"/>
          <w:szCs w:val="28"/>
        </w:rPr>
      </w:pPr>
      <w:r w:rsidRPr="00845997">
        <w:rPr>
          <w:sz w:val="28"/>
          <w:szCs w:val="28"/>
        </w:rPr>
        <w:t>INTERNATIONAL CIVIL AVIATION</w:t>
      </w:r>
    </w:p>
    <w:p w:rsidR="006B07EB" w:rsidRPr="00BB584B" w:rsidRDefault="006B07EB" w:rsidP="00A13096">
      <w:pPr>
        <w:pStyle w:val="TitleMain"/>
      </w:pPr>
    </w:p>
    <w:p w:rsidR="00BB584B" w:rsidRDefault="00BB584B" w:rsidP="00BB584B">
      <w:pPr>
        <w:pStyle w:val="TitleMain"/>
      </w:pPr>
    </w:p>
    <w:p w:rsidR="00332BBE" w:rsidRPr="00751103" w:rsidRDefault="00BA0F12" w:rsidP="00B822D3">
      <w:pPr>
        <w:ind w:left="720" w:hanging="720"/>
        <w:rPr>
          <w:b/>
          <w:szCs w:val="22"/>
        </w:rPr>
      </w:pPr>
      <w:r w:rsidRPr="00B822D3">
        <w:t>1.</w:t>
      </w:r>
      <w:r>
        <w:rPr>
          <w:b/>
          <w:bCs/>
        </w:rPr>
        <w:tab/>
      </w:r>
      <w:r w:rsidR="00464BEC" w:rsidRPr="00CA16BF">
        <w:rPr>
          <w:b/>
        </w:rPr>
        <w:t>Agenda Item 1.1:</w:t>
      </w:r>
      <w:r w:rsidR="00BD44F9">
        <w:rPr>
          <w:b/>
        </w:rPr>
        <w:t>  </w:t>
      </w:r>
      <w:r w:rsidR="00A13096" w:rsidRPr="009A42B2">
        <w:rPr>
          <w:b/>
          <w:szCs w:val="22"/>
          <w:lang w:val="en-CA"/>
        </w:rPr>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233</w:t>
      </w:r>
      <w:r w:rsidR="00A13096" w:rsidRPr="009A42B2">
        <w:rPr>
          <w:b/>
          <w:bCs/>
          <w:szCs w:val="22"/>
          <w:lang w:val="en-CA"/>
        </w:rPr>
        <w:t xml:space="preserve"> (WRC</w:t>
      </w:r>
      <w:r w:rsidR="00A13096">
        <w:rPr>
          <w:b/>
          <w:bCs/>
          <w:szCs w:val="22"/>
          <w:lang w:val="en-CA"/>
        </w:rPr>
        <w:t>-</w:t>
      </w:r>
      <w:r w:rsidR="00A13096" w:rsidRPr="009A42B2">
        <w:rPr>
          <w:b/>
          <w:bCs/>
          <w:szCs w:val="22"/>
          <w:lang w:val="en-CA"/>
        </w:rPr>
        <w:t>12)</w:t>
      </w:r>
      <w:r w:rsidR="00162600">
        <w:rPr>
          <w:b/>
          <w:bCs/>
          <w:szCs w:val="22"/>
          <w:lang w:val="en-CA"/>
        </w:rPr>
        <w:t>.</w:t>
      </w:r>
    </w:p>
    <w:p w:rsidR="00F800BE" w:rsidRDefault="00F800BE" w:rsidP="00162600">
      <w:pPr>
        <w:pStyle w:val="2Para"/>
        <w:numPr>
          <w:ilvl w:val="1"/>
          <w:numId w:val="17"/>
        </w:numPr>
        <w:tabs>
          <w:tab w:val="clear" w:pos="1440"/>
          <w:tab w:val="left" w:pos="1418"/>
        </w:tabs>
        <w:ind w:left="0" w:firstLine="0"/>
      </w:pPr>
      <w:r>
        <w:t>The demand for spectrum for mobile and broadband applications is growing at a fast pace. Under this agenda item, the telecommunications industry was seeking up to 1</w:t>
      </w:r>
      <w:r w:rsidR="008C7430">
        <w:t> </w:t>
      </w:r>
      <w:r>
        <w:t xml:space="preserve">200 MHz of additional spectrum in the 300 MHz to 6 GHz range for mobile and broadband applications.  </w:t>
      </w:r>
    </w:p>
    <w:p w:rsidR="008842F3" w:rsidRDefault="00F800BE" w:rsidP="00162600">
      <w:pPr>
        <w:pStyle w:val="2Para"/>
        <w:numPr>
          <w:ilvl w:val="1"/>
          <w:numId w:val="17"/>
        </w:numPr>
        <w:tabs>
          <w:tab w:val="clear" w:pos="1440"/>
          <w:tab w:val="left" w:pos="1418"/>
        </w:tabs>
        <w:ind w:left="0" w:firstLine="0"/>
      </w:pPr>
      <w:r>
        <w:t>T</w:t>
      </w:r>
      <w:r w:rsidR="009F4170" w:rsidRPr="00791D8B">
        <w:t xml:space="preserve">he </w:t>
      </w:r>
      <w:r w:rsidR="00BD44F9">
        <w:t>ICAO Position</w:t>
      </w:r>
      <w:r w:rsidR="009F4170" w:rsidRPr="00791D8B">
        <w:t xml:space="preserve"> </w:t>
      </w:r>
      <w:r w:rsidR="00A13096">
        <w:t xml:space="preserve">was to oppose any </w:t>
      </w:r>
      <w:r w:rsidR="008842F3">
        <w:t xml:space="preserve">new </w:t>
      </w:r>
      <w:r w:rsidR="00A13096">
        <w:t>allocation to the mobile service for IMT in</w:t>
      </w:r>
      <w:r w:rsidR="002E1859">
        <w:t xml:space="preserve"> or adjacent to frequency bands used for aeronautical safety applicati</w:t>
      </w:r>
      <w:r w:rsidR="00A32B16">
        <w:t>o</w:t>
      </w:r>
      <w:r w:rsidR="002E1859">
        <w:t>ns</w:t>
      </w:r>
      <w:r w:rsidR="008842F3">
        <w:t xml:space="preserve"> unless it had been demonstrated through agreed studies that there would be no impact on </w:t>
      </w:r>
      <w:r w:rsidR="002E1859">
        <w:t>those applications</w:t>
      </w:r>
      <w:r w:rsidR="008842F3">
        <w:t>. The ICAO Position emphasized the importance of the frequency bands 1</w:t>
      </w:r>
      <w:r w:rsidR="008C7430">
        <w:t> </w:t>
      </w:r>
      <w:r w:rsidR="00286E9F">
        <w:t>215</w:t>
      </w:r>
      <w:r w:rsidR="008C7430">
        <w:t> – </w:t>
      </w:r>
      <w:r w:rsidR="008842F3">
        <w:t>1</w:t>
      </w:r>
      <w:r w:rsidR="008C7430">
        <w:t> </w:t>
      </w:r>
      <w:r w:rsidR="00286E9F">
        <w:t>35</w:t>
      </w:r>
      <w:r w:rsidR="008842F3">
        <w:t>0</w:t>
      </w:r>
      <w:r w:rsidR="008C7430">
        <w:t> </w:t>
      </w:r>
      <w:r w:rsidR="008842F3">
        <w:t>MHz and 2</w:t>
      </w:r>
      <w:r w:rsidR="008C7430">
        <w:t> </w:t>
      </w:r>
      <w:r w:rsidR="008842F3">
        <w:t>700</w:t>
      </w:r>
      <w:r w:rsidR="008C7430">
        <w:t> – </w:t>
      </w:r>
      <w:r w:rsidR="008842F3">
        <w:t>2</w:t>
      </w:r>
      <w:r w:rsidR="008C7430">
        <w:t> </w:t>
      </w:r>
      <w:r w:rsidR="008842F3">
        <w:t>900</w:t>
      </w:r>
      <w:r w:rsidR="008C7430">
        <w:t> </w:t>
      </w:r>
      <w:r>
        <w:t>MHz for p</w:t>
      </w:r>
      <w:r w:rsidR="008842F3">
        <w:t>rimary</w:t>
      </w:r>
      <w:r>
        <w:t xml:space="preserve"> surveillance r</w:t>
      </w:r>
      <w:r w:rsidR="00286E9F">
        <w:t>adar</w:t>
      </w:r>
      <w:r>
        <w:t xml:space="preserve"> </w:t>
      </w:r>
      <w:r w:rsidR="00286E9F">
        <w:t>and the frequency band 4</w:t>
      </w:r>
      <w:r w:rsidR="008C7430">
        <w:t>.2 – </w:t>
      </w:r>
      <w:r w:rsidR="00286E9F">
        <w:t>4</w:t>
      </w:r>
      <w:r w:rsidR="008C7430">
        <w:t>.4 G</w:t>
      </w:r>
      <w:r w:rsidR="00286E9F">
        <w:t>Hz, used by radio altimeters which are a critical component of the aircraft ground proximity warning system (GPWS) and used during CAT I/II/III landings.</w:t>
      </w:r>
    </w:p>
    <w:p w:rsidR="002D0B11" w:rsidRDefault="00F800BE" w:rsidP="00162600">
      <w:pPr>
        <w:pStyle w:val="2Para"/>
        <w:numPr>
          <w:ilvl w:val="1"/>
          <w:numId w:val="17"/>
        </w:numPr>
        <w:tabs>
          <w:tab w:val="clear" w:pos="1440"/>
          <w:tab w:val="left" w:pos="1418"/>
        </w:tabs>
        <w:ind w:left="0" w:firstLine="0"/>
      </w:pPr>
      <w:r>
        <w:t>Relatively early during the conference an agreement was reached to take the bands immediately above 1</w:t>
      </w:r>
      <w:r w:rsidR="008C7430">
        <w:t> </w:t>
      </w:r>
      <w:r>
        <w:t xml:space="preserve">350 MHz and the band </w:t>
      </w:r>
      <w:r w:rsidR="008C7430">
        <w:t xml:space="preserve">2 700 – 2 900 MHz </w:t>
      </w:r>
      <w:r>
        <w:t xml:space="preserve">out of consideration, thus satisfying the aeronautical concerns to protect </w:t>
      </w:r>
      <w:r w:rsidR="00B749CD">
        <w:t>primary surveillance radar</w:t>
      </w:r>
      <w:r w:rsidR="00174108">
        <w:t xml:space="preserve"> (PSR)</w:t>
      </w:r>
      <w:r>
        <w:t>.</w:t>
      </w:r>
      <w:r w:rsidR="00F47697">
        <w:t xml:space="preserve">  </w:t>
      </w:r>
    </w:p>
    <w:p w:rsidR="002D0B11" w:rsidRDefault="00B3290C" w:rsidP="00162600">
      <w:pPr>
        <w:pStyle w:val="2Para"/>
        <w:numPr>
          <w:ilvl w:val="1"/>
          <w:numId w:val="17"/>
        </w:numPr>
        <w:tabs>
          <w:tab w:val="clear" w:pos="1440"/>
          <w:tab w:val="left" w:pos="1418"/>
        </w:tabs>
        <w:ind w:left="0" w:firstLine="0"/>
      </w:pPr>
      <w:r>
        <w:t xml:space="preserve">Similarly, </w:t>
      </w:r>
      <w:r w:rsidR="002E1859">
        <w:t>a favourable outcome was secured</w:t>
      </w:r>
      <w:r>
        <w:t xml:space="preserve"> for the C-band (3</w:t>
      </w:r>
      <w:r w:rsidR="008C7430">
        <w:t>.4 – </w:t>
      </w:r>
      <w:r>
        <w:t>4</w:t>
      </w:r>
      <w:r w:rsidR="008C7430">
        <w:t>.2 GHz</w:t>
      </w:r>
      <w:r>
        <w:t xml:space="preserve">). </w:t>
      </w:r>
      <w:r w:rsidR="000D35E5">
        <w:t>T</w:t>
      </w:r>
      <w:r>
        <w:t>h</w:t>
      </w:r>
      <w:r w:rsidR="002D0B11">
        <w:t xml:space="preserve">is band </w:t>
      </w:r>
      <w:r>
        <w:t>is</w:t>
      </w:r>
      <w:r w:rsidR="002D0B11">
        <w:t xml:space="preserve"> used for satellite links </w:t>
      </w:r>
      <w:r w:rsidR="00174108">
        <w:t xml:space="preserve">in the </w:t>
      </w:r>
      <w:r w:rsidR="00B822D3">
        <w:t>F</w:t>
      </w:r>
      <w:r w:rsidR="00174108">
        <w:t xml:space="preserve">ixed </w:t>
      </w:r>
      <w:r w:rsidR="00B822D3">
        <w:t>S</w:t>
      </w:r>
      <w:r w:rsidR="00174108">
        <w:t xml:space="preserve">atellite </w:t>
      </w:r>
      <w:r w:rsidR="00B822D3">
        <w:t>S</w:t>
      </w:r>
      <w:r w:rsidR="00174108">
        <w:t xml:space="preserve">ervice (FSS) </w:t>
      </w:r>
      <w:r w:rsidR="002E1859">
        <w:t xml:space="preserve">supporting </w:t>
      </w:r>
      <w:r w:rsidR="002D0B11">
        <w:t xml:space="preserve">aeronautical ground-ground communications, using very small aperture terminal (VSAT) equipment, especially in Africa (WRC-15 Agenda Item 9.1.5 refers) and South/Central America. </w:t>
      </w:r>
      <w:r w:rsidR="00A32B16">
        <w:t>The conference made no new allocations or identifications for IMT between 3.7 and 4.2 GHz. In the remainder of the frequency range (less critical for aviation VSATs)</w:t>
      </w:r>
      <w:r w:rsidR="00B95585">
        <w:t>, the conference</w:t>
      </w:r>
      <w:r w:rsidR="002D0B11">
        <w:t xml:space="preserve"> identified </w:t>
      </w:r>
      <w:r w:rsidR="002D0B11" w:rsidRPr="002D0B11">
        <w:t>3.4 to 3.6 GHz to IMT for ITU Region 1, which comprises Europe, Africa, the Middle East and Russia; Region 2, which co</w:t>
      </w:r>
      <w:r w:rsidR="00174108">
        <w:t>mprises</w:t>
      </w:r>
      <w:r w:rsidR="002D0B11" w:rsidRPr="002D0B11">
        <w:t xml:space="preserve"> the Americas; and a </w:t>
      </w:r>
      <w:r w:rsidR="005601D1">
        <w:t>number</w:t>
      </w:r>
      <w:r w:rsidR="005601D1" w:rsidRPr="002D0B11">
        <w:t xml:space="preserve"> </w:t>
      </w:r>
      <w:r w:rsidR="002D0B11" w:rsidRPr="002D0B11">
        <w:t>of countries in Region 3</w:t>
      </w:r>
      <w:r w:rsidR="002D0B11">
        <w:t>,</w:t>
      </w:r>
      <w:r w:rsidR="002D0B11" w:rsidRPr="002D0B11">
        <w:t xml:space="preserve"> the Asia Pacific</w:t>
      </w:r>
      <w:r w:rsidR="00B749CD">
        <w:t>, while specifying necessary conditions to protect the FSS</w:t>
      </w:r>
      <w:r w:rsidR="009D3FA7">
        <w:t>, through coordination</w:t>
      </w:r>
      <w:r w:rsidR="002D0B11">
        <w:t xml:space="preserve">. </w:t>
      </w:r>
      <w:r w:rsidR="009D3FA7">
        <w:t>Additionally, i</w:t>
      </w:r>
      <w:r w:rsidR="002D0B11">
        <w:t>n Region 2 a few countries identified 3.6 – 3.7 GHz for IMT</w:t>
      </w:r>
      <w:r w:rsidR="009D3FA7">
        <w:t>, similarly while specifying necessary conditions to protect the FSS</w:t>
      </w:r>
      <w:r w:rsidR="002D0B11">
        <w:t>.</w:t>
      </w:r>
      <w:r w:rsidR="00593B3D">
        <w:t xml:space="preserve"> Discussion</w:t>
      </w:r>
      <w:r w:rsidR="00162600">
        <w:t>s</w:t>
      </w:r>
      <w:r w:rsidR="00593B3D">
        <w:t xml:space="preserve"> on WRC-15 agenda items 8 and 9.1.5 also refer to this issue.</w:t>
      </w:r>
    </w:p>
    <w:p w:rsidR="00707D46" w:rsidRDefault="00AD0103" w:rsidP="00162600">
      <w:pPr>
        <w:pStyle w:val="2Para"/>
        <w:numPr>
          <w:ilvl w:val="1"/>
          <w:numId w:val="17"/>
        </w:numPr>
        <w:tabs>
          <w:tab w:val="clear" w:pos="1440"/>
          <w:tab w:val="left" w:pos="1418"/>
        </w:tabs>
        <w:ind w:left="0" w:firstLine="0"/>
      </w:pPr>
      <w:r>
        <w:t xml:space="preserve">Overall, the conference was only successful in identifying less than 400 MHz for IMT on a global or regional scale. One </w:t>
      </w:r>
      <w:r w:rsidR="00BA42B1">
        <w:t xml:space="preserve">unexpected threat to </w:t>
      </w:r>
      <w:r>
        <w:t xml:space="preserve">aviation </w:t>
      </w:r>
      <w:r w:rsidR="00BA42B1">
        <w:t xml:space="preserve">emerged </w:t>
      </w:r>
      <w:r>
        <w:t xml:space="preserve">towards the end of the conference </w:t>
      </w:r>
      <w:r w:rsidR="00BA42B1">
        <w:t xml:space="preserve">and </w:t>
      </w:r>
      <w:r>
        <w:t>involved the protection of aeronautical radio altimeter</w:t>
      </w:r>
      <w:r w:rsidR="009D3FA7">
        <w:t>s, operating in the</w:t>
      </w:r>
      <w:r>
        <w:t xml:space="preserve"> band, </w:t>
      </w:r>
      <w:r w:rsidR="008C7430">
        <w:t>4.2 – 4.4 GHz</w:t>
      </w:r>
      <w:r>
        <w:t xml:space="preserve">. </w:t>
      </w:r>
      <w:r w:rsidR="002A2596">
        <w:t xml:space="preserve">Several countries made </w:t>
      </w:r>
      <w:r w:rsidR="00576EBA">
        <w:t xml:space="preserve">a strong push to identify the adjacent </w:t>
      </w:r>
      <w:r w:rsidR="009D3FA7">
        <w:t xml:space="preserve">frequency </w:t>
      </w:r>
      <w:r w:rsidR="00576EBA">
        <w:t>band 4</w:t>
      </w:r>
      <w:r w:rsidR="008C7430">
        <w:t>.4 – </w:t>
      </w:r>
      <w:r w:rsidR="00576EBA">
        <w:t>4</w:t>
      </w:r>
      <w:r w:rsidR="008C7430">
        <w:t>.</w:t>
      </w:r>
      <w:r w:rsidR="00576EBA">
        <w:t>5</w:t>
      </w:r>
      <w:r w:rsidR="008C7430">
        <w:t> GHz</w:t>
      </w:r>
      <w:r w:rsidR="00576EBA">
        <w:t xml:space="preserve"> to IMT, despite the fact that no studies had been performed within the ITU Radiocommunication sector </w:t>
      </w:r>
      <w:r w:rsidR="002A2596">
        <w:t xml:space="preserve">(ITU-R) </w:t>
      </w:r>
      <w:r w:rsidR="00576EBA">
        <w:t xml:space="preserve">analysing adjacent band compatibility and despite the fact that preliminary studies within ICAO (FSMP) had </w:t>
      </w:r>
      <w:r w:rsidR="005601D1">
        <w:t xml:space="preserve">indicated that </w:t>
      </w:r>
      <w:r w:rsidR="00707D46">
        <w:t xml:space="preserve">IMT in the adjacent band </w:t>
      </w:r>
      <w:r w:rsidR="005601D1">
        <w:t xml:space="preserve">would </w:t>
      </w:r>
      <w:r w:rsidR="002A2596">
        <w:t>interfere with the radio altimeters</w:t>
      </w:r>
      <w:r w:rsidR="00707D46">
        <w:t xml:space="preserve">. </w:t>
      </w:r>
      <w:r w:rsidR="00BA42B1">
        <w:t>Prompt action</w:t>
      </w:r>
      <w:r w:rsidR="00707D46">
        <w:t xml:space="preserve"> by ICAO, IATA and other aeronautical </w:t>
      </w:r>
      <w:r w:rsidR="00BA42B1">
        <w:t>stakeholders</w:t>
      </w:r>
      <w:r w:rsidR="009D3FA7">
        <w:t xml:space="preserve"> during</w:t>
      </w:r>
      <w:r w:rsidR="00707D46">
        <w:t xml:space="preserve"> the conference and direct</w:t>
      </w:r>
      <w:r w:rsidR="002A2596">
        <w:t xml:space="preserve"> coordination to </w:t>
      </w:r>
      <w:r w:rsidR="00707D46">
        <w:t>aviation authorities</w:t>
      </w:r>
      <w:r w:rsidR="009D3FA7">
        <w:t xml:space="preserve"> through the ICAO APAC Office</w:t>
      </w:r>
      <w:r w:rsidR="00707D46">
        <w:t xml:space="preserve">, </w:t>
      </w:r>
      <w:r w:rsidR="00BA42B1">
        <w:t>was instrumental in averting the threat</w:t>
      </w:r>
      <w:r w:rsidR="00707D46">
        <w:t xml:space="preserve"> in the final days of the conference.  </w:t>
      </w:r>
    </w:p>
    <w:p w:rsidR="00CA16BF" w:rsidRPr="00CA16BF" w:rsidRDefault="00CA16BF" w:rsidP="00162600">
      <w:pPr>
        <w:pStyle w:val="ListParagraph"/>
        <w:numPr>
          <w:ilvl w:val="0"/>
          <w:numId w:val="17"/>
        </w:numPr>
        <w:ind w:left="709" w:hanging="709"/>
        <w:rPr>
          <w:b/>
          <w:szCs w:val="22"/>
        </w:rPr>
      </w:pPr>
      <w:bookmarkStart w:id="21" w:name="appTitle2"/>
      <w:bookmarkEnd w:id="21"/>
      <w:r w:rsidRPr="00CA16BF">
        <w:rPr>
          <w:b/>
        </w:rPr>
        <w:lastRenderedPageBreak/>
        <w:t>Agenda Item 1.</w:t>
      </w:r>
      <w:r w:rsidR="000860F4">
        <w:rPr>
          <w:b/>
        </w:rPr>
        <w:t>4</w:t>
      </w:r>
      <w:r w:rsidRPr="00CA16BF">
        <w:rPr>
          <w:b/>
        </w:rPr>
        <w:t>:</w:t>
      </w:r>
      <w:r w:rsidR="00BD44F9">
        <w:rPr>
          <w:b/>
        </w:rPr>
        <w:t>  </w:t>
      </w:r>
      <w:r w:rsidR="000860F4" w:rsidRPr="009A42B2">
        <w:rPr>
          <w:b/>
          <w:szCs w:val="22"/>
          <w:lang w:val="en-CA"/>
        </w:rPr>
        <w:t>To consider possible new allocation to the amateur service on a secondary basis within the band 5 250</w:t>
      </w:r>
      <w:r w:rsidR="000860F4">
        <w:rPr>
          <w:b/>
          <w:szCs w:val="22"/>
          <w:lang w:val="en-CA"/>
        </w:rPr>
        <w:t xml:space="preserve"> </w:t>
      </w:r>
      <w:r w:rsidR="000860F4" w:rsidRPr="009A42B2">
        <w:rPr>
          <w:b/>
          <w:szCs w:val="22"/>
          <w:lang w:val="en-CA"/>
        </w:rPr>
        <w:t>-</w:t>
      </w:r>
      <w:r w:rsidR="000860F4">
        <w:rPr>
          <w:b/>
          <w:szCs w:val="22"/>
          <w:lang w:val="en-CA"/>
        </w:rPr>
        <w:t xml:space="preserve"> </w:t>
      </w:r>
      <w:r w:rsidR="000860F4" w:rsidRPr="009A42B2">
        <w:rPr>
          <w:b/>
          <w:szCs w:val="22"/>
          <w:lang w:val="en-CA"/>
        </w:rPr>
        <w:t xml:space="preserve">5 450 kHz in accordance with Resolution </w:t>
      </w:r>
      <w:r w:rsidR="000860F4" w:rsidRPr="009A42B2">
        <w:rPr>
          <w:b/>
          <w:bCs/>
          <w:szCs w:val="22"/>
          <w:lang w:val="en-CA"/>
        </w:rPr>
        <w:t>649 (WRC</w:t>
      </w:r>
      <w:r w:rsidR="000860F4">
        <w:rPr>
          <w:b/>
          <w:bCs/>
          <w:szCs w:val="22"/>
          <w:lang w:val="en-CA"/>
        </w:rPr>
        <w:t>-</w:t>
      </w:r>
      <w:r w:rsidR="000860F4" w:rsidRPr="009A42B2">
        <w:rPr>
          <w:b/>
          <w:bCs/>
          <w:szCs w:val="22"/>
          <w:lang w:val="en-CA"/>
        </w:rPr>
        <w:t>12)</w:t>
      </w:r>
      <w:r w:rsidR="00162600">
        <w:rPr>
          <w:b/>
          <w:bCs/>
          <w:szCs w:val="22"/>
          <w:lang w:val="en-CA"/>
        </w:rPr>
        <w:t>.</w:t>
      </w:r>
    </w:p>
    <w:p w:rsidR="00035609" w:rsidRDefault="0035772C" w:rsidP="00162600">
      <w:pPr>
        <w:pStyle w:val="2Para"/>
        <w:numPr>
          <w:ilvl w:val="1"/>
          <w:numId w:val="17"/>
        </w:numPr>
        <w:tabs>
          <w:tab w:val="clear" w:pos="1440"/>
          <w:tab w:val="left" w:pos="1276"/>
        </w:tabs>
        <w:ind w:left="0" w:firstLine="0"/>
      </w:pPr>
      <w:r>
        <w:t xml:space="preserve">The </w:t>
      </w:r>
      <w:r w:rsidR="00BD44F9">
        <w:t>ICAO Position</w:t>
      </w:r>
      <w:r>
        <w:t xml:space="preserve"> on this agenda item was to </w:t>
      </w:r>
      <w:r w:rsidR="000860F4">
        <w:t>ensure that any allocation made to the amateur service would not cause harmful interference to aeronautical systems operating under the allocation to the aeronautical mobile (R) service in the adjacent frequency band 5</w:t>
      </w:r>
      <w:r w:rsidR="00391159">
        <w:t> </w:t>
      </w:r>
      <w:r w:rsidR="000860F4">
        <w:t>450</w:t>
      </w:r>
      <w:r w:rsidR="00391159">
        <w:t> – </w:t>
      </w:r>
      <w:r w:rsidR="000860F4">
        <w:t>5</w:t>
      </w:r>
      <w:r w:rsidR="00391159">
        <w:t> </w:t>
      </w:r>
      <w:r w:rsidR="000860F4">
        <w:t>480</w:t>
      </w:r>
      <w:r w:rsidR="00391159">
        <w:t> </w:t>
      </w:r>
      <w:r w:rsidR="000860F4">
        <w:t>kHz in Region</w:t>
      </w:r>
      <w:r w:rsidR="00F20366">
        <w:t> </w:t>
      </w:r>
      <w:r w:rsidR="000860F4">
        <w:t>2.</w:t>
      </w:r>
      <w:r w:rsidR="005601D1">
        <w:t xml:space="preserve"> </w:t>
      </w:r>
      <w:r w:rsidR="009741DE">
        <w:t>The conference allocated 5</w:t>
      </w:r>
      <w:r w:rsidR="00F20366">
        <w:t> </w:t>
      </w:r>
      <w:r w:rsidR="009741DE">
        <w:t>351.5</w:t>
      </w:r>
      <w:r w:rsidR="00F20366">
        <w:t> – </w:t>
      </w:r>
      <w:r w:rsidR="009741DE">
        <w:t>5</w:t>
      </w:r>
      <w:r w:rsidR="00F20366">
        <w:t> </w:t>
      </w:r>
      <w:r w:rsidR="009741DE">
        <w:t>366.5</w:t>
      </w:r>
      <w:r w:rsidR="00F20366">
        <w:t> </w:t>
      </w:r>
      <w:r w:rsidR="009741DE">
        <w:t xml:space="preserve">kHz to the amateur radio service, limited to a maximum radiated power of below 25W. The new allocation provides a guard band of 83.5 kHz thus </w:t>
      </w:r>
      <w:r w:rsidR="005601D1">
        <w:t xml:space="preserve">fully </w:t>
      </w:r>
      <w:r w:rsidR="009741DE">
        <w:t>protecting the aeronautical mobile (R) service.</w:t>
      </w:r>
    </w:p>
    <w:p w:rsidR="00023BE8" w:rsidRPr="00CA16BF" w:rsidRDefault="00023BE8" w:rsidP="00162600">
      <w:pPr>
        <w:pStyle w:val="ListParagraph"/>
        <w:numPr>
          <w:ilvl w:val="0"/>
          <w:numId w:val="17"/>
        </w:numPr>
        <w:ind w:left="709" w:hanging="709"/>
        <w:rPr>
          <w:b/>
          <w:szCs w:val="22"/>
        </w:rPr>
      </w:pPr>
      <w:r w:rsidRPr="00CA16BF">
        <w:rPr>
          <w:b/>
        </w:rPr>
        <w:t>Agenda Item 1.</w:t>
      </w:r>
      <w:r w:rsidR="009741DE">
        <w:rPr>
          <w:b/>
        </w:rPr>
        <w:t>5</w:t>
      </w:r>
      <w:r w:rsidRPr="00CA16BF">
        <w:rPr>
          <w:b/>
        </w:rPr>
        <w:t>:</w:t>
      </w:r>
      <w:r>
        <w:t xml:space="preserve"> </w:t>
      </w:r>
      <w:r w:rsidR="003E3223" w:rsidRPr="009A42B2">
        <w:rPr>
          <w:b/>
          <w:szCs w:val="22"/>
          <w:lang w:val="en-CA"/>
        </w:rPr>
        <w:t>To consider the use of frequency bands allocated to the fixed-satellite service not subject to Appendices </w:t>
      </w:r>
      <w:r w:rsidR="003E3223" w:rsidRPr="009A42B2">
        <w:rPr>
          <w:b/>
          <w:bCs/>
          <w:szCs w:val="22"/>
          <w:lang w:val="en-CA"/>
        </w:rPr>
        <w:t>30</w:t>
      </w:r>
      <w:r w:rsidR="003E3223" w:rsidRPr="009A42B2">
        <w:rPr>
          <w:b/>
          <w:szCs w:val="22"/>
          <w:lang w:val="en-CA"/>
        </w:rPr>
        <w:t xml:space="preserve">, </w:t>
      </w:r>
      <w:r w:rsidR="003E3223" w:rsidRPr="009A42B2">
        <w:rPr>
          <w:b/>
          <w:bCs/>
          <w:szCs w:val="22"/>
          <w:lang w:val="en-CA"/>
        </w:rPr>
        <w:t>30A</w:t>
      </w:r>
      <w:r w:rsidR="003E3223" w:rsidRPr="009A42B2">
        <w:rPr>
          <w:b/>
          <w:szCs w:val="22"/>
          <w:lang w:val="en-CA"/>
        </w:rPr>
        <w:t xml:space="preserve"> and </w:t>
      </w:r>
      <w:r w:rsidR="003E3223" w:rsidRPr="009A42B2">
        <w:rPr>
          <w:b/>
          <w:bCs/>
          <w:szCs w:val="22"/>
          <w:lang w:val="en-CA"/>
        </w:rPr>
        <w:t>30B</w:t>
      </w:r>
      <w:r w:rsidR="003E3223" w:rsidRPr="009A42B2">
        <w:rPr>
          <w:b/>
          <w:szCs w:val="22"/>
          <w:lang w:val="en-CA"/>
        </w:rPr>
        <w:t xml:space="preserve"> for the control and non-payload communications of unmanned </w:t>
      </w:r>
      <w:r w:rsidR="003E3223" w:rsidRPr="00835AF6">
        <w:rPr>
          <w:b/>
          <w:szCs w:val="22"/>
          <w:lang w:val="en-CA"/>
        </w:rPr>
        <w:t>aircraft systems (UAS) in non-segregated airspaces, in accordance with Resolution 153</w:t>
      </w:r>
      <w:r w:rsidR="003E3223" w:rsidRPr="00835AF6">
        <w:rPr>
          <w:b/>
          <w:bCs/>
          <w:szCs w:val="22"/>
          <w:lang w:val="en-CA"/>
        </w:rPr>
        <w:t xml:space="preserve"> (WRC-12</w:t>
      </w:r>
      <w:r w:rsidRPr="00751103">
        <w:rPr>
          <w:b/>
          <w:bCs/>
          <w:szCs w:val="22"/>
        </w:rPr>
        <w:t>).</w:t>
      </w:r>
    </w:p>
    <w:p w:rsidR="009A0F06" w:rsidRDefault="009D554D" w:rsidP="00F47312">
      <w:pPr>
        <w:pStyle w:val="2Para"/>
        <w:numPr>
          <w:ilvl w:val="1"/>
          <w:numId w:val="17"/>
        </w:numPr>
        <w:tabs>
          <w:tab w:val="clear" w:pos="1440"/>
          <w:tab w:val="left" w:pos="1418"/>
        </w:tabs>
        <w:ind w:left="0" w:firstLine="0"/>
      </w:pPr>
      <w:r>
        <w:t xml:space="preserve">Existing satellite networks operating in the FSS in the unplanned frequency bands at 14/12 GHz </w:t>
      </w:r>
      <w:r w:rsidR="005601D1">
        <w:t xml:space="preserve">(Ku band) </w:t>
      </w:r>
      <w:r>
        <w:t xml:space="preserve">and 30/20 GHz </w:t>
      </w:r>
      <w:r w:rsidR="005601D1">
        <w:t>(</w:t>
      </w:r>
      <w:proofErr w:type="spellStart"/>
      <w:r w:rsidR="005601D1">
        <w:t>Ka</w:t>
      </w:r>
      <w:proofErr w:type="spellEnd"/>
      <w:r w:rsidR="005601D1">
        <w:t xml:space="preserve"> band) </w:t>
      </w:r>
      <w:r>
        <w:t xml:space="preserve">have potential spectrum capacity available </w:t>
      </w:r>
      <w:r w:rsidR="00732B67">
        <w:t>to</w:t>
      </w:r>
      <w:r>
        <w:t xml:space="preserve"> meet the requirements for beyond line-of-sight links communications and could be used for unmanned aircraft systems (UAS)</w:t>
      </w:r>
      <w:r>
        <w:rPr>
          <w:rStyle w:val="FootnoteReference"/>
        </w:rPr>
        <w:footnoteReference w:id="2"/>
      </w:r>
      <w:r w:rsidR="008F1F43">
        <w:t xml:space="preserve"> control and non-payload communications links (CNPC)</w:t>
      </w:r>
      <w:r w:rsidR="008F1F43">
        <w:rPr>
          <w:rStyle w:val="FootnoteReference"/>
        </w:rPr>
        <w:footnoteReference w:id="3"/>
      </w:r>
      <w:r w:rsidR="008F1F43">
        <w:t xml:space="preserve"> provided that certain principles (conditions) indicated in the ICAO Position are fulfilled. However, the FSS is normally not recognized in the ITU as a </w:t>
      </w:r>
      <w:r w:rsidR="008F1F43" w:rsidRPr="00CD5427">
        <w:rPr>
          <w:i/>
          <w:iCs/>
        </w:rPr>
        <w:t>safety service</w:t>
      </w:r>
      <w:r w:rsidR="008F1F43">
        <w:t xml:space="preserve"> and it should be noted that any consideration of operation of UAS CNPC under an allocation to the FSS must address </w:t>
      </w:r>
      <w:r w:rsidR="00732B67">
        <w:t xml:space="preserve">an </w:t>
      </w:r>
      <w:r w:rsidR="008F1F43">
        <w:t>inconsistency with Article 1 definitions of the FSS (No. </w:t>
      </w:r>
      <w:r w:rsidR="008F1F43" w:rsidRPr="0028647D">
        <w:rPr>
          <w:b/>
          <w:bCs/>
        </w:rPr>
        <w:t>1.21</w:t>
      </w:r>
      <w:r w:rsidR="008F1F43">
        <w:t xml:space="preserve">) and aircraft earth station (No. </w:t>
      </w:r>
      <w:r w:rsidR="008F1F43" w:rsidRPr="0028647D">
        <w:rPr>
          <w:b/>
          <w:bCs/>
        </w:rPr>
        <w:t>1.84</w:t>
      </w:r>
      <w:r w:rsidR="008F1F43">
        <w:t>).</w:t>
      </w:r>
      <w:r>
        <w:t xml:space="preserve"> </w:t>
      </w:r>
      <w:r w:rsidR="009D66D0">
        <w:t xml:space="preserve">State operated </w:t>
      </w:r>
      <w:r w:rsidR="0028647D">
        <w:t>UAS</w:t>
      </w:r>
      <w:r w:rsidR="009D66D0">
        <w:t xml:space="preserve"> have been using </w:t>
      </w:r>
      <w:r w:rsidR="009E581A">
        <w:t>CNPC</w:t>
      </w:r>
      <w:r w:rsidR="004D2799">
        <w:t xml:space="preserve"> links over FSS</w:t>
      </w:r>
      <w:r w:rsidR="009D66D0">
        <w:t xml:space="preserve"> in segregated airspaces for a number of years. Previously WRC-12 had attempted but failed to develop a solution supporting the use of FSS </w:t>
      </w:r>
      <w:r w:rsidR="004D2799">
        <w:t xml:space="preserve">spectrum </w:t>
      </w:r>
      <w:r w:rsidR="009D66D0">
        <w:t xml:space="preserve">for </w:t>
      </w:r>
      <w:r w:rsidR="00593B3D">
        <w:t xml:space="preserve">UAS in a manner satisfying the </w:t>
      </w:r>
      <w:r w:rsidR="00871D54" w:rsidRPr="00093749">
        <w:rPr>
          <w:i/>
          <w:iCs/>
        </w:rPr>
        <w:t>safety</w:t>
      </w:r>
      <w:r w:rsidR="00871D54">
        <w:rPr>
          <w:i/>
          <w:iCs/>
        </w:rPr>
        <w:t> </w:t>
      </w:r>
      <w:r w:rsidR="00871D54" w:rsidRPr="00093749">
        <w:rPr>
          <w:i/>
          <w:iCs/>
        </w:rPr>
        <w:t>and</w:t>
      </w:r>
      <w:r w:rsidR="00871D54">
        <w:rPr>
          <w:i/>
          <w:iCs/>
        </w:rPr>
        <w:t> </w:t>
      </w:r>
      <w:r w:rsidR="00871D54" w:rsidRPr="00093749">
        <w:rPr>
          <w:i/>
          <w:iCs/>
        </w:rPr>
        <w:t>regularity</w:t>
      </w:r>
      <w:r w:rsidR="00871D54">
        <w:rPr>
          <w:i/>
          <w:iCs/>
        </w:rPr>
        <w:t> </w:t>
      </w:r>
      <w:r w:rsidR="00871D54" w:rsidRPr="00093749">
        <w:rPr>
          <w:i/>
          <w:iCs/>
        </w:rPr>
        <w:t>of</w:t>
      </w:r>
      <w:r w:rsidR="00871D54">
        <w:rPr>
          <w:i/>
          <w:iCs/>
        </w:rPr>
        <w:t> </w:t>
      </w:r>
      <w:r w:rsidR="00871D54" w:rsidRPr="00093749">
        <w:rPr>
          <w:i/>
          <w:iCs/>
        </w:rPr>
        <w:t>flight</w:t>
      </w:r>
      <w:r w:rsidR="00871D54" w:rsidDel="00871D54">
        <w:t xml:space="preserve"> </w:t>
      </w:r>
      <w:r w:rsidR="00593B3D">
        <w:t>requirements of civil aviation</w:t>
      </w:r>
      <w:r w:rsidR="000B0FE7">
        <w:t>.</w:t>
      </w:r>
    </w:p>
    <w:p w:rsidR="00957FF2" w:rsidRPr="002256C9" w:rsidRDefault="00957FF2" w:rsidP="00F47312">
      <w:pPr>
        <w:pStyle w:val="2Para"/>
        <w:numPr>
          <w:ilvl w:val="1"/>
          <w:numId w:val="17"/>
        </w:numPr>
        <w:ind w:left="0" w:firstLine="0"/>
      </w:pPr>
      <w:r w:rsidRPr="004D1DC1">
        <w:t xml:space="preserve">The </w:t>
      </w:r>
      <w:r>
        <w:t xml:space="preserve">ICAO </w:t>
      </w:r>
      <w:r w:rsidRPr="004D1DC1">
        <w:t xml:space="preserve">Position on </w:t>
      </w:r>
      <w:r>
        <w:t xml:space="preserve">this </w:t>
      </w:r>
      <w:r w:rsidRPr="004D1DC1">
        <w:t xml:space="preserve">agenda item referenced </w:t>
      </w:r>
      <w:r w:rsidR="00593B3D">
        <w:t>r</w:t>
      </w:r>
      <w:r w:rsidRPr="004D1DC1">
        <w:t>ecommendations of the 12</w:t>
      </w:r>
      <w:r w:rsidRPr="00F47312">
        <w:t>th</w:t>
      </w:r>
      <w:r w:rsidRPr="004D1DC1">
        <w:t> ICAO Air Navigation Conference</w:t>
      </w:r>
      <w:r w:rsidRPr="004D1DC1">
        <w:rPr>
          <w:rStyle w:val="FootnoteReference"/>
        </w:rPr>
        <w:footnoteReference w:id="4"/>
      </w:r>
      <w:r w:rsidRPr="004D1DC1">
        <w:t xml:space="preserve"> and the 38</w:t>
      </w:r>
      <w:r w:rsidRPr="00F47312">
        <w:t>th</w:t>
      </w:r>
      <w:r w:rsidRPr="004D1DC1">
        <w:t xml:space="preserve"> ICAO Assembly</w:t>
      </w:r>
      <w:r w:rsidRPr="004D1DC1">
        <w:rPr>
          <w:rStyle w:val="FootnoteReference"/>
        </w:rPr>
        <w:footnoteReference w:id="5"/>
      </w:r>
      <w:r w:rsidRPr="004D1DC1">
        <w:t xml:space="preserve"> and </w:t>
      </w:r>
      <w:r w:rsidRPr="000B0FE7">
        <w:rPr>
          <w:rFonts w:cs="Calibri"/>
        </w:rPr>
        <w:t xml:space="preserve">recognized that </w:t>
      </w:r>
      <w:r w:rsidRPr="000B0FE7">
        <w:rPr>
          <w:i/>
        </w:rPr>
        <w:t>Unmanned aircraft systems</w:t>
      </w:r>
      <w:r w:rsidRPr="004D1DC1">
        <w:t xml:space="preserve"> </w:t>
      </w:r>
      <w:r w:rsidRPr="000B0FE7">
        <w:rPr>
          <w:i/>
        </w:rPr>
        <w:t>have great potential for innovative civil applications, provided that their operation does not introduce risks to the safety of life</w:t>
      </w:r>
      <w:r w:rsidRPr="000B0FE7">
        <w:rPr>
          <w:rFonts w:cs="Calibri"/>
        </w:rPr>
        <w:t xml:space="preserve">. Further, the </w:t>
      </w:r>
      <w:r w:rsidR="00593B3D">
        <w:rPr>
          <w:rFonts w:cs="Calibri"/>
        </w:rPr>
        <w:t xml:space="preserve">ICAO </w:t>
      </w:r>
      <w:r w:rsidRPr="000B0FE7">
        <w:rPr>
          <w:rFonts w:cs="Calibri"/>
        </w:rPr>
        <w:t xml:space="preserve">Position listed </w:t>
      </w:r>
      <w:r w:rsidR="000B0FE7" w:rsidRPr="000B0FE7">
        <w:rPr>
          <w:rFonts w:cs="Calibri"/>
        </w:rPr>
        <w:t>three</w:t>
      </w:r>
      <w:r w:rsidRPr="000B0FE7">
        <w:rPr>
          <w:rFonts w:cs="Calibri"/>
        </w:rPr>
        <w:t xml:space="preserve"> conditions that would need to be satisfied</w:t>
      </w:r>
      <w:r w:rsidR="000B0FE7" w:rsidRPr="000B0FE7">
        <w:rPr>
          <w:rFonts w:cs="Calibri"/>
        </w:rPr>
        <w:t xml:space="preserve">: </w:t>
      </w:r>
      <w:r w:rsidR="000B0FE7">
        <w:rPr>
          <w:rFonts w:cs="Calibri"/>
          <w:lang w:val="en-CA"/>
        </w:rPr>
        <w:t>1)</w:t>
      </w:r>
      <w:r w:rsidR="000B0FE7" w:rsidRPr="000B0FE7">
        <w:rPr>
          <w:rFonts w:cs="Calibri"/>
          <w:lang w:val="en-CA"/>
        </w:rPr>
        <w:t xml:space="preserve"> </w:t>
      </w:r>
      <w:r w:rsidR="00F47312">
        <w:rPr>
          <w:rFonts w:cs="Calibri"/>
          <w:lang w:val="en-CA"/>
        </w:rPr>
        <w:t>t</w:t>
      </w:r>
      <w:r w:rsidR="000B0FE7" w:rsidRPr="000B0FE7">
        <w:rPr>
          <w:rFonts w:cs="Calibri"/>
          <w:lang w:val="en-CA"/>
        </w:rPr>
        <w:t>hat the technical and regulatory actions be limited to the case of UAS using satellites, as studied, and not set a precedent that puts other aeronautical safety services at risk;</w:t>
      </w:r>
      <w:r w:rsidR="000B0FE7">
        <w:rPr>
          <w:rFonts w:cs="Calibri"/>
          <w:lang w:val="en-CA"/>
        </w:rPr>
        <w:t xml:space="preserve"> 2) t</w:t>
      </w:r>
      <w:r w:rsidR="000B0FE7" w:rsidRPr="000B0FE7">
        <w:rPr>
          <w:rFonts w:cs="Calibri"/>
          <w:lang w:val="en-CA"/>
        </w:rPr>
        <w:t>hat all frequency bands which carry aeronautical safety communications be clearly identifi</w:t>
      </w:r>
      <w:r w:rsidR="000B0FE7">
        <w:rPr>
          <w:rFonts w:cs="Calibri"/>
          <w:lang w:val="en-CA"/>
        </w:rPr>
        <w:t>ed in the ITU Radio Regulations; and 3) t</w:t>
      </w:r>
      <w:r w:rsidR="000B0FE7" w:rsidRPr="000B0FE7">
        <w:rPr>
          <w:rFonts w:cs="Calibri"/>
          <w:lang w:val="en-CA"/>
        </w:rPr>
        <w:t xml:space="preserve">hat the assignments and use of the relevant frequency bands be consistent with article </w:t>
      </w:r>
      <w:r w:rsidR="000B0FE7" w:rsidRPr="000B0FE7">
        <w:rPr>
          <w:rFonts w:cs="Calibri"/>
          <w:b/>
          <w:bCs/>
          <w:lang w:val="en-CA"/>
        </w:rPr>
        <w:t>4.10</w:t>
      </w:r>
      <w:r w:rsidR="000B0FE7" w:rsidRPr="000B0FE7">
        <w:rPr>
          <w:rFonts w:cs="Calibri"/>
          <w:lang w:val="en-CA"/>
        </w:rPr>
        <w:t xml:space="preserve"> of the ITU Radio Regulations which recognizes that safety services require special measures to ensure their freedom from harmful interference.</w:t>
      </w:r>
      <w:r w:rsidR="000B0FE7">
        <w:rPr>
          <w:rFonts w:cs="Calibri"/>
          <w:lang w:val="en-CA"/>
        </w:rPr>
        <w:t xml:space="preserve"> </w:t>
      </w:r>
      <w:r w:rsidR="004D2799">
        <w:rPr>
          <w:rFonts w:cs="Calibri"/>
          <w:lang w:val="en-CA"/>
        </w:rPr>
        <w:t>T</w:t>
      </w:r>
      <w:r w:rsidR="000B0FE7">
        <w:rPr>
          <w:rFonts w:cs="Calibri"/>
          <w:lang w:val="en-CA"/>
        </w:rPr>
        <w:t xml:space="preserve">he </w:t>
      </w:r>
      <w:r w:rsidR="00593B3D">
        <w:rPr>
          <w:rFonts w:cs="Calibri"/>
          <w:lang w:val="en-CA"/>
        </w:rPr>
        <w:t>ICAO P</w:t>
      </w:r>
      <w:r w:rsidR="000B0FE7">
        <w:rPr>
          <w:rFonts w:cs="Calibri"/>
          <w:lang w:val="en-CA"/>
        </w:rPr>
        <w:t xml:space="preserve">osition specified that </w:t>
      </w:r>
      <w:r w:rsidR="004D2799">
        <w:rPr>
          <w:rFonts w:cs="Calibri"/>
          <w:lang w:val="en-CA"/>
        </w:rPr>
        <w:t xml:space="preserve">further </w:t>
      </w:r>
      <w:r w:rsidR="000B0FE7">
        <w:rPr>
          <w:rFonts w:cs="Calibri"/>
          <w:lang w:val="en-CA"/>
        </w:rPr>
        <w:t>provisions for UAS CNPC links to meet the technical and operational requirements for any specific airspace would be addressed within ICAO</w:t>
      </w:r>
      <w:r w:rsidR="004D2799">
        <w:rPr>
          <w:rFonts w:cs="Calibri"/>
          <w:lang w:val="en-CA"/>
        </w:rPr>
        <w:t xml:space="preserve"> and</w:t>
      </w:r>
      <w:r w:rsidR="000B0FE7">
        <w:rPr>
          <w:rFonts w:cs="Calibri"/>
          <w:lang w:val="en-CA"/>
        </w:rPr>
        <w:t xml:space="preserve"> provided background on four </w:t>
      </w:r>
      <w:r w:rsidR="004D2799">
        <w:rPr>
          <w:rFonts w:cs="Calibri"/>
          <w:lang w:val="en-CA"/>
        </w:rPr>
        <w:t xml:space="preserve">such </w:t>
      </w:r>
      <w:r w:rsidR="000B0FE7">
        <w:rPr>
          <w:rFonts w:cs="Calibri"/>
          <w:lang w:val="en-CA"/>
        </w:rPr>
        <w:t>further conditions that would need to be addressed in ICAO SARPs.</w:t>
      </w:r>
    </w:p>
    <w:p w:rsidR="002256C9" w:rsidRPr="0060587A" w:rsidRDefault="002256C9" w:rsidP="00845997">
      <w:pPr>
        <w:pStyle w:val="2Para"/>
        <w:numPr>
          <w:ilvl w:val="1"/>
          <w:numId w:val="17"/>
        </w:numPr>
        <w:tabs>
          <w:tab w:val="clear" w:pos="1440"/>
          <w:tab w:val="left" w:pos="1418"/>
        </w:tabs>
        <w:ind w:left="0" w:firstLine="0"/>
      </w:pPr>
      <w:r>
        <w:rPr>
          <w:rFonts w:cs="Calibri"/>
          <w:lang w:val="en-CA"/>
        </w:rPr>
        <w:lastRenderedPageBreak/>
        <w:t xml:space="preserve">The issue of using </w:t>
      </w:r>
      <w:r w:rsidR="009E581A">
        <w:rPr>
          <w:rFonts w:cs="Calibri"/>
          <w:lang w:val="en-CA"/>
        </w:rPr>
        <w:t xml:space="preserve">the </w:t>
      </w:r>
      <w:r>
        <w:rPr>
          <w:rFonts w:cs="Calibri"/>
          <w:lang w:val="en-CA"/>
        </w:rPr>
        <w:t xml:space="preserve">FSS for a </w:t>
      </w:r>
      <w:r w:rsidR="00871D54" w:rsidRPr="00093749">
        <w:rPr>
          <w:i/>
          <w:iCs/>
        </w:rPr>
        <w:t>safety</w:t>
      </w:r>
      <w:r w:rsidR="00871D54">
        <w:rPr>
          <w:i/>
          <w:iCs/>
        </w:rPr>
        <w:t> </w:t>
      </w:r>
      <w:r w:rsidR="00871D54" w:rsidRPr="00093749">
        <w:rPr>
          <w:i/>
          <w:iCs/>
        </w:rPr>
        <w:t>and</w:t>
      </w:r>
      <w:r w:rsidR="00871D54">
        <w:rPr>
          <w:i/>
          <w:iCs/>
        </w:rPr>
        <w:t> </w:t>
      </w:r>
      <w:r w:rsidR="00871D54" w:rsidRPr="00093749">
        <w:rPr>
          <w:i/>
          <w:iCs/>
        </w:rPr>
        <w:t>regularity</w:t>
      </w:r>
      <w:r w:rsidR="00871D54">
        <w:rPr>
          <w:i/>
          <w:iCs/>
        </w:rPr>
        <w:t> </w:t>
      </w:r>
      <w:r w:rsidR="00871D54" w:rsidRPr="00093749">
        <w:rPr>
          <w:i/>
          <w:iCs/>
        </w:rPr>
        <w:t>of</w:t>
      </w:r>
      <w:r w:rsidR="00871D54">
        <w:rPr>
          <w:i/>
          <w:iCs/>
        </w:rPr>
        <w:t> </w:t>
      </w:r>
      <w:r w:rsidR="00871D54" w:rsidRPr="00093749">
        <w:rPr>
          <w:i/>
          <w:iCs/>
        </w:rPr>
        <w:t>flight</w:t>
      </w:r>
      <w:r w:rsidR="00871D54" w:rsidDel="00871D54">
        <w:rPr>
          <w:rFonts w:cs="Calibri"/>
          <w:lang w:val="en-CA"/>
        </w:rPr>
        <w:t xml:space="preserve"> </w:t>
      </w:r>
      <w:r>
        <w:rPr>
          <w:rFonts w:cs="Calibri"/>
          <w:lang w:val="en-CA"/>
        </w:rPr>
        <w:t xml:space="preserve">related application poses a dilemma, as FSS is normally not considered a </w:t>
      </w:r>
      <w:r w:rsidRPr="00CD5427">
        <w:rPr>
          <w:rFonts w:cs="Calibri"/>
          <w:i/>
          <w:iCs/>
          <w:lang w:val="en-CA"/>
        </w:rPr>
        <w:t>safety service</w:t>
      </w:r>
      <w:r w:rsidR="001555BF">
        <w:rPr>
          <w:rFonts w:cs="Calibri"/>
          <w:lang w:val="en-CA"/>
        </w:rPr>
        <w:t xml:space="preserve">. </w:t>
      </w:r>
      <w:r w:rsidR="00697703">
        <w:rPr>
          <w:rFonts w:cs="Calibri"/>
          <w:lang w:val="en-CA"/>
        </w:rPr>
        <w:t xml:space="preserve">Hence the task </w:t>
      </w:r>
      <w:r w:rsidR="009E581A">
        <w:rPr>
          <w:rFonts w:cs="Calibri"/>
          <w:lang w:val="en-CA"/>
        </w:rPr>
        <w:t>for</w:t>
      </w:r>
      <w:r w:rsidR="00697703">
        <w:rPr>
          <w:rFonts w:cs="Calibri"/>
          <w:lang w:val="en-CA"/>
        </w:rPr>
        <w:t xml:space="preserve"> the conference was to find a solution which would satisfy the requirements of a </w:t>
      </w:r>
      <w:r w:rsidR="00697703" w:rsidRPr="00CD5427">
        <w:rPr>
          <w:rFonts w:cs="Calibri"/>
          <w:i/>
          <w:iCs/>
          <w:lang w:val="en-CA"/>
        </w:rPr>
        <w:t>safety service</w:t>
      </w:r>
      <w:r w:rsidR="00697703">
        <w:rPr>
          <w:rFonts w:cs="Calibri"/>
          <w:lang w:val="en-CA"/>
        </w:rPr>
        <w:t xml:space="preserve"> without developing additional constraints on the </w:t>
      </w:r>
      <w:r w:rsidR="00A76623">
        <w:rPr>
          <w:rFonts w:cs="Calibri"/>
          <w:lang w:val="en-CA"/>
        </w:rPr>
        <w:t>existing</w:t>
      </w:r>
      <w:r w:rsidR="00697703">
        <w:rPr>
          <w:rFonts w:cs="Calibri"/>
          <w:lang w:val="en-CA"/>
        </w:rPr>
        <w:t xml:space="preserve"> services within the frequency bands of the FSS. Needless to say, even before the conference this </w:t>
      </w:r>
      <w:r w:rsidR="00270035">
        <w:rPr>
          <w:rFonts w:cs="Calibri"/>
          <w:lang w:val="en-CA"/>
        </w:rPr>
        <w:t>approach</w:t>
      </w:r>
      <w:r w:rsidR="00697703">
        <w:rPr>
          <w:rFonts w:cs="Calibri"/>
          <w:lang w:val="en-CA"/>
        </w:rPr>
        <w:t xml:space="preserve"> proved to be very divisive amongst aeronautical </w:t>
      </w:r>
      <w:r w:rsidR="00270035">
        <w:rPr>
          <w:rFonts w:cs="Calibri"/>
          <w:lang w:val="en-CA"/>
        </w:rPr>
        <w:t>colleagues</w:t>
      </w:r>
      <w:r w:rsidR="00A76623">
        <w:rPr>
          <w:rFonts w:cs="Calibri"/>
          <w:lang w:val="en-CA"/>
        </w:rPr>
        <w:t xml:space="preserve"> (example ref: AN</w:t>
      </w:r>
      <w:r w:rsidR="00845997">
        <w:rPr>
          <w:rFonts w:cs="Calibri"/>
          <w:lang w:val="en-CA"/>
        </w:rPr>
        <w:t xml:space="preserve"> Min.</w:t>
      </w:r>
      <w:r w:rsidR="00A76623">
        <w:rPr>
          <w:rFonts w:cs="Calibri"/>
          <w:lang w:val="en-CA"/>
        </w:rPr>
        <w:t xml:space="preserve"> 193</w:t>
      </w:r>
      <w:r w:rsidR="00F47312">
        <w:rPr>
          <w:rFonts w:cs="Calibri"/>
          <w:lang w:val="en-CA"/>
        </w:rPr>
        <w:t>-</w:t>
      </w:r>
      <w:r w:rsidR="00A76623">
        <w:rPr>
          <w:rFonts w:cs="Calibri"/>
          <w:lang w:val="en-CA"/>
        </w:rPr>
        <w:t>6)</w:t>
      </w:r>
      <w:r w:rsidR="00270035">
        <w:rPr>
          <w:rFonts w:cs="Calibri"/>
          <w:lang w:val="en-CA"/>
        </w:rPr>
        <w:t>.</w:t>
      </w:r>
    </w:p>
    <w:p w:rsidR="0060587A" w:rsidRPr="007247DA" w:rsidRDefault="00DB3C19" w:rsidP="00F47312">
      <w:pPr>
        <w:pStyle w:val="2Heading"/>
        <w:numPr>
          <w:ilvl w:val="1"/>
          <w:numId w:val="17"/>
        </w:numPr>
      </w:pPr>
      <w:r w:rsidRPr="007247DA">
        <w:t>The FSS as a resource</w:t>
      </w:r>
      <w:r>
        <w:t xml:space="preserve"> of spectrum and infrastructure</w:t>
      </w:r>
    </w:p>
    <w:p w:rsidR="00F06D7F" w:rsidRPr="007247DA" w:rsidRDefault="00DB3C19" w:rsidP="00845997">
      <w:pPr>
        <w:pStyle w:val="2Para"/>
        <w:numPr>
          <w:ilvl w:val="2"/>
          <w:numId w:val="17"/>
        </w:numPr>
        <w:ind w:left="0" w:firstLine="0"/>
        <w:rPr>
          <w:lang w:val="en-CA"/>
        </w:rPr>
      </w:pPr>
      <w:r>
        <w:rPr>
          <w:lang w:val="en-CA"/>
        </w:rPr>
        <w:t xml:space="preserve">There are hundreds of satellites operating in the FSS, </w:t>
      </w:r>
      <w:r w:rsidR="00DF3086">
        <w:rPr>
          <w:lang w:val="en-CA"/>
        </w:rPr>
        <w:t>utilizing</w:t>
      </w:r>
      <w:r>
        <w:rPr>
          <w:lang w:val="en-CA"/>
        </w:rPr>
        <w:t xml:space="preserve"> about </w:t>
      </w:r>
      <w:r w:rsidR="00F06D7F" w:rsidRPr="009E581A">
        <w:rPr>
          <w:lang w:val="en-CA"/>
        </w:rPr>
        <w:t>6 GHz in total</w:t>
      </w:r>
      <w:r w:rsidR="00C03E5B" w:rsidRPr="009E581A">
        <w:rPr>
          <w:lang w:val="en-CA"/>
        </w:rPr>
        <w:t xml:space="preserve"> in the Ku and</w:t>
      </w:r>
      <w:r w:rsidR="00732B67">
        <w:rPr>
          <w:lang w:val="en-CA"/>
        </w:rPr>
        <w:t xml:space="preserve"> </w:t>
      </w:r>
      <w:proofErr w:type="spellStart"/>
      <w:r w:rsidR="00C03E5B" w:rsidRPr="009E581A">
        <w:rPr>
          <w:lang w:val="en-CA"/>
        </w:rPr>
        <w:t>Ka</w:t>
      </w:r>
      <w:proofErr w:type="spellEnd"/>
      <w:r w:rsidR="00C03E5B" w:rsidRPr="009E581A">
        <w:rPr>
          <w:lang w:val="en-CA"/>
        </w:rPr>
        <w:t xml:space="preserve"> frequency bands</w:t>
      </w:r>
      <w:r w:rsidR="00F06D7F" w:rsidRPr="009E581A">
        <w:rPr>
          <w:lang w:val="en-CA"/>
        </w:rPr>
        <w:t xml:space="preserve">. </w:t>
      </w:r>
      <w:r w:rsidR="00C03E5B" w:rsidRPr="009E581A">
        <w:rPr>
          <w:lang w:val="en-CA"/>
        </w:rPr>
        <w:t xml:space="preserve">While </w:t>
      </w:r>
      <w:r w:rsidR="0054459E">
        <w:rPr>
          <w:lang w:val="en-CA"/>
        </w:rPr>
        <w:t>under oversight by</w:t>
      </w:r>
      <w:r w:rsidR="00C03E5B" w:rsidRPr="009E581A">
        <w:rPr>
          <w:lang w:val="en-CA"/>
        </w:rPr>
        <w:t xml:space="preserve"> the Radio Regulators, c</w:t>
      </w:r>
      <w:r w:rsidR="00F06D7F" w:rsidRPr="009E581A">
        <w:rPr>
          <w:lang w:val="en-CA"/>
        </w:rPr>
        <w:t>oordination of frequency assignments</w:t>
      </w:r>
      <w:r w:rsidR="004162EC">
        <w:t xml:space="preserve"> in the FSS </w:t>
      </w:r>
      <w:r w:rsidR="00F06D7F">
        <w:t xml:space="preserve">takes place to a large extent directly between the satellite operators, </w:t>
      </w:r>
      <w:r w:rsidR="0054459E">
        <w:t xml:space="preserve">through the </w:t>
      </w:r>
      <w:r w:rsidR="00C03E5B">
        <w:t>develop</w:t>
      </w:r>
      <w:r w:rsidR="0054459E">
        <w:t>ment of</w:t>
      </w:r>
      <w:r w:rsidR="00C03E5B">
        <w:t xml:space="preserve"> </w:t>
      </w:r>
      <w:r w:rsidR="00F06D7F">
        <w:t>agreement</w:t>
      </w:r>
      <w:r w:rsidR="0054459E">
        <w:t>s</w:t>
      </w:r>
      <w:r w:rsidR="00F06D7F">
        <w:t xml:space="preserve"> with regard to the interference environment of their links. </w:t>
      </w:r>
      <w:r w:rsidR="007707E8">
        <w:t>Amending the Radio Regulations to accommodate</w:t>
      </w:r>
      <w:r w:rsidR="00F06D7F">
        <w:t xml:space="preserve"> a traditionally allocated </w:t>
      </w:r>
      <w:r w:rsidR="00F06D7F" w:rsidRPr="00CD5427">
        <w:rPr>
          <w:i/>
          <w:iCs/>
        </w:rPr>
        <w:t>safety service</w:t>
      </w:r>
      <w:r w:rsidR="00F06D7F">
        <w:t xml:space="preserve"> within this environment, </w:t>
      </w:r>
      <w:r w:rsidR="0054459E">
        <w:t xml:space="preserve">including additional </w:t>
      </w:r>
      <w:r w:rsidR="00F06D7F">
        <w:t xml:space="preserve">safety margins, would create leverage for </w:t>
      </w:r>
      <w:r w:rsidR="004162EC">
        <w:t xml:space="preserve">those </w:t>
      </w:r>
      <w:r w:rsidR="00F06D7F">
        <w:t>satellite operators providing service for UAS</w:t>
      </w:r>
      <w:r w:rsidR="0054459E">
        <w:t xml:space="preserve"> on a permanent or temporary basis</w:t>
      </w:r>
      <w:r w:rsidR="00F06D7F">
        <w:t xml:space="preserve">, thus being able to gradually </w:t>
      </w:r>
      <w:r w:rsidR="0042562C">
        <w:t xml:space="preserve">taking </w:t>
      </w:r>
      <w:r w:rsidR="00F06D7F">
        <w:t xml:space="preserve">over the frequency assignments of neighbouring satellites in orbit. </w:t>
      </w:r>
      <w:r w:rsidR="00C03E5B">
        <w:t>S</w:t>
      </w:r>
      <w:r w:rsidR="00F06D7F">
        <w:t xml:space="preserve">uch a solution </w:t>
      </w:r>
      <w:r w:rsidR="0054459E">
        <w:t xml:space="preserve">would be highly controversial and is </w:t>
      </w:r>
      <w:r w:rsidR="00C03E5B">
        <w:t>n</w:t>
      </w:r>
      <w:r w:rsidR="004162EC">
        <w:t>either</w:t>
      </w:r>
      <w:r w:rsidR="00C03E5B">
        <w:t xml:space="preserve"> supported by </w:t>
      </w:r>
      <w:r w:rsidR="007707E8">
        <w:t>N</w:t>
      </w:r>
      <w:r w:rsidR="0054459E">
        <w:t xml:space="preserve">ational </w:t>
      </w:r>
      <w:r w:rsidR="007707E8">
        <w:t>R</w:t>
      </w:r>
      <w:r w:rsidR="00C03E5B">
        <w:t xml:space="preserve">adio </w:t>
      </w:r>
      <w:r w:rsidR="007707E8">
        <w:t>R</w:t>
      </w:r>
      <w:r w:rsidR="00C03E5B">
        <w:t xml:space="preserve">egulators </w:t>
      </w:r>
      <w:r w:rsidR="004162EC">
        <w:t>n</w:t>
      </w:r>
      <w:r w:rsidR="00C03E5B">
        <w:t xml:space="preserve">or operators of </w:t>
      </w:r>
      <w:r w:rsidR="004162EC">
        <w:t xml:space="preserve">satellites in </w:t>
      </w:r>
      <w:r w:rsidR="00C03E5B">
        <w:t>the FSS</w:t>
      </w:r>
      <w:r w:rsidR="00F06D7F">
        <w:t>.</w:t>
      </w:r>
    </w:p>
    <w:p w:rsidR="00DB3C19" w:rsidRPr="007247DA" w:rsidRDefault="00DB3C19" w:rsidP="00F47312">
      <w:pPr>
        <w:pStyle w:val="2Heading"/>
        <w:numPr>
          <w:ilvl w:val="1"/>
          <w:numId w:val="17"/>
        </w:numPr>
        <w:rPr>
          <w:lang w:val="fr-CA"/>
        </w:rPr>
      </w:pPr>
      <w:r w:rsidRPr="007247DA">
        <w:rPr>
          <w:lang w:val="fr-CA"/>
        </w:rPr>
        <w:t xml:space="preserve">FSS </w:t>
      </w:r>
      <w:proofErr w:type="spellStart"/>
      <w:r w:rsidRPr="007247DA">
        <w:rPr>
          <w:lang w:val="fr-CA"/>
        </w:rPr>
        <w:t>spectrum</w:t>
      </w:r>
      <w:proofErr w:type="spellEnd"/>
      <w:r w:rsidRPr="007247DA">
        <w:rPr>
          <w:lang w:val="fr-CA"/>
        </w:rPr>
        <w:t xml:space="preserve"> vis-à-vis a </w:t>
      </w:r>
      <w:proofErr w:type="spellStart"/>
      <w:r w:rsidRPr="007247DA">
        <w:rPr>
          <w:lang w:val="fr-CA"/>
        </w:rPr>
        <w:t>safety</w:t>
      </w:r>
      <w:proofErr w:type="spellEnd"/>
      <w:r w:rsidRPr="007247DA">
        <w:rPr>
          <w:lang w:val="fr-CA"/>
        </w:rPr>
        <w:t xml:space="preserve"> service</w:t>
      </w:r>
    </w:p>
    <w:p w:rsidR="006D01A1" w:rsidRDefault="0042562C" w:rsidP="00F47312">
      <w:pPr>
        <w:pStyle w:val="2Para"/>
        <w:numPr>
          <w:ilvl w:val="2"/>
          <w:numId w:val="17"/>
        </w:numPr>
        <w:ind w:left="0" w:firstLine="0"/>
      </w:pPr>
      <w:r>
        <w:rPr>
          <w:lang w:val="en-CA"/>
        </w:rPr>
        <w:t>Radiocommunication</w:t>
      </w:r>
      <w:r w:rsidRPr="007247DA">
        <w:rPr>
          <w:lang w:val="en-CA"/>
        </w:rPr>
        <w:t xml:space="preserve"> </w:t>
      </w:r>
      <w:r w:rsidR="00DF3086" w:rsidRPr="007247DA">
        <w:rPr>
          <w:lang w:val="en-CA"/>
        </w:rPr>
        <w:t>services, such as the FSS are protected through the app</w:t>
      </w:r>
      <w:r w:rsidR="00DF3086">
        <w:rPr>
          <w:lang w:val="en-CA"/>
        </w:rPr>
        <w:t>lication of the rules laid out in the Radio Regulations. The application of these rules ensures freedom</w:t>
      </w:r>
      <w:r w:rsidR="00FB2FC1">
        <w:rPr>
          <w:lang w:val="en-CA"/>
        </w:rPr>
        <w:t xml:space="preserve"> from harmful interference under normal conditions.</w:t>
      </w:r>
    </w:p>
    <w:p w:rsidR="0060587A" w:rsidRPr="00766D28" w:rsidRDefault="006D01A1" w:rsidP="00F47312">
      <w:pPr>
        <w:pStyle w:val="2Para"/>
        <w:numPr>
          <w:ilvl w:val="2"/>
          <w:numId w:val="17"/>
        </w:numPr>
        <w:ind w:left="0" w:firstLine="0"/>
      </w:pPr>
      <w:r>
        <w:t>T</w:t>
      </w:r>
      <w:r w:rsidR="00FB0936">
        <w:t>he Radio Regulations</w:t>
      </w:r>
      <w:r w:rsidR="0042608D">
        <w:t xml:space="preserve"> provide aviation with spectrum allocations suitable to accommodate </w:t>
      </w:r>
      <w:r w:rsidR="00FB0936" w:rsidRPr="004D1DC1">
        <w:rPr>
          <w:i/>
          <w:iCs/>
        </w:rPr>
        <w:t>safety of life</w:t>
      </w:r>
      <w:r w:rsidR="0042608D">
        <w:t xml:space="preserve"> </w:t>
      </w:r>
      <w:r w:rsidR="00766D28">
        <w:t xml:space="preserve">critical applications </w:t>
      </w:r>
      <w:r w:rsidR="0042608D">
        <w:t xml:space="preserve">through the provision of services such as the </w:t>
      </w:r>
      <w:r w:rsidR="0042608D" w:rsidRPr="00766D28">
        <w:rPr>
          <w:i/>
          <w:iCs/>
        </w:rPr>
        <w:t>aeronautical mobile satellite (route) service</w:t>
      </w:r>
      <w:r>
        <w:t xml:space="preserve"> (</w:t>
      </w:r>
      <w:r w:rsidR="005F32A2">
        <w:t>AMS(R)S</w:t>
      </w:r>
      <w:r w:rsidR="0042562C">
        <w:t>)</w:t>
      </w:r>
      <w:r w:rsidR="0042608D" w:rsidRPr="00766D28">
        <w:t>. Such services are termed</w:t>
      </w:r>
      <w:r w:rsidR="00FB0936" w:rsidRPr="00766D28">
        <w:t xml:space="preserve"> </w:t>
      </w:r>
      <w:r w:rsidR="00FB0936" w:rsidRPr="00766D28">
        <w:rPr>
          <w:i/>
          <w:iCs/>
        </w:rPr>
        <w:t>safety services</w:t>
      </w:r>
      <w:r w:rsidR="0042608D" w:rsidRPr="00766D28">
        <w:t xml:space="preserve">. </w:t>
      </w:r>
      <w:r w:rsidR="004162EC" w:rsidRPr="004162EC">
        <w:rPr>
          <w:i/>
          <w:iCs/>
        </w:rPr>
        <w:t>Safety service</w:t>
      </w:r>
      <w:r w:rsidR="004162EC">
        <w:t xml:space="preserve"> is a term </w:t>
      </w:r>
      <w:r w:rsidR="00FB0936" w:rsidRPr="00766D28">
        <w:t>introduced in the ITU Constitution and Convention</w:t>
      </w:r>
      <w:r w:rsidR="0042562C">
        <w:t>, describing a radiocommunication service suitable</w:t>
      </w:r>
      <w:r w:rsidR="00E42BF8">
        <w:t xml:space="preserve"> for the </w:t>
      </w:r>
      <w:r w:rsidR="00E42BF8" w:rsidRPr="00CD5427">
        <w:rPr>
          <w:i/>
          <w:iCs/>
        </w:rPr>
        <w:t>safeguarding of human life and property</w:t>
      </w:r>
      <w:r w:rsidR="00FB0936" w:rsidRPr="00766D28">
        <w:t xml:space="preserve">. Safety concerns are of paramount importance </w:t>
      </w:r>
      <w:r w:rsidR="00CA4751">
        <w:t xml:space="preserve">when providing a </w:t>
      </w:r>
      <w:r w:rsidR="00445D54">
        <w:t>CNPC</w:t>
      </w:r>
      <w:r w:rsidR="00CA4751">
        <w:t xml:space="preserve"> link for UAS</w:t>
      </w:r>
      <w:r w:rsidR="00FB0936" w:rsidRPr="00766D28">
        <w:t>.</w:t>
      </w:r>
    </w:p>
    <w:p w:rsidR="0042608D" w:rsidRPr="00766D28" w:rsidRDefault="00E42BF8" w:rsidP="00845997">
      <w:pPr>
        <w:pStyle w:val="2Para"/>
        <w:numPr>
          <w:ilvl w:val="3"/>
          <w:numId w:val="17"/>
        </w:numPr>
        <w:tabs>
          <w:tab w:val="clear" w:pos="1440"/>
          <w:tab w:val="left" w:pos="1418"/>
        </w:tabs>
        <w:ind w:left="0" w:firstLine="0"/>
      </w:pPr>
      <w:r>
        <w:t>S</w:t>
      </w:r>
      <w:r w:rsidR="0042608D" w:rsidRPr="00766D28">
        <w:t xml:space="preserve">afety services receive additional protection through the provision of Article </w:t>
      </w:r>
      <w:r w:rsidR="0042608D" w:rsidRPr="00766D28">
        <w:rPr>
          <w:b/>
          <w:bCs/>
        </w:rPr>
        <w:t>4.10</w:t>
      </w:r>
      <w:r>
        <w:t xml:space="preserve"> of the Radio Regulations</w:t>
      </w:r>
      <w:r w:rsidR="0042608D" w:rsidRPr="00766D28">
        <w:t xml:space="preserve">, which </w:t>
      </w:r>
      <w:r w:rsidR="00766D28" w:rsidRPr="00766D28">
        <w:t>states:</w:t>
      </w:r>
    </w:p>
    <w:p w:rsidR="00766D28" w:rsidRPr="00766D28" w:rsidRDefault="00766D28" w:rsidP="00845997">
      <w:pPr>
        <w:pStyle w:val="enumlev1"/>
        <w:numPr>
          <w:ilvl w:val="0"/>
          <w:numId w:val="24"/>
        </w:numPr>
        <w:tabs>
          <w:tab w:val="clear" w:pos="1134"/>
          <w:tab w:val="clear" w:pos="1871"/>
          <w:tab w:val="left" w:pos="1418"/>
          <w:tab w:val="left" w:pos="1701"/>
        </w:tabs>
        <w:spacing w:before="0"/>
        <w:ind w:left="1701" w:hanging="278"/>
        <w:rPr>
          <w:sz w:val="22"/>
          <w:szCs w:val="22"/>
        </w:rPr>
      </w:pPr>
      <w:r w:rsidRPr="00766D28">
        <w:rPr>
          <w:bCs/>
          <w:sz w:val="22"/>
          <w:szCs w:val="22"/>
        </w:rPr>
        <w:t>No.</w:t>
      </w:r>
      <w:r w:rsidRPr="00766D28">
        <w:rPr>
          <w:b/>
          <w:sz w:val="22"/>
          <w:szCs w:val="22"/>
        </w:rPr>
        <w:t xml:space="preserve"> 4.10</w:t>
      </w:r>
      <w:r w:rsidRPr="00766D28">
        <w:rPr>
          <w:sz w:val="22"/>
          <w:szCs w:val="22"/>
        </w:rPr>
        <w:tab/>
        <w:t>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rsidR="00C30989" w:rsidRDefault="00264B91" w:rsidP="00C53072">
      <w:pPr>
        <w:pStyle w:val="2Para"/>
        <w:numPr>
          <w:ilvl w:val="0"/>
          <w:numId w:val="0"/>
        </w:numPr>
        <w:tabs>
          <w:tab w:val="clear" w:pos="1440"/>
          <w:tab w:val="left" w:pos="1418"/>
        </w:tabs>
      </w:pPr>
      <w:r>
        <w:t xml:space="preserve">Application of </w:t>
      </w:r>
      <w:r>
        <w:rPr>
          <w:b/>
          <w:bCs/>
        </w:rPr>
        <w:t>4.10</w:t>
      </w:r>
      <w:r>
        <w:t xml:space="preserve"> is traditionally provided through two means: </w:t>
      </w:r>
      <w:r w:rsidRPr="00C53072">
        <w:rPr>
          <w:b/>
          <w:bCs/>
        </w:rPr>
        <w:t>1</w:t>
      </w:r>
      <w:r w:rsidRPr="001B7DBB">
        <w:rPr>
          <w:b/>
          <w:bCs/>
        </w:rPr>
        <w:t>)</w:t>
      </w:r>
      <w:r>
        <w:t xml:space="preserve"> </w:t>
      </w:r>
      <w:r w:rsidR="00C53072">
        <w:t>t</w:t>
      </w:r>
      <w:r>
        <w:t xml:space="preserve">he requirement for careful frequency assignment co-ordination to avoid </w:t>
      </w:r>
      <w:r w:rsidRPr="00CD5427">
        <w:rPr>
          <w:i/>
          <w:iCs/>
        </w:rPr>
        <w:t>harmful interference</w:t>
      </w:r>
      <w:r>
        <w:t xml:space="preserve"> from taking place; </w:t>
      </w:r>
      <w:r w:rsidRPr="00C53072">
        <w:rPr>
          <w:b/>
          <w:bCs/>
        </w:rPr>
        <w:t>2</w:t>
      </w:r>
      <w:r w:rsidRPr="00C53072">
        <w:t>)</w:t>
      </w:r>
      <w:r>
        <w:t xml:space="preserve"> </w:t>
      </w:r>
      <w:r w:rsidR="00C53072">
        <w:t>s</w:t>
      </w:r>
      <w:r>
        <w:t xml:space="preserve">wift action to clear any </w:t>
      </w:r>
      <w:r w:rsidRPr="00CD5427">
        <w:rPr>
          <w:i/>
          <w:iCs/>
        </w:rPr>
        <w:t>harmful interference</w:t>
      </w:r>
      <w:r>
        <w:t xml:space="preserve"> when it happens.</w:t>
      </w:r>
      <w:r w:rsidR="00430ADA">
        <w:t xml:space="preserve">  </w:t>
      </w:r>
    </w:p>
    <w:p w:rsidR="00430ADA" w:rsidRDefault="00C30989" w:rsidP="00C53072">
      <w:pPr>
        <w:pStyle w:val="2Para"/>
        <w:numPr>
          <w:ilvl w:val="3"/>
          <w:numId w:val="17"/>
        </w:numPr>
        <w:tabs>
          <w:tab w:val="clear" w:pos="1440"/>
          <w:tab w:val="left" w:pos="1418"/>
        </w:tabs>
        <w:ind w:left="0" w:firstLine="0"/>
      </w:pPr>
      <w:r>
        <w:t xml:space="preserve">The traditional means to provide </w:t>
      </w:r>
      <w:r w:rsidRPr="00C53072">
        <w:rPr>
          <w:b/>
          <w:bCs/>
        </w:rPr>
        <w:t>1</w:t>
      </w:r>
      <w:r>
        <w:t>)</w:t>
      </w:r>
      <w:r w:rsidR="00430ADA">
        <w:t xml:space="preserve"> above is the </w:t>
      </w:r>
      <w:r>
        <w:t>application</w:t>
      </w:r>
      <w:r w:rsidR="00430ADA">
        <w:t xml:space="preserve"> of an </w:t>
      </w:r>
      <w:r w:rsidR="00430ADA">
        <w:rPr>
          <w:i/>
          <w:iCs/>
        </w:rPr>
        <w:t>aviation safety margin</w:t>
      </w:r>
      <w:r w:rsidR="00430ADA">
        <w:t>, an additional margin</w:t>
      </w:r>
      <w:r w:rsidR="00445D54">
        <w:t>, usually of 6 dB,</w:t>
      </w:r>
      <w:r w:rsidR="00430ADA">
        <w:t xml:space="preserve"> when determining acceptable interference margins between frequency assignments. </w:t>
      </w:r>
      <w:r>
        <w:t>When sharing a frequency band with a non-safety service, a</w:t>
      </w:r>
      <w:r w:rsidR="00430ADA">
        <w:t xml:space="preserve"> de-facto consequence of the application of this</w:t>
      </w:r>
      <w:r>
        <w:t xml:space="preserve"> requirement could be to push </w:t>
      </w:r>
      <w:r w:rsidR="00445D54">
        <w:t>a</w:t>
      </w:r>
      <w:r w:rsidR="00430ADA">
        <w:t xml:space="preserve"> </w:t>
      </w:r>
      <w:r w:rsidR="00445D54">
        <w:t xml:space="preserve">traditional radiocommunication service </w:t>
      </w:r>
      <w:r w:rsidR="00430ADA">
        <w:t xml:space="preserve">out in case it interferes with </w:t>
      </w:r>
      <w:r>
        <w:t>the</w:t>
      </w:r>
      <w:r w:rsidR="00430ADA">
        <w:t xml:space="preserve"> </w:t>
      </w:r>
      <w:r w:rsidR="00430ADA" w:rsidRPr="00CD5427">
        <w:rPr>
          <w:i/>
          <w:iCs/>
        </w:rPr>
        <w:t>safety service</w:t>
      </w:r>
      <w:r w:rsidR="00430ADA">
        <w:t>.</w:t>
      </w:r>
      <w:r w:rsidR="00445D54">
        <w:t xml:space="preserve"> In other words, the </w:t>
      </w:r>
      <w:r w:rsidR="00445D54" w:rsidRPr="00CD5427">
        <w:rPr>
          <w:i/>
          <w:iCs/>
        </w:rPr>
        <w:t>safety service</w:t>
      </w:r>
      <w:r w:rsidR="00445D54">
        <w:t xml:space="preserve"> becomes super-primary.</w:t>
      </w:r>
    </w:p>
    <w:p w:rsidR="005F32A2" w:rsidRDefault="00881460" w:rsidP="00C53072">
      <w:pPr>
        <w:pStyle w:val="2Para"/>
        <w:numPr>
          <w:ilvl w:val="2"/>
          <w:numId w:val="17"/>
        </w:numPr>
        <w:tabs>
          <w:tab w:val="clear" w:pos="1440"/>
          <w:tab w:val="left" w:pos="1418"/>
        </w:tabs>
        <w:ind w:left="0" w:firstLine="0"/>
      </w:pPr>
      <w:r>
        <w:lastRenderedPageBreak/>
        <w:t>When accessing an abundant frequency spectrum resource such as the FSS, an alternate/equivalent means to the traditional aviation safety margin is possible</w:t>
      </w:r>
      <w:r w:rsidR="00C90A05">
        <w:t>,</w:t>
      </w:r>
      <w:r>
        <w:t xml:space="preserve"> to provide the additional assurance of a robust and safe link</w:t>
      </w:r>
      <w:r w:rsidRPr="00766D28">
        <w:t>.</w:t>
      </w:r>
      <w:r>
        <w:t xml:space="preserve"> </w:t>
      </w:r>
      <w:r w:rsidR="00C90A05">
        <w:t xml:space="preserve">This </w:t>
      </w:r>
      <w:r w:rsidR="005F32A2">
        <w:t>alternate</w:t>
      </w:r>
      <w:r>
        <w:t xml:space="preserve"> means to provide </w:t>
      </w:r>
      <w:r w:rsidRPr="007247DA">
        <w:rPr>
          <w:b/>
          <w:bCs/>
        </w:rPr>
        <w:t>1)</w:t>
      </w:r>
      <w:r>
        <w:rPr>
          <w:b/>
          <w:bCs/>
        </w:rPr>
        <w:t xml:space="preserve"> </w:t>
      </w:r>
      <w:r>
        <w:t>as referred above, is the application of increased frequency bandwidth rather than increased margin for signal over interference.</w:t>
      </w:r>
      <w:r w:rsidR="00916C5B">
        <w:t xml:space="preserve"> One </w:t>
      </w:r>
      <w:r w:rsidR="005F32A2">
        <w:t>application of this is</w:t>
      </w:r>
      <w:r w:rsidR="00916C5B">
        <w:t xml:space="preserve"> to mandate the use of dual (or multiple) redundant links.</w:t>
      </w:r>
    </w:p>
    <w:p w:rsidR="00525C33" w:rsidRDefault="005F32A2" w:rsidP="00C53072">
      <w:pPr>
        <w:pStyle w:val="2Para"/>
        <w:numPr>
          <w:ilvl w:val="2"/>
          <w:numId w:val="17"/>
        </w:numPr>
        <w:tabs>
          <w:tab w:val="clear" w:pos="1440"/>
          <w:tab w:val="left" w:pos="1418"/>
        </w:tabs>
        <w:ind w:left="0" w:firstLine="0"/>
      </w:pPr>
      <w:r>
        <w:t xml:space="preserve">The application of </w:t>
      </w:r>
      <w:r w:rsidR="001B7DBB" w:rsidRPr="007247DA">
        <w:rPr>
          <w:b/>
          <w:bCs/>
        </w:rPr>
        <w:t>2)</w:t>
      </w:r>
      <w:r w:rsidR="001B7DBB">
        <w:t xml:space="preserve"> above refers to the action by a </w:t>
      </w:r>
      <w:r w:rsidR="00916C5B">
        <w:t>national r</w:t>
      </w:r>
      <w:r w:rsidR="001B7DBB">
        <w:t>adio</w:t>
      </w:r>
      <w:r w:rsidR="00916C5B">
        <w:t>r</w:t>
      </w:r>
      <w:r w:rsidR="001B7DBB">
        <w:t xml:space="preserve">egulatory </w:t>
      </w:r>
      <w:r w:rsidR="00916C5B">
        <w:t>a</w:t>
      </w:r>
      <w:r w:rsidR="001B7DBB">
        <w:t xml:space="preserve">uthority in case of interference, not the </w:t>
      </w:r>
      <w:r w:rsidR="004602BE">
        <w:t xml:space="preserve">potential action </w:t>
      </w:r>
      <w:r w:rsidR="001B7DBB">
        <w:t xml:space="preserve">by the provider of the link. Hence such action, even if swift, is measured in hours or days – not in seconds. While </w:t>
      </w:r>
      <w:r w:rsidR="001B7DBB" w:rsidRPr="007247DA">
        <w:rPr>
          <w:b/>
          <w:bCs/>
        </w:rPr>
        <w:t>2)</w:t>
      </w:r>
      <w:r w:rsidR="001B7DBB">
        <w:t xml:space="preserve"> is </w:t>
      </w:r>
      <w:r w:rsidR="00525C33">
        <w:t>very important</w:t>
      </w:r>
      <w:r w:rsidR="001B7DBB">
        <w:t xml:space="preserve"> </w:t>
      </w:r>
      <w:r w:rsidR="00525C33">
        <w:t xml:space="preserve">to ensure swift resolution of </w:t>
      </w:r>
      <w:r w:rsidR="00C90A05">
        <w:t xml:space="preserve">any </w:t>
      </w:r>
      <w:r w:rsidR="001B7DBB">
        <w:t xml:space="preserve">interference to </w:t>
      </w:r>
      <w:r w:rsidR="00525C33">
        <w:t xml:space="preserve">assignments </w:t>
      </w:r>
      <w:r w:rsidR="00C90A05">
        <w:t>used by</w:t>
      </w:r>
      <w:r w:rsidR="00525C33">
        <w:t xml:space="preserve"> </w:t>
      </w:r>
      <w:r w:rsidR="00C90A05">
        <w:t xml:space="preserve">aeronautical </w:t>
      </w:r>
      <w:r w:rsidR="00525C33">
        <w:t xml:space="preserve">communications, navigation and surveillance systems, </w:t>
      </w:r>
      <w:r w:rsidR="002E17B5">
        <w:t xml:space="preserve">it is clear that </w:t>
      </w:r>
      <w:r w:rsidR="001B7DBB">
        <w:t xml:space="preserve">critical aeronautical </w:t>
      </w:r>
      <w:r w:rsidR="009A1CFB">
        <w:t xml:space="preserve">applications operating in a satellite environment, </w:t>
      </w:r>
      <w:r w:rsidR="00916C5B">
        <w:t xml:space="preserve">such as </w:t>
      </w:r>
      <w:r w:rsidR="009A1CFB">
        <w:t>the</w:t>
      </w:r>
      <w:r w:rsidR="00916C5B">
        <w:t xml:space="preserve"> UAS CNPC link</w:t>
      </w:r>
      <w:r w:rsidR="009A1CFB">
        <w:t>,</w:t>
      </w:r>
      <w:r w:rsidR="00916C5B">
        <w:t xml:space="preserve"> will </w:t>
      </w:r>
      <w:r w:rsidR="001B7DBB">
        <w:t xml:space="preserve">have to rely on </w:t>
      </w:r>
      <w:r w:rsidR="00C90A05">
        <w:t xml:space="preserve">dual or multiple </w:t>
      </w:r>
      <w:r w:rsidR="001B7DBB">
        <w:t>redundant frequency assignments.</w:t>
      </w:r>
    </w:p>
    <w:p w:rsidR="009B2EC4" w:rsidRDefault="004602BE" w:rsidP="00845997">
      <w:pPr>
        <w:pStyle w:val="2Para"/>
        <w:numPr>
          <w:ilvl w:val="2"/>
          <w:numId w:val="17"/>
        </w:numPr>
        <w:ind w:left="0" w:firstLine="0"/>
      </w:pPr>
      <w:r>
        <w:t xml:space="preserve">One additional issue that a clear and unambiguous allocation to a </w:t>
      </w:r>
      <w:r>
        <w:rPr>
          <w:i/>
          <w:iCs/>
        </w:rPr>
        <w:t>safety service</w:t>
      </w:r>
      <w:r>
        <w:t xml:space="preserve"> ensures is the one of moral responsibility by the </w:t>
      </w:r>
      <w:r w:rsidR="002E17B5">
        <w:t>N</w:t>
      </w:r>
      <w:r w:rsidR="00916C5B">
        <w:t xml:space="preserve">ational </w:t>
      </w:r>
      <w:r w:rsidR="00615947">
        <w:t>A</w:t>
      </w:r>
      <w:r w:rsidR="009A1CFB">
        <w:t>dministration</w:t>
      </w:r>
      <w:r>
        <w:t xml:space="preserve"> and the frequency user to not cause harm to </w:t>
      </w:r>
      <w:r w:rsidR="00615947">
        <w:t xml:space="preserve">human </w:t>
      </w:r>
      <w:r>
        <w:t xml:space="preserve">life or property by </w:t>
      </w:r>
      <w:r w:rsidR="00E326D9">
        <w:t xml:space="preserve">a </w:t>
      </w:r>
      <w:r>
        <w:t xml:space="preserve">wilful or grossly negligent act. While this aspect is not </w:t>
      </w:r>
      <w:r w:rsidR="00E326D9">
        <w:t xml:space="preserve">directly </w:t>
      </w:r>
      <w:r>
        <w:t xml:space="preserve">addressed </w:t>
      </w:r>
      <w:r w:rsidR="00E326D9">
        <w:t xml:space="preserve">through </w:t>
      </w:r>
      <w:r w:rsidR="00117615">
        <w:t xml:space="preserve">assignment of frequencies through </w:t>
      </w:r>
      <w:r w:rsidR="00E326D9">
        <w:t xml:space="preserve">the technical application of the provisions contained </w:t>
      </w:r>
      <w:r>
        <w:t>in the Radio Regulations, it is nevertheless a</w:t>
      </w:r>
      <w:r w:rsidR="009B2EC4">
        <w:t xml:space="preserve"> very important factor.</w:t>
      </w:r>
    </w:p>
    <w:p w:rsidR="009B2EC4" w:rsidRDefault="009B2EC4" w:rsidP="00C53072">
      <w:pPr>
        <w:pStyle w:val="2Heading"/>
        <w:numPr>
          <w:ilvl w:val="1"/>
          <w:numId w:val="17"/>
        </w:numPr>
      </w:pPr>
      <w:r>
        <w:t xml:space="preserve">Solution </w:t>
      </w:r>
      <w:r w:rsidR="00B90CB9">
        <w:t>agreed</w:t>
      </w:r>
      <w:r>
        <w:t xml:space="preserve"> by WRC-15</w:t>
      </w:r>
    </w:p>
    <w:p w:rsidR="00886AF2" w:rsidRDefault="00B90CB9" w:rsidP="00C53072">
      <w:pPr>
        <w:pStyle w:val="2Para"/>
        <w:numPr>
          <w:ilvl w:val="2"/>
          <w:numId w:val="17"/>
        </w:numPr>
        <w:ind w:left="0" w:firstLine="0"/>
      </w:pPr>
      <w:r>
        <w:t>The conference agreed to an allocation by footnote to a number of FSS frequency bands</w:t>
      </w:r>
      <w:r w:rsidR="00566C65">
        <w:t xml:space="preserve"> </w:t>
      </w:r>
      <w:r w:rsidR="00394979">
        <w:t xml:space="preserve">identifying </w:t>
      </w:r>
      <w:r w:rsidR="009A1CFB">
        <w:t xml:space="preserve">over </w:t>
      </w:r>
      <w:r w:rsidR="00566C65">
        <w:t>2.</w:t>
      </w:r>
      <w:r w:rsidR="009A1CFB">
        <w:t>2</w:t>
      </w:r>
      <w:r w:rsidR="00566C65">
        <w:t xml:space="preserve"> GHz</w:t>
      </w:r>
      <w:r w:rsidR="00394979">
        <w:t xml:space="preserve"> in the Ku and </w:t>
      </w:r>
      <w:proofErr w:type="spellStart"/>
      <w:r w:rsidR="00394979">
        <w:t>Ka</w:t>
      </w:r>
      <w:proofErr w:type="spellEnd"/>
      <w:r w:rsidR="00394979">
        <w:t xml:space="preserve"> bands against </w:t>
      </w:r>
      <w:r w:rsidR="00886AF2">
        <w:t>an associated Resolution</w:t>
      </w:r>
      <w:r w:rsidR="00477E7F">
        <w:t xml:space="preserve"> </w:t>
      </w:r>
      <w:r w:rsidR="00566C65">
        <w:t>(</w:t>
      </w:r>
      <w:r w:rsidR="00566C65" w:rsidRPr="007247DA">
        <w:rPr>
          <w:b/>
          <w:bCs/>
        </w:rPr>
        <w:t>C</w:t>
      </w:r>
      <w:r w:rsidR="00BD33BF">
        <w:rPr>
          <w:b/>
          <w:bCs/>
        </w:rPr>
        <w:t>OM</w:t>
      </w:r>
      <w:r w:rsidR="00566C65" w:rsidRPr="007247DA">
        <w:rPr>
          <w:b/>
          <w:bCs/>
        </w:rPr>
        <w:t>4/5</w:t>
      </w:r>
      <w:r w:rsidR="00477E7F">
        <w:t>)</w:t>
      </w:r>
      <w:r>
        <w:t xml:space="preserve">. </w:t>
      </w:r>
      <w:r w:rsidR="00CB2082">
        <w:t>Th</w:t>
      </w:r>
      <w:r w:rsidR="009A1CFB">
        <w:t>ese</w:t>
      </w:r>
      <w:r w:rsidR="00CB2082">
        <w:t xml:space="preserve"> allocation</w:t>
      </w:r>
      <w:r w:rsidR="009A1CFB">
        <w:t>s</w:t>
      </w:r>
      <w:r w:rsidR="00CB2082">
        <w:t xml:space="preserve"> can be used for the </w:t>
      </w:r>
      <w:r w:rsidR="00117615">
        <w:t>UAS CNPC</w:t>
      </w:r>
      <w:r w:rsidR="00CB2082">
        <w:t xml:space="preserve"> link in non-segregated airspaces and any other airspaces under the control of civil aviation authorities, in accordance with ICAO SARPs. </w:t>
      </w:r>
      <w:r w:rsidR="00C53072">
        <w:t>T</w:t>
      </w:r>
      <w:r w:rsidR="00CB2082">
        <w:t xml:space="preserve">he </w:t>
      </w:r>
      <w:r w:rsidR="00CB4214">
        <w:t>allocation</w:t>
      </w:r>
      <w:r w:rsidR="009A1CFB">
        <w:t>s</w:t>
      </w:r>
      <w:r w:rsidR="00CB4214">
        <w:t xml:space="preserve"> </w:t>
      </w:r>
      <w:r w:rsidR="009A1CFB">
        <w:t>are</w:t>
      </w:r>
      <w:r w:rsidR="00CB4214">
        <w:t xml:space="preserve"> contingent on the </w:t>
      </w:r>
      <w:r w:rsidR="00EC23AD">
        <w:t xml:space="preserve">successful </w:t>
      </w:r>
      <w:r w:rsidR="00CB4214">
        <w:t>development of ICAO SARPs</w:t>
      </w:r>
      <w:r w:rsidR="00EC23AD">
        <w:t xml:space="preserve"> under the conditions specified in the Resolution</w:t>
      </w:r>
      <w:r w:rsidR="00CB4214">
        <w:t>.</w:t>
      </w:r>
    </w:p>
    <w:p w:rsidR="00886AF2" w:rsidRDefault="00886AF2" w:rsidP="00E4230E">
      <w:pPr>
        <w:pStyle w:val="2Para"/>
        <w:numPr>
          <w:ilvl w:val="2"/>
          <w:numId w:val="17"/>
        </w:numPr>
        <w:ind w:left="0" w:firstLine="0"/>
      </w:pPr>
      <w:r>
        <w:t>R</w:t>
      </w:r>
      <w:r w:rsidR="00B90CB9">
        <w:t>esolution</w:t>
      </w:r>
      <w:r w:rsidR="00566C65">
        <w:t xml:space="preserve"> (</w:t>
      </w:r>
      <w:r w:rsidR="00566C65" w:rsidRPr="00093749">
        <w:rPr>
          <w:b/>
          <w:bCs/>
        </w:rPr>
        <w:t>C</w:t>
      </w:r>
      <w:r w:rsidR="00BD33BF">
        <w:rPr>
          <w:b/>
          <w:bCs/>
        </w:rPr>
        <w:t>OM</w:t>
      </w:r>
      <w:r w:rsidR="00566C65" w:rsidRPr="00093749">
        <w:rPr>
          <w:b/>
          <w:bCs/>
        </w:rPr>
        <w:t>4/5</w:t>
      </w:r>
      <w:r w:rsidR="00566C65">
        <w:t>)</w:t>
      </w:r>
      <w:r w:rsidR="00B90CB9">
        <w:t xml:space="preserve"> presents a carefully formulated </w:t>
      </w:r>
      <w:r w:rsidR="00E326D9">
        <w:t xml:space="preserve">and </w:t>
      </w:r>
      <w:r w:rsidR="00B90CB9">
        <w:t>delicate balance to introduce an application with safety of life implications into the FSS</w:t>
      </w:r>
      <w:r>
        <w:t xml:space="preserve">. </w:t>
      </w:r>
      <w:r w:rsidR="00293AB6">
        <w:t xml:space="preserve">Although </w:t>
      </w:r>
      <w:r w:rsidR="005F32A2">
        <w:t xml:space="preserve">not providing a traditional AMS(R)S service, </w:t>
      </w:r>
      <w:r w:rsidR="005C47CA">
        <w:t xml:space="preserve">the Resolution </w:t>
      </w:r>
      <w:r>
        <w:t xml:space="preserve">contains language consistent with </w:t>
      </w:r>
      <w:r w:rsidR="00EC23AD">
        <w:t xml:space="preserve">a </w:t>
      </w:r>
      <w:r w:rsidR="00EC23AD">
        <w:rPr>
          <w:i/>
          <w:iCs/>
        </w:rPr>
        <w:t>safety</w:t>
      </w:r>
      <w:r w:rsidR="00EC23AD" w:rsidRPr="0013369E">
        <w:rPr>
          <w:i/>
          <w:iCs/>
        </w:rPr>
        <w:t xml:space="preserve"> service</w:t>
      </w:r>
      <w:r w:rsidR="00EC23AD">
        <w:t xml:space="preserve"> </w:t>
      </w:r>
      <w:r w:rsidR="00293AB6">
        <w:t>and references No.</w:t>
      </w:r>
      <w:r w:rsidR="00C53072">
        <w:t> </w:t>
      </w:r>
      <w:r>
        <w:rPr>
          <w:b/>
          <w:bCs/>
        </w:rPr>
        <w:t>4.10</w:t>
      </w:r>
      <w:r w:rsidR="00293AB6">
        <w:t xml:space="preserve"> of the Radio Regulations</w:t>
      </w:r>
      <w:r>
        <w:t xml:space="preserve">, while also </w:t>
      </w:r>
      <w:r w:rsidR="00CB2082">
        <w:t>carefully protecting</w:t>
      </w:r>
      <w:r w:rsidR="00CB4214">
        <w:t xml:space="preserve"> the current FSS environment. </w:t>
      </w:r>
      <w:r w:rsidR="00615947">
        <w:t>In addition, t</w:t>
      </w:r>
      <w:r w:rsidR="00B449CF">
        <w:t xml:space="preserve">he Resolution specifies more stringent coordination procedures than those normally required for FSS assignments. </w:t>
      </w:r>
      <w:r w:rsidR="00CB4214">
        <w:t xml:space="preserve">While this </w:t>
      </w:r>
      <w:r w:rsidR="00293AB6">
        <w:t xml:space="preserve">approach ensures the highest level of care in the coordination of relevant </w:t>
      </w:r>
      <w:r w:rsidR="00615947">
        <w:t xml:space="preserve">FSS </w:t>
      </w:r>
      <w:r w:rsidR="00293AB6">
        <w:t>assignme</w:t>
      </w:r>
      <w:r w:rsidR="00615947">
        <w:t xml:space="preserve">nts and </w:t>
      </w:r>
      <w:r w:rsidR="00CB4214">
        <w:t xml:space="preserve">takes care of the moral obligation </w:t>
      </w:r>
      <w:r w:rsidR="00615947">
        <w:t xml:space="preserve">by National Administrations and frequency users to </w:t>
      </w:r>
      <w:r w:rsidR="00117615">
        <w:t xml:space="preserve">safeguard </w:t>
      </w:r>
      <w:r w:rsidR="00615947">
        <w:t xml:space="preserve">human </w:t>
      </w:r>
      <w:r w:rsidR="00CB4214">
        <w:t xml:space="preserve">life </w:t>
      </w:r>
      <w:r w:rsidR="00615947">
        <w:t xml:space="preserve">and property </w:t>
      </w:r>
      <w:r w:rsidR="00D46BDF">
        <w:t xml:space="preserve">in the </w:t>
      </w:r>
      <w:r w:rsidR="00CB4214">
        <w:t xml:space="preserve">use of the </w:t>
      </w:r>
      <w:r w:rsidR="00D46BDF">
        <w:t xml:space="preserve">relevant </w:t>
      </w:r>
      <w:r w:rsidR="00CB4214">
        <w:t>frequencies, th</w:t>
      </w:r>
      <w:r w:rsidR="00117615">
        <w:t>is</w:t>
      </w:r>
      <w:r w:rsidR="00CB4214">
        <w:t xml:space="preserve"> solution places part of the burden of ensuring </w:t>
      </w:r>
      <w:r w:rsidR="00D46BDF">
        <w:t xml:space="preserve">interference free operation, such as real time interference monitoring and predicting interference risks, </w:t>
      </w:r>
      <w:r w:rsidR="00CB4214">
        <w:t xml:space="preserve">on the </w:t>
      </w:r>
      <w:r w:rsidR="00D46BDF">
        <w:t xml:space="preserve">shoulders of the </w:t>
      </w:r>
      <w:r w:rsidR="00CB4214">
        <w:t>aeronautical regulators</w:t>
      </w:r>
      <w:r w:rsidR="00D46BDF">
        <w:t>.</w:t>
      </w:r>
      <w:r w:rsidR="005F32A2">
        <w:t xml:space="preserve"> </w:t>
      </w:r>
      <w:r w:rsidR="005C6341">
        <w:t>To address inconsistencies with Article</w:t>
      </w:r>
      <w:r w:rsidR="00E4230E">
        <w:t> </w:t>
      </w:r>
      <w:r w:rsidR="005C6341">
        <w:t xml:space="preserve">1 definitions, a new class of station will be defined. </w:t>
      </w:r>
    </w:p>
    <w:p w:rsidR="00EC23AD" w:rsidRDefault="00D46BDF" w:rsidP="00E4230E">
      <w:pPr>
        <w:pStyle w:val="2Para"/>
        <w:numPr>
          <w:ilvl w:val="2"/>
          <w:numId w:val="17"/>
        </w:numPr>
        <w:ind w:left="0" w:firstLine="0"/>
      </w:pPr>
      <w:r>
        <w:t xml:space="preserve">Further, the Resolution requires ICAO to report on its progress in the development of SARPs for the </w:t>
      </w:r>
      <w:r w:rsidR="005C6341">
        <w:t>UAS CNPC</w:t>
      </w:r>
      <w:r>
        <w:t xml:space="preserve"> link to WRC-19 and WRC-23</w:t>
      </w:r>
      <w:r w:rsidR="00117615">
        <w:t>. This reporting should</w:t>
      </w:r>
      <w:r w:rsidR="00EC23AD">
        <w:t xml:space="preserve"> include identification</w:t>
      </w:r>
      <w:r>
        <w:t xml:space="preserve"> </w:t>
      </w:r>
      <w:r w:rsidR="00EC23AD">
        <w:t xml:space="preserve">of any problems in the application of the Resolution and potential means </w:t>
      </w:r>
      <w:r w:rsidR="00451DD6">
        <w:t xml:space="preserve">by the WRC </w:t>
      </w:r>
      <w:r w:rsidR="00EC23AD">
        <w:t>to address those. The Resolution comes fully into force by WRC-23.</w:t>
      </w:r>
    </w:p>
    <w:p w:rsidR="00EC23AD" w:rsidRPr="00E31BCE" w:rsidRDefault="00E326D9" w:rsidP="00E4230E">
      <w:pPr>
        <w:pStyle w:val="2Para"/>
        <w:numPr>
          <w:ilvl w:val="2"/>
          <w:numId w:val="17"/>
        </w:numPr>
        <w:ind w:left="0" w:firstLine="0"/>
      </w:pPr>
      <w:r>
        <w:t xml:space="preserve">The </w:t>
      </w:r>
      <w:r w:rsidR="00451DD6">
        <w:t xml:space="preserve">delicate compromise achieved by the </w:t>
      </w:r>
      <w:r w:rsidR="00E4230E">
        <w:t>c</w:t>
      </w:r>
      <w:r w:rsidR="00451DD6">
        <w:t xml:space="preserve">onference is </w:t>
      </w:r>
      <w:r>
        <w:t xml:space="preserve">in line with the </w:t>
      </w:r>
      <w:r w:rsidR="00477EF4">
        <w:t xml:space="preserve">three conditions of the </w:t>
      </w:r>
      <w:r>
        <w:t xml:space="preserve">ICAO </w:t>
      </w:r>
      <w:r w:rsidR="00477EF4">
        <w:t>P</w:t>
      </w:r>
      <w:r>
        <w:t>osition</w:t>
      </w:r>
      <w:r w:rsidR="00615947">
        <w:t xml:space="preserve"> as well as the four additional conditions provided in the background to the ICAO Position</w:t>
      </w:r>
      <w:r>
        <w:t xml:space="preserve">. </w:t>
      </w:r>
      <w:r w:rsidR="00451DD6">
        <w:t xml:space="preserve">It provides the Remotely Piloted Aircraft Systems Panel (RPASP) with a set of conditions to develop </w:t>
      </w:r>
      <w:r w:rsidR="00CC0867">
        <w:t>SARPs against</w:t>
      </w:r>
      <w:r w:rsidR="00E4230E">
        <w:t xml:space="preserve"> </w:t>
      </w:r>
      <w:r w:rsidR="00451DD6">
        <w:t xml:space="preserve">– or to identify showstoppers, if any. </w:t>
      </w:r>
      <w:r w:rsidR="00E31BCE">
        <w:t xml:space="preserve">The </w:t>
      </w:r>
      <w:r w:rsidR="00CC0867">
        <w:t xml:space="preserve">implicit </w:t>
      </w:r>
      <w:r w:rsidR="00E31BCE">
        <w:t xml:space="preserve">obligation of </w:t>
      </w:r>
      <w:r w:rsidR="00D32430">
        <w:t xml:space="preserve">the </w:t>
      </w:r>
      <w:r w:rsidR="00E31BCE">
        <w:t>ICAO work programme</w:t>
      </w:r>
      <w:r w:rsidR="0002333C">
        <w:t xml:space="preserve"> </w:t>
      </w:r>
      <w:r w:rsidR="00E31BCE">
        <w:t xml:space="preserve">to </w:t>
      </w:r>
      <w:r w:rsidR="0002333C">
        <w:t xml:space="preserve">fully support the required </w:t>
      </w:r>
      <w:r w:rsidR="00E31BCE">
        <w:t xml:space="preserve">ITU studies, to enable WRC-19 and WRC-23 to fine tune the Resolution before it enters into full force in 2023, should be noted. It is expected that this work will take </w:t>
      </w:r>
      <w:r w:rsidR="00E31BCE">
        <w:lastRenderedPageBreak/>
        <w:t>place within</w:t>
      </w:r>
      <w:r w:rsidR="0002333C">
        <w:t xml:space="preserve"> the Frequency Spectrum Management Panel (FSMP), the Remotely Piloted Ai</w:t>
      </w:r>
      <w:r w:rsidR="00E31BCE">
        <w:t xml:space="preserve">rcraft Systems Panel (RPASP) </w:t>
      </w:r>
      <w:r w:rsidR="00CC0867">
        <w:t>and</w:t>
      </w:r>
      <w:r w:rsidR="0002333C">
        <w:t xml:space="preserve"> other supporting </w:t>
      </w:r>
      <w:r w:rsidR="00E4230E">
        <w:t>p</w:t>
      </w:r>
      <w:r w:rsidR="0002333C">
        <w:t>anels of</w:t>
      </w:r>
      <w:r w:rsidR="00E31BCE">
        <w:t xml:space="preserve"> the Air Navigation Commission.</w:t>
      </w:r>
    </w:p>
    <w:p w:rsidR="00CD32F5" w:rsidRPr="00CD32F5" w:rsidRDefault="00CD32F5" w:rsidP="00E4230E">
      <w:pPr>
        <w:pStyle w:val="2Para"/>
        <w:numPr>
          <w:ilvl w:val="0"/>
          <w:numId w:val="17"/>
        </w:numPr>
        <w:tabs>
          <w:tab w:val="clear" w:pos="1440"/>
        </w:tabs>
        <w:spacing w:after="0"/>
        <w:ind w:left="709" w:hanging="709"/>
        <w:rPr>
          <w:rFonts w:eastAsia="SimSun"/>
          <w:b/>
          <w:lang w:val="en-CA" w:eastAsia="zh-CN"/>
        </w:rPr>
      </w:pPr>
      <w:r w:rsidRPr="00CD32F5">
        <w:rPr>
          <w:b/>
        </w:rPr>
        <w:t xml:space="preserve">Agenda </w:t>
      </w:r>
      <w:r w:rsidR="00A616D6" w:rsidRPr="00CD32F5">
        <w:rPr>
          <w:b/>
        </w:rPr>
        <w:t>Item 1</w:t>
      </w:r>
      <w:r w:rsidRPr="00CD32F5">
        <w:rPr>
          <w:b/>
        </w:rPr>
        <w:t>.6</w:t>
      </w:r>
      <w:r w:rsidR="00A616D6" w:rsidRPr="00CD32F5">
        <w:rPr>
          <w:b/>
        </w:rPr>
        <w:t>:</w:t>
      </w:r>
      <w:r w:rsidR="00BD44F9" w:rsidRPr="00CD32F5">
        <w:rPr>
          <w:b/>
        </w:rPr>
        <w:t>  </w:t>
      </w:r>
      <w:r w:rsidRPr="00CD32F5">
        <w:rPr>
          <w:rFonts w:eastAsia="SimSun"/>
          <w:b/>
          <w:lang w:val="en-CA" w:eastAsia="zh-CN"/>
        </w:rPr>
        <w:t>To consider possible additional primary allocations:</w:t>
      </w:r>
    </w:p>
    <w:p w:rsidR="00CD32F5" w:rsidRPr="009A42B2" w:rsidRDefault="00CD32F5" w:rsidP="00E4230E">
      <w:pPr>
        <w:numPr>
          <w:ilvl w:val="0"/>
          <w:numId w:val="22"/>
        </w:numPr>
        <w:tabs>
          <w:tab w:val="left" w:pos="1134"/>
          <w:tab w:val="left" w:pos="1871"/>
          <w:tab w:val="left" w:pos="2268"/>
        </w:tabs>
        <w:overflowPunct w:val="0"/>
        <w:spacing w:before="120"/>
        <w:ind w:left="1134" w:hanging="425"/>
        <w:contextualSpacing/>
        <w:textAlignment w:val="baseline"/>
        <w:rPr>
          <w:rFonts w:eastAsia="SimSun"/>
          <w:b/>
          <w:lang w:val="en-CA" w:eastAsia="zh-CN"/>
        </w:rPr>
      </w:pPr>
      <w:r w:rsidRPr="009A42B2">
        <w:rPr>
          <w:rFonts w:eastAsia="SimSun"/>
          <w:b/>
          <w:lang w:val="en-CA" w:eastAsia="zh-CN"/>
        </w:rPr>
        <w:t>to the fixed-satellite service (Earth-to-space and space-to-Earth) of 250 MHz in the range between 10 GHz and 17 GHz in Region 1;</w:t>
      </w:r>
    </w:p>
    <w:p w:rsidR="00CD32F5" w:rsidRPr="009A42B2" w:rsidRDefault="00CD32F5" w:rsidP="00E4230E">
      <w:pPr>
        <w:numPr>
          <w:ilvl w:val="0"/>
          <w:numId w:val="22"/>
        </w:numPr>
        <w:tabs>
          <w:tab w:val="left" w:pos="1134"/>
          <w:tab w:val="left" w:pos="1871"/>
          <w:tab w:val="left" w:pos="2268"/>
        </w:tabs>
        <w:overflowPunct w:val="0"/>
        <w:spacing w:before="120"/>
        <w:ind w:left="1134" w:hanging="425"/>
        <w:contextualSpacing/>
        <w:textAlignment w:val="baseline"/>
        <w:rPr>
          <w:rFonts w:eastAsia="SimSun"/>
          <w:b/>
          <w:lang w:val="en-CA" w:eastAsia="zh-CN"/>
        </w:rPr>
      </w:pPr>
      <w:r w:rsidRPr="009A42B2">
        <w:rPr>
          <w:rFonts w:eastAsia="SimSun"/>
          <w:b/>
          <w:lang w:val="en-CA" w:eastAsia="zh-CN"/>
        </w:rPr>
        <w:t>to the fixed-satellite service (Earth-to-space) of 250 MHz in Region 2 and 300 MHz in Region 3 within the range 13</w:t>
      </w:r>
      <w:r w:rsidRPr="009A42B2">
        <w:rPr>
          <w:bCs/>
          <w:lang w:val="en-CA"/>
        </w:rPr>
        <w:t xml:space="preserve"> – </w:t>
      </w:r>
      <w:r w:rsidRPr="009A42B2">
        <w:rPr>
          <w:rFonts w:eastAsia="SimSun"/>
          <w:b/>
          <w:lang w:val="en-CA" w:eastAsia="zh-CN"/>
        </w:rPr>
        <w:t>17 GHz;</w:t>
      </w:r>
    </w:p>
    <w:p w:rsidR="00207F7B" w:rsidRPr="00EA494C" w:rsidRDefault="00CD32F5" w:rsidP="00E4230E">
      <w:pPr>
        <w:keepNext/>
        <w:keepLines/>
        <w:spacing w:after="260"/>
        <w:ind w:left="709"/>
        <w:rPr>
          <w:b/>
          <w:szCs w:val="22"/>
        </w:rPr>
      </w:pPr>
      <w:r w:rsidRPr="00CD32F5">
        <w:rPr>
          <w:rFonts w:eastAsia="SimSun"/>
          <w:b/>
          <w:szCs w:val="22"/>
          <w:lang w:val="en-CA" w:eastAsia="zh-CN"/>
        </w:rPr>
        <w:t>and review the regulatory provisions on the current allocations to the fixed-satellite service within each range, taking into account the results of ITU</w:t>
      </w:r>
      <w:r w:rsidRPr="00CD32F5">
        <w:rPr>
          <w:rFonts w:eastAsia="SimSun"/>
          <w:b/>
          <w:szCs w:val="22"/>
          <w:lang w:val="en-CA" w:eastAsia="zh-CN"/>
        </w:rPr>
        <w:noBreakHyphen/>
        <w:t xml:space="preserve">R studies, in accordance with Resolutions 151 </w:t>
      </w:r>
      <w:r w:rsidRPr="00CD32F5">
        <w:rPr>
          <w:rFonts w:eastAsia="SimSun"/>
          <w:b/>
          <w:bCs/>
          <w:szCs w:val="22"/>
          <w:lang w:val="en-CA" w:eastAsia="zh-CN"/>
        </w:rPr>
        <w:t>(WRC-12)</w:t>
      </w:r>
      <w:r w:rsidRPr="00CD32F5">
        <w:rPr>
          <w:rFonts w:eastAsia="SimSun"/>
          <w:b/>
          <w:szCs w:val="22"/>
          <w:lang w:val="en-CA" w:eastAsia="zh-CN"/>
        </w:rPr>
        <w:t xml:space="preserve"> and 152</w:t>
      </w:r>
      <w:r w:rsidRPr="00CD32F5">
        <w:rPr>
          <w:rFonts w:eastAsia="SimSun"/>
          <w:b/>
          <w:bCs/>
          <w:szCs w:val="22"/>
          <w:lang w:val="en-CA" w:eastAsia="zh-CN"/>
        </w:rPr>
        <w:t xml:space="preserve"> (WRC-12)</w:t>
      </w:r>
      <w:r w:rsidRPr="00CD32F5">
        <w:rPr>
          <w:rFonts w:eastAsia="SimSun"/>
          <w:b/>
          <w:szCs w:val="22"/>
          <w:lang w:val="en-CA" w:eastAsia="zh-CN"/>
        </w:rPr>
        <w:t>, respectively</w:t>
      </w:r>
      <w:r w:rsidR="00A616D6" w:rsidRPr="00CD32F5">
        <w:rPr>
          <w:b/>
          <w:bCs/>
          <w:szCs w:val="22"/>
        </w:rPr>
        <w:t>.</w:t>
      </w:r>
    </w:p>
    <w:p w:rsidR="00581815" w:rsidRDefault="00581815" w:rsidP="00845997">
      <w:pPr>
        <w:pStyle w:val="2Para"/>
        <w:numPr>
          <w:ilvl w:val="1"/>
          <w:numId w:val="17"/>
        </w:numPr>
        <w:ind w:left="0" w:firstLine="0"/>
      </w:pPr>
      <w:r>
        <w:t>T</w:t>
      </w:r>
      <w:r w:rsidR="00EA494C">
        <w:t>he ICAO Position on this agenda item was to oppose any new FSS allocation within the frequency bands 13.25</w:t>
      </w:r>
      <w:r w:rsidR="002B5760">
        <w:t> – </w:t>
      </w:r>
      <w:r w:rsidR="00EA494C">
        <w:t>13.4 and 15.4</w:t>
      </w:r>
      <w:r w:rsidR="002B5760">
        <w:t> – </w:t>
      </w:r>
      <w:r w:rsidR="00EA494C">
        <w:t>15.7</w:t>
      </w:r>
      <w:r w:rsidR="002B5760">
        <w:t> </w:t>
      </w:r>
      <w:r w:rsidR="00EA494C">
        <w:t xml:space="preserve">GHz, which contain allocations for </w:t>
      </w:r>
      <w:r w:rsidR="00B50FFA">
        <w:t xml:space="preserve">the </w:t>
      </w:r>
      <w:r w:rsidR="00EA494C">
        <w:t>aeronautical radionavigation service. In support of this agenda item, the conference agreed on allocations outside of those highlighted to be of concern in the ICAO Position</w:t>
      </w:r>
      <w:r>
        <w:t>.</w:t>
      </w:r>
    </w:p>
    <w:p w:rsidR="00BD27F1" w:rsidRPr="00207F7B" w:rsidRDefault="00BF0014" w:rsidP="00F46EA9">
      <w:pPr>
        <w:pStyle w:val="ListParagraph"/>
        <w:numPr>
          <w:ilvl w:val="0"/>
          <w:numId w:val="17"/>
        </w:numPr>
        <w:ind w:left="709" w:hanging="709"/>
        <w:rPr>
          <w:b/>
          <w:szCs w:val="22"/>
        </w:rPr>
      </w:pPr>
      <w:r w:rsidRPr="00CA16BF">
        <w:rPr>
          <w:b/>
        </w:rPr>
        <w:t>Agenda Item 1.</w:t>
      </w:r>
      <w:r w:rsidR="00262BE4">
        <w:rPr>
          <w:b/>
        </w:rPr>
        <w:t>7</w:t>
      </w:r>
      <w:r w:rsidRPr="00CA16BF">
        <w:rPr>
          <w:b/>
        </w:rPr>
        <w:t>:</w:t>
      </w:r>
      <w:r>
        <w:t xml:space="preserve"> </w:t>
      </w:r>
      <w:r w:rsidRPr="00464BEC">
        <w:t xml:space="preserve"> </w:t>
      </w:r>
      <w:r w:rsidR="00262BE4" w:rsidRPr="009A42B2">
        <w:rPr>
          <w:b/>
          <w:szCs w:val="22"/>
          <w:lang w:val="en-CA"/>
        </w:rPr>
        <w:t>To review the use of the band 5 091</w:t>
      </w:r>
      <w:r w:rsidR="00262BE4" w:rsidRPr="009A42B2">
        <w:rPr>
          <w:bCs/>
          <w:szCs w:val="22"/>
          <w:lang w:val="en-CA"/>
        </w:rPr>
        <w:t xml:space="preserve"> – </w:t>
      </w:r>
      <w:r w:rsidR="00262BE4" w:rsidRPr="009A42B2">
        <w:rPr>
          <w:b/>
          <w:szCs w:val="22"/>
          <w:lang w:val="en-CA"/>
        </w:rPr>
        <w:t>5 150 MHz by the fixed-satellite service (Earth-to-space) (limited to feeder links of the non-geostationary mobile-satellite systems in the mobile-satellite service) in accordance with Resolution 114 (Rev.WRC</w:t>
      </w:r>
      <w:r w:rsidR="00262BE4">
        <w:rPr>
          <w:b/>
          <w:szCs w:val="22"/>
          <w:lang w:val="en-CA"/>
        </w:rPr>
        <w:t>-</w:t>
      </w:r>
      <w:r w:rsidR="00262BE4" w:rsidRPr="009A42B2">
        <w:rPr>
          <w:b/>
          <w:szCs w:val="22"/>
          <w:lang w:val="en-CA"/>
        </w:rPr>
        <w:t>12)</w:t>
      </w:r>
      <w:r w:rsidRPr="00751103">
        <w:rPr>
          <w:b/>
          <w:bCs/>
          <w:szCs w:val="22"/>
        </w:rPr>
        <w:t>.</w:t>
      </w:r>
    </w:p>
    <w:p w:rsidR="002B5760" w:rsidRDefault="002B5760" w:rsidP="00F46EA9">
      <w:pPr>
        <w:pStyle w:val="2Para"/>
        <w:numPr>
          <w:ilvl w:val="1"/>
          <w:numId w:val="17"/>
        </w:numPr>
        <w:ind w:left="0" w:firstLine="0"/>
      </w:pPr>
      <w:r>
        <w:t>Under t</w:t>
      </w:r>
      <w:r w:rsidR="00BF0014">
        <w:t xml:space="preserve">his agenda item </w:t>
      </w:r>
      <w:r>
        <w:t xml:space="preserve">the conference </w:t>
      </w:r>
      <w:r w:rsidR="00207F7B">
        <w:t>consider</w:t>
      </w:r>
      <w:r>
        <w:t>ed</w:t>
      </w:r>
      <w:r w:rsidR="00207F7B">
        <w:t xml:space="preserve"> the removal of a date limit to an allocation of the FSS within the frequency band 5</w:t>
      </w:r>
      <w:r>
        <w:t> </w:t>
      </w:r>
      <w:r w:rsidR="00207F7B">
        <w:t>091</w:t>
      </w:r>
      <w:r>
        <w:t> – </w:t>
      </w:r>
      <w:r w:rsidR="00207F7B">
        <w:t>5</w:t>
      </w:r>
      <w:r>
        <w:t> </w:t>
      </w:r>
      <w:r w:rsidR="00207F7B">
        <w:t>150</w:t>
      </w:r>
      <w:r>
        <w:t> </w:t>
      </w:r>
      <w:r w:rsidR="00207F7B">
        <w:t>MHz, shared with the aeronautical radionavigation service (microwave landing systems) and the aeronautical mobile (route) service (</w:t>
      </w:r>
      <w:proofErr w:type="spellStart"/>
      <w:r w:rsidR="00207F7B">
        <w:t>AeroMACS</w:t>
      </w:r>
      <w:proofErr w:type="spellEnd"/>
      <w:r w:rsidR="00EA494C">
        <w:t>, a WiMAX system for aeronautical safety communications at the airport surface</w:t>
      </w:r>
      <w:r w:rsidR="00207F7B">
        <w:t>).</w:t>
      </w:r>
      <w:r w:rsidR="00581815">
        <w:t xml:space="preserve">  </w:t>
      </w:r>
    </w:p>
    <w:p w:rsidR="00581815" w:rsidRDefault="00581815" w:rsidP="00F46EA9">
      <w:pPr>
        <w:pStyle w:val="2Para"/>
        <w:numPr>
          <w:ilvl w:val="1"/>
          <w:numId w:val="17"/>
        </w:numPr>
        <w:ind w:left="0" w:firstLine="0"/>
      </w:pPr>
      <w:r>
        <w:t>The ICAO position was to support the removal of the date limit, while also asking for i</w:t>
      </w:r>
      <w:r w:rsidR="00EA494C">
        <w:t>mproved</w:t>
      </w:r>
      <w:r>
        <w:t xml:space="preserve"> flexibility in the access to the frequency band by the aeronautical services (improvement in the flexibility </w:t>
      </w:r>
      <w:r w:rsidR="00EA494C">
        <w:t>to manage</w:t>
      </w:r>
      <w:r>
        <w:t xml:space="preserve"> the allowed FSS satellite noise temperature increase by the aeronautical radionavigation and the aeronautical mobile (route) services operating in this frequency band</w:t>
      </w:r>
      <w:r w:rsidR="00EA494C">
        <w:t>)</w:t>
      </w:r>
      <w:r>
        <w:t>. The outcome of the conference is fully in line with the ICAO position.</w:t>
      </w:r>
    </w:p>
    <w:p w:rsidR="004E787B" w:rsidRPr="00BF0014" w:rsidRDefault="004E787B" w:rsidP="00845997">
      <w:pPr>
        <w:pStyle w:val="ListParagraph"/>
        <w:numPr>
          <w:ilvl w:val="0"/>
          <w:numId w:val="17"/>
        </w:numPr>
        <w:ind w:left="709" w:hanging="709"/>
        <w:rPr>
          <w:b/>
          <w:szCs w:val="22"/>
        </w:rPr>
      </w:pPr>
      <w:r w:rsidRPr="00CA16BF">
        <w:rPr>
          <w:b/>
        </w:rPr>
        <w:t>Agenda Item 1.</w:t>
      </w:r>
      <w:r w:rsidR="00262BE4">
        <w:rPr>
          <w:b/>
        </w:rPr>
        <w:t>10</w:t>
      </w:r>
      <w:r w:rsidRPr="00CA16BF">
        <w:rPr>
          <w:b/>
        </w:rPr>
        <w:t>:</w:t>
      </w:r>
      <w:r w:rsidRPr="00464BEC">
        <w:t xml:space="preserve"> </w:t>
      </w:r>
      <w:r w:rsidR="00262BE4" w:rsidRPr="009A42B2">
        <w:rPr>
          <w:b/>
          <w:szCs w:val="22"/>
          <w:lang w:val="en-CA"/>
        </w:rPr>
        <w:t>To consider spectrum requirements and possible additional spectrum allocations for the mobile</w:t>
      </w:r>
      <w:r w:rsidR="00262BE4">
        <w:rPr>
          <w:b/>
          <w:szCs w:val="22"/>
          <w:lang w:val="en-CA"/>
        </w:rPr>
        <w:noBreakHyphen/>
      </w:r>
      <w:r w:rsidR="00262BE4" w:rsidRPr="009A42B2">
        <w:rPr>
          <w:b/>
          <w:szCs w:val="22"/>
          <w:lang w:val="en-CA"/>
        </w:rPr>
        <w:t>satellite service in the Earth-to-space and space-to-Earth directions, including the satellite component for broadband applications, including International Mobile Telecommunications (IMT), within the frequency range from 22 GHz to 26 GHz, in accordance with Resolution 234</w:t>
      </w:r>
      <w:r w:rsidR="00262BE4" w:rsidRPr="009A42B2">
        <w:rPr>
          <w:b/>
          <w:bCs/>
          <w:szCs w:val="22"/>
          <w:lang w:val="en-CA"/>
        </w:rPr>
        <w:t xml:space="preserve"> (WRC</w:t>
      </w:r>
      <w:r w:rsidR="00262BE4">
        <w:rPr>
          <w:b/>
          <w:bCs/>
          <w:szCs w:val="22"/>
          <w:lang w:val="en-CA"/>
        </w:rPr>
        <w:t>-</w:t>
      </w:r>
      <w:r w:rsidR="00262BE4" w:rsidRPr="009A42B2">
        <w:rPr>
          <w:b/>
          <w:bCs/>
          <w:szCs w:val="22"/>
          <w:lang w:val="en-CA"/>
        </w:rPr>
        <w:t>12)</w:t>
      </w:r>
      <w:r w:rsidRPr="00751103">
        <w:rPr>
          <w:b/>
          <w:bCs/>
          <w:szCs w:val="22"/>
        </w:rPr>
        <w:t>.</w:t>
      </w:r>
    </w:p>
    <w:p w:rsidR="00DA146E" w:rsidRDefault="008A0D8C" w:rsidP="00F46EA9">
      <w:pPr>
        <w:pStyle w:val="2Para"/>
        <w:numPr>
          <w:ilvl w:val="1"/>
          <w:numId w:val="17"/>
        </w:numPr>
        <w:ind w:left="0" w:firstLine="0"/>
      </w:pPr>
      <w:r w:rsidRPr="008A0D8C">
        <w:t xml:space="preserve">The </w:t>
      </w:r>
      <w:r w:rsidR="00BD44F9">
        <w:t>ICAO Position</w:t>
      </w:r>
      <w:r w:rsidRPr="008A0D8C">
        <w:t xml:space="preserve"> on this agenda item was to </w:t>
      </w:r>
      <w:r w:rsidR="00EA494C">
        <w:t xml:space="preserve">oppose any new </w:t>
      </w:r>
      <w:r w:rsidR="00B718CD">
        <w:t>mobile-satellite service</w:t>
      </w:r>
      <w:r w:rsidR="00EA494C">
        <w:t xml:space="preserve"> allocation unless it had been demonstrated through agreed studies that there would be no impact on aviation use in the 24.25</w:t>
      </w:r>
      <w:r w:rsidR="00B718CD">
        <w:t> – </w:t>
      </w:r>
      <w:r w:rsidR="00EA494C">
        <w:t>24.65</w:t>
      </w:r>
      <w:r w:rsidR="00B718CD">
        <w:t> </w:t>
      </w:r>
      <w:r w:rsidR="00EA494C">
        <w:t>GHz bands</w:t>
      </w:r>
      <w:r w:rsidR="00DA146E">
        <w:t xml:space="preserve"> in Regions 2 and 3. No new allocation was made by the conference in support of this agenda item.</w:t>
      </w:r>
    </w:p>
    <w:p w:rsidR="000074F8" w:rsidRPr="00BF0014" w:rsidRDefault="000074F8" w:rsidP="00F46EA9">
      <w:pPr>
        <w:pStyle w:val="ListParagraph"/>
        <w:numPr>
          <w:ilvl w:val="0"/>
          <w:numId w:val="17"/>
        </w:numPr>
        <w:ind w:left="709" w:hanging="709"/>
        <w:rPr>
          <w:b/>
          <w:szCs w:val="22"/>
        </w:rPr>
      </w:pPr>
      <w:r w:rsidRPr="00CA16BF">
        <w:rPr>
          <w:b/>
        </w:rPr>
        <w:t>Agenda Item 1.</w:t>
      </w:r>
      <w:r w:rsidR="00262BE4">
        <w:rPr>
          <w:b/>
        </w:rPr>
        <w:t>11</w:t>
      </w:r>
      <w:r w:rsidRPr="00CA16BF">
        <w:rPr>
          <w:b/>
        </w:rPr>
        <w:t>:</w:t>
      </w:r>
      <w:r w:rsidR="00BD44F9">
        <w:rPr>
          <w:b/>
        </w:rPr>
        <w:t>  </w:t>
      </w:r>
      <w:r w:rsidR="00262BE4" w:rsidRPr="009A42B2">
        <w:rPr>
          <w:b/>
          <w:szCs w:val="22"/>
          <w:lang w:val="en-CA"/>
        </w:rPr>
        <w:t>To consider a primary allocation for the Earth exploration-satellite service (Earth-to-space) in the 7</w:t>
      </w:r>
      <w:r w:rsidR="00262BE4">
        <w:rPr>
          <w:b/>
          <w:szCs w:val="22"/>
          <w:lang w:val="en-CA"/>
        </w:rPr>
        <w:t> </w:t>
      </w:r>
      <w:r w:rsidR="00262BE4" w:rsidRPr="009A42B2">
        <w:rPr>
          <w:b/>
          <w:szCs w:val="22"/>
          <w:lang w:val="en-CA"/>
        </w:rPr>
        <w:t>-</w:t>
      </w:r>
      <w:r w:rsidR="00262BE4">
        <w:rPr>
          <w:b/>
          <w:szCs w:val="22"/>
          <w:lang w:val="en-CA"/>
        </w:rPr>
        <w:t xml:space="preserve"> </w:t>
      </w:r>
      <w:r w:rsidR="00262BE4" w:rsidRPr="009A42B2">
        <w:rPr>
          <w:b/>
          <w:szCs w:val="22"/>
          <w:lang w:val="en-CA"/>
        </w:rPr>
        <w:t>8 GHz range, in accordance with</w:t>
      </w:r>
      <w:r w:rsidR="00262BE4" w:rsidRPr="009A42B2">
        <w:rPr>
          <w:b/>
          <w:bCs/>
          <w:szCs w:val="22"/>
          <w:lang w:val="en-CA"/>
        </w:rPr>
        <w:t xml:space="preserve"> </w:t>
      </w:r>
      <w:r w:rsidR="00262BE4" w:rsidRPr="009A42B2">
        <w:rPr>
          <w:b/>
          <w:szCs w:val="22"/>
          <w:lang w:val="en-CA"/>
        </w:rPr>
        <w:t>Resolution 650 (WRC</w:t>
      </w:r>
      <w:r w:rsidR="00262BE4">
        <w:rPr>
          <w:b/>
          <w:szCs w:val="22"/>
          <w:lang w:val="en-CA"/>
        </w:rPr>
        <w:t>-</w:t>
      </w:r>
      <w:r w:rsidR="00262BE4" w:rsidRPr="009A42B2">
        <w:rPr>
          <w:b/>
          <w:szCs w:val="22"/>
          <w:lang w:val="en-CA"/>
        </w:rPr>
        <w:t>12)</w:t>
      </w:r>
      <w:r w:rsidRPr="00751103">
        <w:rPr>
          <w:b/>
          <w:bCs/>
          <w:szCs w:val="22"/>
        </w:rPr>
        <w:t>.</w:t>
      </w:r>
    </w:p>
    <w:p w:rsidR="00DA146E" w:rsidRDefault="00DA146E" w:rsidP="00F46EA9">
      <w:pPr>
        <w:pStyle w:val="2Para"/>
        <w:numPr>
          <w:ilvl w:val="1"/>
          <w:numId w:val="17"/>
        </w:numPr>
        <w:ind w:left="0" w:firstLine="0"/>
      </w:pPr>
      <w:r w:rsidRPr="008A0D8C">
        <w:t xml:space="preserve">The </w:t>
      </w:r>
      <w:r>
        <w:t>ICAO Position</w:t>
      </w:r>
      <w:r w:rsidRPr="008A0D8C">
        <w:t xml:space="preserve"> on this agenda item was to </w:t>
      </w:r>
      <w:r>
        <w:t>oppose any new allocation to the earth exploration service in the frequency band 8</w:t>
      </w:r>
      <w:r w:rsidR="002B5760">
        <w:t> </w:t>
      </w:r>
      <w:r>
        <w:t>750</w:t>
      </w:r>
      <w:r w:rsidR="002B5760">
        <w:t> – </w:t>
      </w:r>
      <w:r>
        <w:t>8</w:t>
      </w:r>
      <w:r w:rsidR="002B5760">
        <w:t> </w:t>
      </w:r>
      <w:r>
        <w:t>850</w:t>
      </w:r>
      <w:r w:rsidR="002B5760">
        <w:t> </w:t>
      </w:r>
      <w:r>
        <w:t xml:space="preserve">MHz, unless agreed studies showed no impact to </w:t>
      </w:r>
      <w:r>
        <w:lastRenderedPageBreak/>
        <w:t>aviation use. The conference allocated 7</w:t>
      </w:r>
      <w:r w:rsidR="002B5760">
        <w:t> </w:t>
      </w:r>
      <w:r>
        <w:t>190</w:t>
      </w:r>
      <w:r w:rsidR="002B5760">
        <w:t> – </w:t>
      </w:r>
      <w:r>
        <w:t>7</w:t>
      </w:r>
      <w:r w:rsidR="002B5760">
        <w:t> </w:t>
      </w:r>
      <w:r>
        <w:t>250</w:t>
      </w:r>
      <w:r w:rsidR="002B5760">
        <w:t> </w:t>
      </w:r>
      <w:r>
        <w:t>MHz under this agenda item, hence no impact on aviation.</w:t>
      </w:r>
    </w:p>
    <w:p w:rsidR="000074F8" w:rsidRPr="00BF0014" w:rsidRDefault="000074F8" w:rsidP="00845997">
      <w:pPr>
        <w:pStyle w:val="ListParagraph"/>
        <w:numPr>
          <w:ilvl w:val="0"/>
          <w:numId w:val="17"/>
        </w:numPr>
        <w:ind w:left="709" w:hanging="709"/>
        <w:rPr>
          <w:b/>
          <w:szCs w:val="22"/>
        </w:rPr>
      </w:pPr>
      <w:r w:rsidRPr="00CA16BF">
        <w:rPr>
          <w:b/>
        </w:rPr>
        <w:t>Agenda Item 1.</w:t>
      </w:r>
      <w:r>
        <w:rPr>
          <w:b/>
        </w:rPr>
        <w:t>12</w:t>
      </w:r>
      <w:r w:rsidRPr="00CA16BF">
        <w:rPr>
          <w:b/>
        </w:rPr>
        <w:t>:</w:t>
      </w:r>
      <w:r w:rsidRPr="00464BEC">
        <w:t xml:space="preserve"> </w:t>
      </w:r>
      <w:r w:rsidR="00262BE4" w:rsidRPr="009A42B2">
        <w:rPr>
          <w:b/>
          <w:szCs w:val="22"/>
          <w:lang w:val="en-CA"/>
        </w:rPr>
        <w:t>To consider an extension of the current worldwide allocation to the Earth exploration-satellite (active) service in the frequency band 9 300</w:t>
      </w:r>
      <w:r w:rsidR="00262BE4" w:rsidRPr="009A42B2">
        <w:rPr>
          <w:bCs/>
          <w:szCs w:val="22"/>
          <w:lang w:val="en-CA"/>
        </w:rPr>
        <w:t xml:space="preserve"> – </w:t>
      </w:r>
      <w:r w:rsidR="00262BE4" w:rsidRPr="009A42B2">
        <w:rPr>
          <w:b/>
          <w:szCs w:val="22"/>
          <w:lang w:val="en-CA"/>
        </w:rPr>
        <w:t>9 900 MHz by up to 600 MHz within the frequency bands 8 700</w:t>
      </w:r>
      <w:r w:rsidR="00262BE4" w:rsidRPr="009A42B2">
        <w:rPr>
          <w:bCs/>
          <w:szCs w:val="22"/>
          <w:lang w:val="en-CA"/>
        </w:rPr>
        <w:t xml:space="preserve"> – </w:t>
      </w:r>
      <w:r w:rsidR="00262BE4" w:rsidRPr="009A42B2">
        <w:rPr>
          <w:b/>
          <w:szCs w:val="22"/>
          <w:lang w:val="en-CA"/>
        </w:rPr>
        <w:t>9 300 MHz and/or 9 900</w:t>
      </w:r>
      <w:r w:rsidR="00262BE4" w:rsidRPr="009A42B2">
        <w:rPr>
          <w:bCs/>
          <w:szCs w:val="22"/>
          <w:lang w:val="en-CA"/>
        </w:rPr>
        <w:t xml:space="preserve"> – </w:t>
      </w:r>
      <w:r w:rsidR="00262BE4" w:rsidRPr="009A42B2">
        <w:rPr>
          <w:b/>
          <w:szCs w:val="22"/>
          <w:lang w:val="en-CA"/>
        </w:rPr>
        <w:t>10 500 MHz, in accordance with Resolution 651</w:t>
      </w:r>
      <w:r w:rsidR="00262BE4" w:rsidRPr="009A42B2">
        <w:rPr>
          <w:b/>
          <w:bCs/>
          <w:szCs w:val="22"/>
          <w:lang w:val="en-CA"/>
        </w:rPr>
        <w:t xml:space="preserve"> (WRC</w:t>
      </w:r>
      <w:r w:rsidR="00262BE4">
        <w:rPr>
          <w:b/>
          <w:bCs/>
          <w:szCs w:val="22"/>
          <w:lang w:val="en-CA"/>
        </w:rPr>
        <w:t>-</w:t>
      </w:r>
      <w:r w:rsidR="00262BE4" w:rsidRPr="009A42B2">
        <w:rPr>
          <w:b/>
          <w:bCs/>
          <w:szCs w:val="22"/>
          <w:lang w:val="en-CA"/>
        </w:rPr>
        <w:t>12)</w:t>
      </w:r>
      <w:r w:rsidRPr="00751103">
        <w:rPr>
          <w:b/>
          <w:bCs/>
          <w:szCs w:val="22"/>
        </w:rPr>
        <w:t>.</w:t>
      </w:r>
    </w:p>
    <w:p w:rsidR="0007062A" w:rsidRDefault="0007062A" w:rsidP="00F46EA9">
      <w:pPr>
        <w:pStyle w:val="2Para"/>
        <w:numPr>
          <w:ilvl w:val="1"/>
          <w:numId w:val="17"/>
        </w:numPr>
        <w:ind w:left="0" w:firstLine="0"/>
      </w:pPr>
      <w:r w:rsidRPr="008A0D8C">
        <w:t xml:space="preserve">The </w:t>
      </w:r>
      <w:r>
        <w:t>ICAO Position</w:t>
      </w:r>
      <w:r w:rsidRPr="008A0D8C">
        <w:t xml:space="preserve"> on this agenda item was to </w:t>
      </w:r>
      <w:r>
        <w:t>oppose any new allocation to the earth exploration</w:t>
      </w:r>
      <w:r w:rsidR="00B50FFA">
        <w:t>-satellite</w:t>
      </w:r>
      <w:r>
        <w:t xml:space="preserve"> service </w:t>
      </w:r>
      <w:r w:rsidR="00B50FFA">
        <w:t xml:space="preserve">(EESS) </w:t>
      </w:r>
      <w:r>
        <w:t>in the frequency band 9</w:t>
      </w:r>
      <w:r w:rsidR="002B5760">
        <w:t> </w:t>
      </w:r>
      <w:r>
        <w:t>000</w:t>
      </w:r>
      <w:r w:rsidR="002B5760">
        <w:t> – </w:t>
      </w:r>
      <w:r>
        <w:t>9</w:t>
      </w:r>
      <w:r w:rsidR="002B5760">
        <w:t> </w:t>
      </w:r>
      <w:r>
        <w:t>200</w:t>
      </w:r>
      <w:r w:rsidR="002B5760">
        <w:t> </w:t>
      </w:r>
      <w:r>
        <w:t>MHz, as it has been demonstrated through agreed studies that EESS would impact aviation use and place constraints on the use of the frequency band by the aeronautical systems.</w:t>
      </w:r>
      <w:r w:rsidR="00B50FFA">
        <w:t xml:space="preserve"> </w:t>
      </w:r>
      <w:r>
        <w:t>WRC-15 agreed to a solution which included allocations to the EESS in the bands 9</w:t>
      </w:r>
      <w:r w:rsidR="002B5760">
        <w:t> </w:t>
      </w:r>
      <w:r>
        <w:t>200</w:t>
      </w:r>
      <w:r w:rsidR="002B5760">
        <w:t> – </w:t>
      </w:r>
      <w:r>
        <w:t>9</w:t>
      </w:r>
      <w:r w:rsidR="002B5760">
        <w:t> </w:t>
      </w:r>
      <w:r>
        <w:t>300 and 9</w:t>
      </w:r>
      <w:r w:rsidR="002B5760">
        <w:t> </w:t>
      </w:r>
      <w:r>
        <w:t>900</w:t>
      </w:r>
      <w:r w:rsidR="002B5760">
        <w:t> – </w:t>
      </w:r>
      <w:r>
        <w:t>10</w:t>
      </w:r>
      <w:r w:rsidR="002B5760">
        <w:t> </w:t>
      </w:r>
      <w:r>
        <w:t>400</w:t>
      </w:r>
      <w:r w:rsidR="002B5760">
        <w:t> </w:t>
      </w:r>
      <w:r>
        <w:t>MHz. These new allocations will not affect aeronautical services.</w:t>
      </w:r>
    </w:p>
    <w:p w:rsidR="000074F8" w:rsidRPr="00BF0014" w:rsidRDefault="000074F8" w:rsidP="00845997">
      <w:pPr>
        <w:pStyle w:val="ListParagraph"/>
        <w:numPr>
          <w:ilvl w:val="0"/>
          <w:numId w:val="17"/>
        </w:numPr>
        <w:ind w:left="709" w:hanging="709"/>
        <w:rPr>
          <w:b/>
          <w:szCs w:val="22"/>
        </w:rPr>
      </w:pPr>
      <w:r w:rsidRPr="00CA16BF">
        <w:rPr>
          <w:b/>
        </w:rPr>
        <w:t>Agenda Item 1.</w:t>
      </w:r>
      <w:r>
        <w:rPr>
          <w:b/>
        </w:rPr>
        <w:t>1</w:t>
      </w:r>
      <w:r w:rsidR="00262BE4">
        <w:rPr>
          <w:b/>
        </w:rPr>
        <w:t>6</w:t>
      </w:r>
      <w:r w:rsidRPr="00CA16BF">
        <w:rPr>
          <w:b/>
        </w:rPr>
        <w:t>:</w:t>
      </w:r>
      <w:r>
        <w:t xml:space="preserve"> </w:t>
      </w:r>
      <w:r w:rsidR="00262BE4" w:rsidRPr="009A42B2">
        <w:rPr>
          <w:b/>
          <w:szCs w:val="22"/>
          <w:lang w:val="en-CA"/>
        </w:rPr>
        <w:t>To consider regulatory provisions and spectrum allocations to enable possible new Automatic Identification System (AIS) technology applications and possible new applications to improve maritime radiocommunication in accordance with Resolution 360 (WRC</w:t>
      </w:r>
      <w:r w:rsidR="00262BE4">
        <w:rPr>
          <w:b/>
          <w:szCs w:val="22"/>
          <w:lang w:val="en-CA"/>
        </w:rPr>
        <w:t>-</w:t>
      </w:r>
      <w:r w:rsidR="00262BE4" w:rsidRPr="009A42B2">
        <w:rPr>
          <w:b/>
          <w:szCs w:val="22"/>
          <w:lang w:val="en-CA"/>
        </w:rPr>
        <w:t>12)</w:t>
      </w:r>
      <w:r w:rsidRPr="00751103">
        <w:rPr>
          <w:b/>
          <w:bCs/>
          <w:szCs w:val="22"/>
        </w:rPr>
        <w:t>.</w:t>
      </w:r>
    </w:p>
    <w:p w:rsidR="00E14372" w:rsidRDefault="0007062A" w:rsidP="00813C45">
      <w:pPr>
        <w:pStyle w:val="2Para"/>
        <w:numPr>
          <w:ilvl w:val="1"/>
          <w:numId w:val="17"/>
        </w:numPr>
        <w:ind w:left="0" w:firstLine="0"/>
      </w:pPr>
      <w:r>
        <w:t xml:space="preserve">The maritime automatic identification systems are fitted in search and rescue </w:t>
      </w:r>
      <w:r w:rsidR="001E5E64">
        <w:t xml:space="preserve">(SAR) </w:t>
      </w:r>
      <w:r>
        <w:t xml:space="preserve">aircraft to allow co-ordination of </w:t>
      </w:r>
      <w:r w:rsidR="001E5E64">
        <w:t>SAR</w:t>
      </w:r>
      <w:r>
        <w:t xml:space="preserve"> activities in which both ships and aircraft are involved.  Hence, the ICAO Position was to ensure that any change to the regula</w:t>
      </w:r>
      <w:r w:rsidR="00E14372">
        <w:t xml:space="preserve">tory provisions and spectrum allocations resulting from this agenda item would not adversely impact the capability of </w:t>
      </w:r>
      <w:r w:rsidR="001E5E64">
        <w:t>SAR</w:t>
      </w:r>
      <w:r w:rsidR="00E14372">
        <w:t xml:space="preserve"> aircraft to effectively communicate with ships during disaster relief operations.</w:t>
      </w:r>
    </w:p>
    <w:p w:rsidR="008E29A7" w:rsidRDefault="00E14372" w:rsidP="00F46EA9">
      <w:pPr>
        <w:pStyle w:val="2Para"/>
        <w:numPr>
          <w:ilvl w:val="1"/>
          <w:numId w:val="17"/>
        </w:numPr>
        <w:ind w:left="0" w:firstLine="0"/>
      </w:pPr>
      <w:r>
        <w:t xml:space="preserve">The conference developed a solution which facilitates the implementation of a VHF data exchange system (VDES) for ships and identified certain VHF channels in the maritime mobile service for </w:t>
      </w:r>
      <w:r w:rsidR="008E29A7">
        <w:t xml:space="preserve">VDES and other </w:t>
      </w:r>
      <w:r>
        <w:t>application specific messages</w:t>
      </w:r>
      <w:r w:rsidR="008E29A7">
        <w:t>. The solution protects existing AIS and is fully in line with the ICAO Position.</w:t>
      </w:r>
    </w:p>
    <w:p w:rsidR="00277884" w:rsidRPr="00F46EA9" w:rsidRDefault="000074F8" w:rsidP="00552C88">
      <w:pPr>
        <w:pStyle w:val="ListParagraph"/>
        <w:numPr>
          <w:ilvl w:val="0"/>
          <w:numId w:val="17"/>
        </w:numPr>
        <w:ind w:left="709" w:hanging="709"/>
        <w:rPr>
          <w:b/>
          <w:szCs w:val="22"/>
        </w:rPr>
      </w:pPr>
      <w:r w:rsidRPr="00F46EA9">
        <w:rPr>
          <w:b/>
        </w:rPr>
        <w:t>Agenda Item 1.1</w:t>
      </w:r>
      <w:r w:rsidR="00262BE4" w:rsidRPr="00F46EA9">
        <w:rPr>
          <w:b/>
        </w:rPr>
        <w:t>7</w:t>
      </w:r>
      <w:r w:rsidRPr="00F46EA9">
        <w:rPr>
          <w:b/>
        </w:rPr>
        <w:t>:</w:t>
      </w:r>
      <w:r>
        <w:t xml:space="preserve"> </w:t>
      </w:r>
      <w:r w:rsidR="00262BE4" w:rsidRPr="00F46EA9">
        <w:rPr>
          <w:b/>
          <w:szCs w:val="22"/>
          <w:lang w:val="en-CA"/>
        </w:rPr>
        <w:t xml:space="preserve">To consider possible spectrum requirements and regulatory actions, including appropriate aeronautical allocations, to support wireless avionics </w:t>
      </w:r>
      <w:proofErr w:type="spellStart"/>
      <w:r w:rsidR="00262BE4" w:rsidRPr="00F46EA9">
        <w:rPr>
          <w:b/>
          <w:szCs w:val="22"/>
          <w:lang w:val="en-CA"/>
        </w:rPr>
        <w:t>intracommunications</w:t>
      </w:r>
      <w:proofErr w:type="spellEnd"/>
      <w:r w:rsidR="00262BE4" w:rsidRPr="00F46EA9">
        <w:rPr>
          <w:b/>
          <w:szCs w:val="22"/>
          <w:lang w:val="en-CA"/>
        </w:rPr>
        <w:t xml:space="preserve"> (WAIC), in accordance with</w:t>
      </w:r>
      <w:r w:rsidR="00262BE4" w:rsidRPr="00F46EA9">
        <w:rPr>
          <w:b/>
          <w:bCs/>
          <w:szCs w:val="22"/>
          <w:lang w:val="en-CA"/>
        </w:rPr>
        <w:t xml:space="preserve"> </w:t>
      </w:r>
      <w:r w:rsidR="00262BE4" w:rsidRPr="00F46EA9">
        <w:rPr>
          <w:b/>
          <w:szCs w:val="22"/>
          <w:lang w:val="en-CA"/>
        </w:rPr>
        <w:t>Resolution</w:t>
      </w:r>
      <w:r w:rsidR="00262BE4" w:rsidRPr="00F46EA9">
        <w:rPr>
          <w:b/>
          <w:bCs/>
          <w:szCs w:val="22"/>
          <w:lang w:val="en-CA"/>
        </w:rPr>
        <w:t xml:space="preserve"> 423 (WRC-12).</w:t>
      </w:r>
    </w:p>
    <w:p w:rsidR="00277884" w:rsidRDefault="00277884" w:rsidP="00537BD7">
      <w:pPr>
        <w:pStyle w:val="2Para"/>
        <w:numPr>
          <w:ilvl w:val="1"/>
          <w:numId w:val="17"/>
        </w:numPr>
        <w:ind w:left="0" w:firstLine="0"/>
      </w:pPr>
      <w:r w:rsidRPr="007C3E12">
        <w:t xml:space="preserve">The aerospace industry </w:t>
      </w:r>
      <w:r w:rsidR="00B31482">
        <w:t>continues to</w:t>
      </w:r>
      <w:r w:rsidRPr="007C3E12">
        <w:t xml:space="preserve"> develop new commercial aircraft to provide airlines and the flying public with more cost-efficient and environmentally friendly air transportation while maintaining required levels of safety and reliability. One important </w:t>
      </w:r>
      <w:r>
        <w:t>means</w:t>
      </w:r>
      <w:r w:rsidRPr="007C3E12">
        <w:t xml:space="preserve"> of accomplishing these aims is to reduce </w:t>
      </w:r>
      <w:r>
        <w:t xml:space="preserve">overall </w:t>
      </w:r>
      <w:r w:rsidRPr="007C3E12">
        <w:t>aircraft weight</w:t>
      </w:r>
      <w:r>
        <w:t>, e.g. by reducing wiring,</w:t>
      </w:r>
      <w:r w:rsidRPr="007C3E12">
        <w:t xml:space="preserve"> while providing multiple and redundant methods to transmit safety-related information within and on an aircraft. The utilization of wireless technologies </w:t>
      </w:r>
      <w:r w:rsidR="00950E05">
        <w:t xml:space="preserve">is </w:t>
      </w:r>
      <w:r w:rsidR="001D429E">
        <w:t>one potential method of</w:t>
      </w:r>
      <w:r w:rsidRPr="007C3E12">
        <w:t xml:space="preserve"> accomplish</w:t>
      </w:r>
      <w:r w:rsidR="001D429E">
        <w:t>ing</w:t>
      </w:r>
      <w:r w:rsidRPr="007C3E12">
        <w:t xml:space="preserve"> these goals </w:t>
      </w:r>
      <w:r w:rsidR="001D429E">
        <w:t>thus</w:t>
      </w:r>
      <w:r w:rsidRPr="007C3E12">
        <w:t xml:space="preserve"> providing environmental benefits such as reduction of carbon footprints as well as cost savings to manufacturers and operators</w:t>
      </w:r>
      <w:r>
        <w:t>.</w:t>
      </w:r>
    </w:p>
    <w:p w:rsidR="00277884" w:rsidRDefault="00277884" w:rsidP="00CD5427">
      <w:pPr>
        <w:pStyle w:val="2Para"/>
        <w:numPr>
          <w:ilvl w:val="1"/>
          <w:numId w:val="17"/>
        </w:numPr>
        <w:ind w:left="0" w:firstLine="0"/>
      </w:pPr>
      <w:r>
        <w:t xml:space="preserve">In line with results of ICAO and ITU-R studies prior to the conference, the ICAO Position on this agenda item was to support a global aeronautical mobile (route) service allocation in the </w:t>
      </w:r>
      <w:r w:rsidR="00950E05">
        <w:t xml:space="preserve">radio altimeter </w:t>
      </w:r>
      <w:r w:rsidR="001D429E">
        <w:t xml:space="preserve">frequency </w:t>
      </w:r>
      <w:r w:rsidR="006B0B3B">
        <w:t>band (4</w:t>
      </w:r>
      <w:r w:rsidR="001D429E">
        <w:t> </w:t>
      </w:r>
      <w:r w:rsidR="006B0B3B">
        <w:t>200</w:t>
      </w:r>
      <w:r w:rsidR="001D429E">
        <w:t> </w:t>
      </w:r>
      <w:r w:rsidR="001D429E">
        <w:noBreakHyphen/>
        <w:t> </w:t>
      </w:r>
      <w:r w:rsidR="006B0B3B">
        <w:t>4</w:t>
      </w:r>
      <w:r w:rsidR="001D429E">
        <w:t> </w:t>
      </w:r>
      <w:r w:rsidR="006B0B3B">
        <w:t>400</w:t>
      </w:r>
      <w:r w:rsidR="001D429E">
        <w:t> </w:t>
      </w:r>
      <w:r w:rsidR="006B0B3B">
        <w:t>MHz), exclusively reserved for WAIC systems operating in accordance with recognized international aeronautical standards.</w:t>
      </w:r>
    </w:p>
    <w:p w:rsidR="006B0B3B" w:rsidRDefault="006B0B3B" w:rsidP="00C107E9">
      <w:pPr>
        <w:pStyle w:val="2Para"/>
        <w:numPr>
          <w:ilvl w:val="1"/>
          <w:numId w:val="17"/>
        </w:numPr>
        <w:ind w:left="0" w:firstLine="0"/>
      </w:pPr>
      <w:r>
        <w:t>Fully in line with the ICAO Position, the conference allocated the frequency band 4</w:t>
      </w:r>
      <w:r w:rsidR="001D429E">
        <w:t> </w:t>
      </w:r>
      <w:r>
        <w:t>200</w:t>
      </w:r>
      <w:r w:rsidR="001D429E">
        <w:t> </w:t>
      </w:r>
      <w:r w:rsidR="001D429E">
        <w:noBreakHyphen/>
        <w:t> </w:t>
      </w:r>
      <w:r>
        <w:t>4</w:t>
      </w:r>
      <w:r w:rsidR="001D429E">
        <w:t> </w:t>
      </w:r>
      <w:r>
        <w:t>400</w:t>
      </w:r>
      <w:r w:rsidR="001D429E">
        <w:t xml:space="preserve"> MHz </w:t>
      </w:r>
      <w:r>
        <w:t xml:space="preserve">to the aeronautical mobile (route) service, exclusively reserved for WAIC, operating </w:t>
      </w:r>
      <w:r>
        <w:lastRenderedPageBreak/>
        <w:t>in accordance with international aeronautical standards. The associated Resolution</w:t>
      </w:r>
      <w:r w:rsidR="00566C65">
        <w:t xml:space="preserve"> (</w:t>
      </w:r>
      <w:r w:rsidR="00566C65" w:rsidRPr="00093749">
        <w:rPr>
          <w:b/>
          <w:bCs/>
        </w:rPr>
        <w:t>C</w:t>
      </w:r>
      <w:r w:rsidR="00BD33BF">
        <w:rPr>
          <w:b/>
          <w:bCs/>
        </w:rPr>
        <w:t>OM</w:t>
      </w:r>
      <w:r w:rsidR="00566C65" w:rsidRPr="00093749">
        <w:rPr>
          <w:b/>
          <w:bCs/>
        </w:rPr>
        <w:t>4/</w:t>
      </w:r>
      <w:r w:rsidR="00566C65">
        <w:rPr>
          <w:b/>
          <w:bCs/>
        </w:rPr>
        <w:t>1</w:t>
      </w:r>
      <w:r w:rsidR="00566C65">
        <w:t>)</w:t>
      </w:r>
      <w:r>
        <w:t xml:space="preserve"> requires that the WAIC systems </w:t>
      </w:r>
      <w:r w:rsidR="004B6600">
        <w:t xml:space="preserve">protect the operation of the </w:t>
      </w:r>
      <w:r w:rsidR="00950E05">
        <w:t xml:space="preserve">radio altimeters </w:t>
      </w:r>
      <w:r w:rsidR="004B6600">
        <w:t xml:space="preserve">and </w:t>
      </w:r>
      <w:r>
        <w:t>operate in accordance with SARPs as contained in Annex 10 to the ICAO Convention.</w:t>
      </w:r>
      <w:r w:rsidR="004B6600">
        <w:t xml:space="preserve"> </w:t>
      </w:r>
      <w:r w:rsidR="00611A09">
        <w:t>It is expected that standardization work will be initiated within RTCA and/or EUROCAE before development of SARPs commences</w:t>
      </w:r>
      <w:r w:rsidR="00651305">
        <w:t xml:space="preserve"> within ICAO</w:t>
      </w:r>
      <w:r w:rsidR="004B6600">
        <w:t>.</w:t>
      </w:r>
    </w:p>
    <w:p w:rsidR="000074F8" w:rsidRPr="00BF0014" w:rsidRDefault="000074F8" w:rsidP="006D58AA">
      <w:pPr>
        <w:pStyle w:val="ListParagraph"/>
        <w:keepNext/>
        <w:keepLines/>
        <w:widowControl w:val="0"/>
        <w:numPr>
          <w:ilvl w:val="0"/>
          <w:numId w:val="17"/>
        </w:numPr>
        <w:ind w:left="709" w:hanging="709"/>
        <w:rPr>
          <w:b/>
          <w:szCs w:val="22"/>
        </w:rPr>
      </w:pPr>
      <w:r w:rsidRPr="00CA16BF">
        <w:rPr>
          <w:b/>
        </w:rPr>
        <w:t>Agenda Item 1.</w:t>
      </w:r>
      <w:r>
        <w:rPr>
          <w:b/>
        </w:rPr>
        <w:t>1</w:t>
      </w:r>
      <w:r w:rsidR="00262BE4">
        <w:rPr>
          <w:b/>
        </w:rPr>
        <w:t>8</w:t>
      </w:r>
      <w:r w:rsidRPr="00CA16BF">
        <w:rPr>
          <w:b/>
        </w:rPr>
        <w:t>:</w:t>
      </w:r>
      <w:r>
        <w:t xml:space="preserve"> </w:t>
      </w:r>
      <w:r w:rsidRPr="00464BEC">
        <w:t xml:space="preserve"> </w:t>
      </w:r>
      <w:r w:rsidR="00262BE4" w:rsidRPr="00AD67F3">
        <w:rPr>
          <w:b/>
          <w:szCs w:val="22"/>
          <w:lang w:val="en-CA"/>
        </w:rPr>
        <w:t>Allocation of the band 77.5 – 78 GHz to the radiolocation service to support automotive short-range high-resolution radar operations</w:t>
      </w:r>
      <w:r w:rsidR="00262BE4">
        <w:rPr>
          <w:b/>
          <w:szCs w:val="22"/>
          <w:lang w:val="en-CA"/>
        </w:rPr>
        <w:t>.</w:t>
      </w:r>
    </w:p>
    <w:p w:rsidR="00B11390" w:rsidRDefault="00ED4704" w:rsidP="003507D6">
      <w:pPr>
        <w:pStyle w:val="2Para"/>
        <w:widowControl w:val="0"/>
        <w:numPr>
          <w:ilvl w:val="1"/>
          <w:numId w:val="17"/>
        </w:numPr>
        <w:ind w:left="0" w:firstLine="0"/>
      </w:pPr>
      <w:r>
        <w:t>Th</w:t>
      </w:r>
      <w:r w:rsidR="00C860A4">
        <w:t xml:space="preserve">is agenda item was devised by WRC-12 to facilitate high resolution radar applications for the automotive industry.  </w:t>
      </w:r>
    </w:p>
    <w:p w:rsidR="00B11390" w:rsidRDefault="00B11390" w:rsidP="006D58AA">
      <w:pPr>
        <w:pStyle w:val="2Para"/>
        <w:widowControl w:val="0"/>
        <w:numPr>
          <w:ilvl w:val="1"/>
          <w:numId w:val="17"/>
        </w:numPr>
        <w:ind w:left="0" w:firstLine="0"/>
      </w:pPr>
      <w:r>
        <w:t xml:space="preserve">As aircraft have become larger, the ability of the </w:t>
      </w:r>
      <w:r w:rsidR="00950A9E">
        <w:t>pilot</w:t>
      </w:r>
      <w:r>
        <w:t xml:space="preserve"> to accurately taxi </w:t>
      </w:r>
      <w:r w:rsidR="00950A9E">
        <w:t xml:space="preserve">an </w:t>
      </w:r>
      <w:r>
        <w:t>aircraft around a busy airport has become more difficult and incidents of aircraft colliding with other objects on the airport have become more common. A potential solution to this issue would be to use off-the-shelf automotive radar located in the wing tips of aircraft to detect other ground objects that may be in the path of the taxiing aircraft. Hence the ICAO Position was to support the allocation of the frequency band 77.5</w:t>
      </w:r>
      <w:r w:rsidR="00996F85">
        <w:t> </w:t>
      </w:r>
      <w:r>
        <w:t>–</w:t>
      </w:r>
      <w:r w:rsidR="00996F85">
        <w:t> </w:t>
      </w:r>
      <w:r>
        <w:t>78</w:t>
      </w:r>
      <w:r w:rsidR="00996F85">
        <w:t> </w:t>
      </w:r>
      <w:r>
        <w:t>GHz to the radiolocation service in such a way as not to preclude its use on an advisory basis by taxiing aircraft.</w:t>
      </w:r>
    </w:p>
    <w:p w:rsidR="00DF3E91" w:rsidRDefault="00B11390" w:rsidP="006D58AA">
      <w:pPr>
        <w:pStyle w:val="2Para"/>
        <w:widowControl w:val="0"/>
        <w:numPr>
          <w:ilvl w:val="1"/>
          <w:numId w:val="17"/>
        </w:numPr>
        <w:ind w:left="0" w:firstLine="0"/>
      </w:pPr>
      <w:r>
        <w:t xml:space="preserve">Concerns by other users of this frequency band, </w:t>
      </w:r>
      <w:r w:rsidR="00DF3E91">
        <w:t xml:space="preserve">namely the amateur, amateur satellite and </w:t>
      </w:r>
      <w:r w:rsidR="00507055">
        <w:t xml:space="preserve">the </w:t>
      </w:r>
      <w:r w:rsidR="00DF3E91">
        <w:t>radio astronomy service were addressed by limiting a new allocation to “automotive and other ground based applications”. While the new allocation is not conditional, the ITU</w:t>
      </w:r>
      <w:r w:rsidR="00507055">
        <w:t xml:space="preserve"> Radiocommunication Sector</w:t>
      </w:r>
      <w:r w:rsidR="00DF3E91">
        <w:t xml:space="preserve"> has been tasked with further studies to assist administrations in ensuring compatibility between the incumbent services.</w:t>
      </w:r>
    </w:p>
    <w:p w:rsidR="00DF3E91" w:rsidRDefault="00DF3E91" w:rsidP="006D58AA">
      <w:pPr>
        <w:pStyle w:val="2Para"/>
        <w:keepNext/>
        <w:keepLines/>
        <w:numPr>
          <w:ilvl w:val="1"/>
          <w:numId w:val="17"/>
        </w:numPr>
        <w:ind w:left="0" w:firstLine="0"/>
      </w:pPr>
      <w:r>
        <w:t>The new allocation enable</w:t>
      </w:r>
      <w:r w:rsidR="008F6197">
        <w:t>s</w:t>
      </w:r>
      <w:r>
        <w:t xml:space="preserve"> use of this frequency band for wing tip </w:t>
      </w:r>
      <w:r w:rsidR="008F6197">
        <w:t xml:space="preserve">radars on aircraft, operational </w:t>
      </w:r>
      <w:r w:rsidR="00507055">
        <w:t xml:space="preserve">only </w:t>
      </w:r>
      <w:r w:rsidR="008F6197">
        <w:t>while the aircraft is not airborne. This solution is fully in line with the ICAO Position.</w:t>
      </w:r>
    </w:p>
    <w:p w:rsidR="00CB4AA1" w:rsidRPr="00BF0014" w:rsidRDefault="00CB4AA1" w:rsidP="002B5F1E">
      <w:pPr>
        <w:pStyle w:val="ListParagraph"/>
        <w:numPr>
          <w:ilvl w:val="0"/>
          <w:numId w:val="17"/>
        </w:numPr>
        <w:ind w:left="709" w:hanging="709"/>
        <w:rPr>
          <w:b/>
          <w:szCs w:val="22"/>
        </w:rPr>
      </w:pPr>
      <w:r w:rsidRPr="00CA16BF">
        <w:rPr>
          <w:b/>
        </w:rPr>
        <w:t xml:space="preserve">Agenda Item </w:t>
      </w:r>
      <w:r>
        <w:rPr>
          <w:b/>
        </w:rPr>
        <w:t>4</w:t>
      </w:r>
      <w:r w:rsidRPr="00CA16BF">
        <w:rPr>
          <w:b/>
        </w:rPr>
        <w:t>:</w:t>
      </w:r>
      <w:r>
        <w:t xml:space="preserve"> </w:t>
      </w:r>
      <w:r>
        <w:rPr>
          <w:b/>
          <w:szCs w:val="22"/>
        </w:rPr>
        <w:t>In a</w:t>
      </w:r>
      <w:r w:rsidRPr="00751103">
        <w:rPr>
          <w:b/>
          <w:szCs w:val="22"/>
        </w:rPr>
        <w:t>ccordance with Resolution 95 (Rev. WRC-0</w:t>
      </w:r>
      <w:r w:rsidR="00BB6B14">
        <w:rPr>
          <w:b/>
          <w:szCs w:val="22"/>
        </w:rPr>
        <w:t>7</w:t>
      </w:r>
      <w:r w:rsidRPr="00751103">
        <w:rPr>
          <w:b/>
          <w:szCs w:val="22"/>
        </w:rPr>
        <w:t xml:space="preserve">), to review the </w:t>
      </w:r>
      <w:r w:rsidR="00A363D0">
        <w:rPr>
          <w:b/>
          <w:szCs w:val="22"/>
        </w:rPr>
        <w:t>R</w:t>
      </w:r>
      <w:r w:rsidRPr="00751103">
        <w:rPr>
          <w:b/>
          <w:szCs w:val="22"/>
        </w:rPr>
        <w:t xml:space="preserve">esolutions and </w:t>
      </w:r>
      <w:r w:rsidR="00A363D0">
        <w:rPr>
          <w:b/>
          <w:szCs w:val="22"/>
        </w:rPr>
        <w:t>R</w:t>
      </w:r>
      <w:r w:rsidRPr="00751103">
        <w:rPr>
          <w:b/>
          <w:szCs w:val="22"/>
        </w:rPr>
        <w:t>ecommendations of previous conferences with a view of possible revision, replacement or abrogation</w:t>
      </w:r>
      <w:r>
        <w:rPr>
          <w:b/>
          <w:bCs/>
          <w:szCs w:val="22"/>
        </w:rPr>
        <w:t>.</w:t>
      </w:r>
    </w:p>
    <w:p w:rsidR="00434F3B" w:rsidRDefault="0044680A" w:rsidP="003507D6">
      <w:pPr>
        <w:pStyle w:val="2Para"/>
        <w:numPr>
          <w:ilvl w:val="1"/>
          <w:numId w:val="17"/>
        </w:numPr>
        <w:ind w:left="0" w:firstLine="0"/>
      </w:pPr>
      <w:r w:rsidRPr="00434F3B">
        <w:rPr>
          <w:iCs/>
        </w:rPr>
        <w:t xml:space="preserve">The following </w:t>
      </w:r>
      <w:r w:rsidR="00A363D0">
        <w:rPr>
          <w:iCs/>
        </w:rPr>
        <w:t>R</w:t>
      </w:r>
      <w:r w:rsidR="00BF3ECD">
        <w:rPr>
          <w:iCs/>
        </w:rPr>
        <w:t>esolution</w:t>
      </w:r>
      <w:r w:rsidRPr="00434F3B">
        <w:rPr>
          <w:iCs/>
        </w:rPr>
        <w:t xml:space="preserve">s were addressed in a manner different from the </w:t>
      </w:r>
      <w:r w:rsidR="00BD44F9">
        <w:rPr>
          <w:iCs/>
        </w:rPr>
        <w:t>ICAO Position</w:t>
      </w:r>
      <w:r w:rsidRPr="00434F3B">
        <w:rPr>
          <w:iCs/>
        </w:rPr>
        <w:t>:</w:t>
      </w:r>
    </w:p>
    <w:p w:rsidR="00861F3A" w:rsidRDefault="00861F3A" w:rsidP="006D58AA">
      <w:pPr>
        <w:pStyle w:val="2Para"/>
        <w:numPr>
          <w:ilvl w:val="2"/>
          <w:numId w:val="17"/>
        </w:numPr>
        <w:ind w:left="0" w:firstLine="0"/>
      </w:pPr>
      <w:r>
        <w:t xml:space="preserve">Resolution </w:t>
      </w:r>
      <w:r w:rsidRPr="00F10329">
        <w:rPr>
          <w:b/>
        </w:rPr>
        <w:t>18</w:t>
      </w:r>
      <w:r>
        <w:t xml:space="preserve"> relates to the procedure for identifying and announcing the position of ships and aircraft of States which are not party to an armed conflict. A minor update was made to this Resolution, removing a reference to Radiotelegraphy. This does not affect aviation.</w:t>
      </w:r>
    </w:p>
    <w:p w:rsidR="00861F3A" w:rsidRDefault="00861F3A" w:rsidP="00C107E9">
      <w:pPr>
        <w:pStyle w:val="2Para"/>
        <w:numPr>
          <w:ilvl w:val="2"/>
          <w:numId w:val="17"/>
        </w:numPr>
        <w:ind w:left="0" w:firstLine="0"/>
      </w:pPr>
      <w:r>
        <w:t xml:space="preserve">Resolution </w:t>
      </w:r>
      <w:r>
        <w:rPr>
          <w:b/>
        </w:rPr>
        <w:t>2</w:t>
      </w:r>
      <w:r w:rsidRPr="00F10329">
        <w:rPr>
          <w:b/>
        </w:rPr>
        <w:t>8</w:t>
      </w:r>
      <w:r>
        <w:t xml:space="preserve"> addresses revision of references to the text of ITU-R recommendations incorporated by reference in the Radio Regulations. A minor update was made</w:t>
      </w:r>
      <w:r w:rsidR="00BB3529">
        <w:t xml:space="preserve"> to a </w:t>
      </w:r>
      <w:r w:rsidR="00BB3529" w:rsidRPr="00BB3529">
        <w:rPr>
          <w:i/>
          <w:iCs/>
        </w:rPr>
        <w:t>considering</w:t>
      </w:r>
      <w:r>
        <w:t xml:space="preserve">, </w:t>
      </w:r>
      <w:r w:rsidR="00BB3529">
        <w:t xml:space="preserve">reflecting the most recent version of Resolution </w:t>
      </w:r>
      <w:r w:rsidR="00BB3529" w:rsidRPr="00CD5427">
        <w:rPr>
          <w:b/>
          <w:bCs/>
        </w:rPr>
        <w:t>27</w:t>
      </w:r>
      <w:r w:rsidR="00BB3529">
        <w:t xml:space="preserve"> (WRC-12).</w:t>
      </w:r>
      <w:r>
        <w:t xml:space="preserve"> This does not affect aviation.</w:t>
      </w:r>
    </w:p>
    <w:p w:rsidR="00113DCD" w:rsidRPr="0000261B" w:rsidRDefault="00113DCD" w:rsidP="006D58AA">
      <w:pPr>
        <w:pStyle w:val="2Para"/>
        <w:numPr>
          <w:ilvl w:val="2"/>
          <w:numId w:val="17"/>
        </w:numPr>
        <w:ind w:left="0" w:firstLine="0"/>
      </w:pPr>
      <w:r w:rsidRPr="00804E97">
        <w:t>Resolution</w:t>
      </w:r>
      <w:r w:rsidRPr="001B0C91">
        <w:rPr>
          <w:iCs/>
        </w:rPr>
        <w:t xml:space="preserve"> </w:t>
      </w:r>
      <w:r w:rsidRPr="00F10329">
        <w:rPr>
          <w:b/>
          <w:iCs/>
        </w:rPr>
        <w:t>114</w:t>
      </w:r>
      <w:r>
        <w:rPr>
          <w:iCs/>
        </w:rPr>
        <w:t xml:space="preserve"> addresses the compatibility between the ARNS and the FSS, limited to feeder links of the non-geostationary mobile-satellite systems in the mobile-satellite service in the frequency band 5 091 – 5 150 MHz. An update was made to this resolution reflecting the solution made by the conference under agenda item 1.7. This is fully in line with the ICAO Position.</w:t>
      </w:r>
    </w:p>
    <w:p w:rsidR="00113DCD" w:rsidRPr="00113DCD" w:rsidRDefault="00113DCD" w:rsidP="00C107E9">
      <w:pPr>
        <w:pStyle w:val="2Para"/>
        <w:numPr>
          <w:ilvl w:val="2"/>
          <w:numId w:val="17"/>
        </w:numPr>
        <w:ind w:left="0" w:firstLine="0"/>
      </w:pPr>
      <w:r w:rsidRPr="00804E97">
        <w:t>Resolution</w:t>
      </w:r>
      <w:r w:rsidRPr="001B0C91">
        <w:rPr>
          <w:iCs/>
        </w:rPr>
        <w:t xml:space="preserve"> </w:t>
      </w:r>
      <w:r>
        <w:rPr>
          <w:b/>
          <w:iCs/>
        </w:rPr>
        <w:t>15</w:t>
      </w:r>
      <w:r w:rsidRPr="00F10329">
        <w:rPr>
          <w:b/>
          <w:iCs/>
        </w:rPr>
        <w:t>4</w:t>
      </w:r>
      <w:r>
        <w:rPr>
          <w:iCs/>
        </w:rPr>
        <w:t xml:space="preserve"> considers the technical and regulatory actions in order to support existing and future operation of the fixed satellite service earth stations within the band 3</w:t>
      </w:r>
      <w:r w:rsidR="00EC4801">
        <w:rPr>
          <w:iCs/>
        </w:rPr>
        <w:t> </w:t>
      </w:r>
      <w:r>
        <w:rPr>
          <w:iCs/>
        </w:rPr>
        <w:t>400</w:t>
      </w:r>
      <w:r w:rsidR="00EC4801">
        <w:rPr>
          <w:iCs/>
        </w:rPr>
        <w:t> – </w:t>
      </w:r>
      <w:r>
        <w:rPr>
          <w:iCs/>
        </w:rPr>
        <w:t>4</w:t>
      </w:r>
      <w:r w:rsidR="00EC4801">
        <w:rPr>
          <w:iCs/>
        </w:rPr>
        <w:t> </w:t>
      </w:r>
      <w:r>
        <w:rPr>
          <w:iCs/>
        </w:rPr>
        <w:t>200</w:t>
      </w:r>
      <w:r w:rsidR="00EC4801">
        <w:rPr>
          <w:iCs/>
        </w:rPr>
        <w:t> </w:t>
      </w:r>
      <w:r>
        <w:rPr>
          <w:iCs/>
        </w:rPr>
        <w:t xml:space="preserve">MHz, as an aid to the safe operation of aircraft and reliable distribution of meteorological information in some </w:t>
      </w:r>
      <w:r>
        <w:rPr>
          <w:iCs/>
        </w:rPr>
        <w:lastRenderedPageBreak/>
        <w:t>countries in Region</w:t>
      </w:r>
      <w:r w:rsidR="00131DE0">
        <w:rPr>
          <w:iCs/>
        </w:rPr>
        <w:t xml:space="preserve"> 1. An update was made to this R</w:t>
      </w:r>
      <w:r>
        <w:rPr>
          <w:iCs/>
        </w:rPr>
        <w:t xml:space="preserve">esolution as </w:t>
      </w:r>
      <w:r w:rsidR="00131DE0">
        <w:rPr>
          <w:iCs/>
        </w:rPr>
        <w:t>referred</w:t>
      </w:r>
      <w:r>
        <w:rPr>
          <w:iCs/>
        </w:rPr>
        <w:t xml:space="preserve"> in </w:t>
      </w:r>
      <w:r w:rsidR="00EC4801">
        <w:rPr>
          <w:iCs/>
        </w:rPr>
        <w:t xml:space="preserve">the </w:t>
      </w:r>
      <w:r>
        <w:rPr>
          <w:iCs/>
        </w:rPr>
        <w:t xml:space="preserve">section </w:t>
      </w:r>
      <w:r w:rsidR="00EC4801">
        <w:rPr>
          <w:iCs/>
        </w:rPr>
        <w:t xml:space="preserve">on WRC-15 agenda item 9.1.5, contained in </w:t>
      </w:r>
      <w:r>
        <w:rPr>
          <w:iCs/>
        </w:rPr>
        <w:t xml:space="preserve">this </w:t>
      </w:r>
      <w:r w:rsidR="00C107E9">
        <w:rPr>
          <w:iCs/>
        </w:rPr>
        <w:t>a</w:t>
      </w:r>
      <w:r>
        <w:rPr>
          <w:iCs/>
        </w:rPr>
        <w:t>ppendix. This update solves agenda item 9.1.5, in line with the ICAO Position.</w:t>
      </w:r>
    </w:p>
    <w:p w:rsidR="001A118E" w:rsidRPr="001A118E" w:rsidRDefault="0000261B" w:rsidP="006D58AA">
      <w:pPr>
        <w:pStyle w:val="2Para"/>
        <w:numPr>
          <w:ilvl w:val="2"/>
          <w:numId w:val="17"/>
        </w:numPr>
        <w:ind w:left="0" w:firstLine="0"/>
      </w:pPr>
      <w:r>
        <w:rPr>
          <w:iCs/>
        </w:rPr>
        <w:t xml:space="preserve">Resolution </w:t>
      </w:r>
      <w:r w:rsidRPr="00F10329">
        <w:rPr>
          <w:b/>
          <w:iCs/>
        </w:rPr>
        <w:t>205</w:t>
      </w:r>
      <w:r>
        <w:rPr>
          <w:iCs/>
        </w:rPr>
        <w:t xml:space="preserve"> addresses the protection of systems operating in the mobile-satellite service in the band 406 – 406.1 MHz</w:t>
      </w:r>
      <w:r w:rsidR="0024681A">
        <w:rPr>
          <w:iCs/>
        </w:rPr>
        <w:t xml:space="preserve">, limited to the use of low-power satellite emergency position-indicating </w:t>
      </w:r>
      <w:proofErr w:type="spellStart"/>
      <w:r w:rsidR="0024681A">
        <w:rPr>
          <w:iCs/>
        </w:rPr>
        <w:t>radiobeacons</w:t>
      </w:r>
      <w:proofErr w:type="spellEnd"/>
      <w:r w:rsidR="0024681A">
        <w:rPr>
          <w:iCs/>
        </w:rPr>
        <w:t xml:space="preserve"> (EPIRBs). Modifications to this </w:t>
      </w:r>
      <w:r w:rsidR="00A363D0">
        <w:rPr>
          <w:iCs/>
        </w:rPr>
        <w:t>R</w:t>
      </w:r>
      <w:r w:rsidR="0024681A">
        <w:rPr>
          <w:iCs/>
        </w:rPr>
        <w:t xml:space="preserve">esolution </w:t>
      </w:r>
      <w:r w:rsidR="007E1C66">
        <w:rPr>
          <w:iCs/>
        </w:rPr>
        <w:t>request Administrations not to make new frequency assignments in a guard band of 100 kHz around the allocation of 406 – 406.1 MHz, used for C</w:t>
      </w:r>
      <w:r w:rsidR="00131DE0">
        <w:rPr>
          <w:iCs/>
        </w:rPr>
        <w:t>OSPAS</w:t>
      </w:r>
      <w:r w:rsidR="007E1C66">
        <w:rPr>
          <w:iCs/>
        </w:rPr>
        <w:t>-S</w:t>
      </w:r>
      <w:r w:rsidR="00131DE0">
        <w:rPr>
          <w:iCs/>
        </w:rPr>
        <w:t>ARSAT</w:t>
      </w:r>
      <w:r w:rsidR="007E1C66">
        <w:rPr>
          <w:iCs/>
        </w:rPr>
        <w:t>. This fully satisfies the concerns expressed in the ICAO Position. Agenda item 9.1.1 refers.</w:t>
      </w:r>
    </w:p>
    <w:p w:rsidR="001A118E" w:rsidRPr="001A118E" w:rsidRDefault="001A118E" w:rsidP="006D58AA">
      <w:pPr>
        <w:pStyle w:val="2Para"/>
        <w:numPr>
          <w:ilvl w:val="2"/>
          <w:numId w:val="17"/>
        </w:numPr>
        <w:ind w:left="0" w:firstLine="0"/>
      </w:pPr>
      <w:r w:rsidRPr="001A118E">
        <w:rPr>
          <w:iCs/>
        </w:rPr>
        <w:t xml:space="preserve">Resolution </w:t>
      </w:r>
      <w:r w:rsidRPr="001A118E">
        <w:rPr>
          <w:b/>
          <w:iCs/>
        </w:rPr>
        <w:t>207</w:t>
      </w:r>
      <w:r w:rsidRPr="001A118E">
        <w:rPr>
          <w:iCs/>
        </w:rPr>
        <w:t xml:space="preserve"> discusses measures to address unauthorized use of and interference to frequencies in the frequency bands allocated to the maritime mobile service and to the aeronautical mobile (route) service.</w:t>
      </w:r>
      <w:r>
        <w:rPr>
          <w:iCs/>
        </w:rPr>
        <w:t xml:space="preserve"> Minor modifications were made to this resolution, reflecting the abrogation of </w:t>
      </w:r>
      <w:r w:rsidR="000151A2">
        <w:rPr>
          <w:iCs/>
        </w:rPr>
        <w:t>No. </w:t>
      </w:r>
      <w:r w:rsidRPr="00131DE0">
        <w:rPr>
          <w:b/>
          <w:bCs/>
          <w:iCs/>
        </w:rPr>
        <w:t>5.129</w:t>
      </w:r>
      <w:r w:rsidR="00364B59" w:rsidRPr="00CD5427">
        <w:rPr>
          <w:iCs/>
        </w:rPr>
        <w:t xml:space="preserve"> by WRC-07</w:t>
      </w:r>
      <w:r>
        <w:rPr>
          <w:iCs/>
        </w:rPr>
        <w:t>. This update has no consequence for aviation.</w:t>
      </w:r>
    </w:p>
    <w:p w:rsidR="00AC4CC8" w:rsidRDefault="0044680A" w:rsidP="002B5F1E">
      <w:pPr>
        <w:pStyle w:val="2Para"/>
        <w:numPr>
          <w:ilvl w:val="2"/>
          <w:numId w:val="17"/>
        </w:numPr>
        <w:ind w:left="0" w:firstLine="0"/>
        <w:rPr>
          <w:iCs/>
        </w:rPr>
      </w:pPr>
      <w:r w:rsidRPr="00A56655">
        <w:rPr>
          <w:iCs/>
        </w:rPr>
        <w:t xml:space="preserve">Resolution </w:t>
      </w:r>
      <w:r w:rsidR="00A522F2">
        <w:rPr>
          <w:b/>
          <w:iCs/>
        </w:rPr>
        <w:t>360</w:t>
      </w:r>
      <w:r w:rsidRPr="00A56655">
        <w:rPr>
          <w:iCs/>
        </w:rPr>
        <w:t xml:space="preserve"> </w:t>
      </w:r>
      <w:r w:rsidR="00A522F2">
        <w:rPr>
          <w:iCs/>
        </w:rPr>
        <w:t xml:space="preserve">considers regulatory provisions and spectrum allocations to the maritime mobile-satellite service to enable the satellite component of the VHF Data Exchange System and enhanced maritime </w:t>
      </w:r>
      <w:r w:rsidR="006D0368">
        <w:rPr>
          <w:iCs/>
        </w:rPr>
        <w:t>radiocommunication</w:t>
      </w:r>
      <w:r w:rsidR="00A522F2">
        <w:rPr>
          <w:iCs/>
        </w:rPr>
        <w:t>. This resolution was updated in line with agenda item 1.16 of the conference. The updates have no negative consequences for aviation.</w:t>
      </w:r>
    </w:p>
    <w:p w:rsidR="00943524" w:rsidRDefault="00A8187D" w:rsidP="00C107E9">
      <w:pPr>
        <w:pStyle w:val="2Para"/>
        <w:numPr>
          <w:ilvl w:val="2"/>
          <w:numId w:val="17"/>
        </w:numPr>
        <w:ind w:left="0" w:firstLine="0"/>
        <w:rPr>
          <w:iCs/>
        </w:rPr>
      </w:pPr>
      <w:r>
        <w:rPr>
          <w:iCs/>
        </w:rPr>
        <w:t xml:space="preserve">Resolution </w:t>
      </w:r>
      <w:r w:rsidRPr="00831DB5">
        <w:rPr>
          <w:b/>
          <w:iCs/>
        </w:rPr>
        <w:t>41</w:t>
      </w:r>
      <w:r>
        <w:rPr>
          <w:b/>
          <w:iCs/>
        </w:rPr>
        <w:t>7</w:t>
      </w:r>
      <w:r>
        <w:rPr>
          <w:iCs/>
        </w:rPr>
        <w:t xml:space="preserve"> addresses the use of the frequency band 960</w:t>
      </w:r>
      <w:r w:rsidR="00131DE0">
        <w:rPr>
          <w:iCs/>
        </w:rPr>
        <w:t> – </w:t>
      </w:r>
      <w:r>
        <w:rPr>
          <w:iCs/>
        </w:rPr>
        <w:t>1</w:t>
      </w:r>
      <w:r w:rsidR="00131DE0">
        <w:rPr>
          <w:iCs/>
        </w:rPr>
        <w:t> </w:t>
      </w:r>
      <w:r>
        <w:rPr>
          <w:iCs/>
        </w:rPr>
        <w:t>164</w:t>
      </w:r>
      <w:r w:rsidR="00131DE0">
        <w:rPr>
          <w:iCs/>
        </w:rPr>
        <w:t> </w:t>
      </w:r>
      <w:r>
        <w:rPr>
          <w:iCs/>
        </w:rPr>
        <w:t xml:space="preserve">MHz by the aeronautical mobile (route) service. reference to Recommendation ITU-R M.2013, </w:t>
      </w:r>
      <w:r w:rsidR="00943524">
        <w:rPr>
          <w:iCs/>
        </w:rPr>
        <w:t>describing</w:t>
      </w:r>
      <w:r>
        <w:rPr>
          <w:iCs/>
        </w:rPr>
        <w:t xml:space="preserve"> the characteristics of non-ICAO standardized ARNS systems operated in certain </w:t>
      </w:r>
      <w:r w:rsidR="00943524">
        <w:rPr>
          <w:iCs/>
        </w:rPr>
        <w:t>States</w:t>
      </w:r>
      <w:r>
        <w:rPr>
          <w:iCs/>
        </w:rPr>
        <w:t xml:space="preserve"> was updated to reflect the latest version of this Recommendation. No implications have been identified as a result of this update.</w:t>
      </w:r>
    </w:p>
    <w:p w:rsidR="00943524" w:rsidRDefault="00943524" w:rsidP="00C107E9">
      <w:pPr>
        <w:pStyle w:val="2Para"/>
        <w:numPr>
          <w:ilvl w:val="2"/>
          <w:numId w:val="17"/>
        </w:numPr>
        <w:ind w:left="0" w:firstLine="0"/>
        <w:rPr>
          <w:iCs/>
        </w:rPr>
      </w:pPr>
      <w:r>
        <w:rPr>
          <w:iCs/>
        </w:rPr>
        <w:t xml:space="preserve">Resolution </w:t>
      </w:r>
      <w:r w:rsidRPr="00831DB5">
        <w:rPr>
          <w:b/>
          <w:iCs/>
        </w:rPr>
        <w:t>41</w:t>
      </w:r>
      <w:r>
        <w:rPr>
          <w:b/>
          <w:iCs/>
        </w:rPr>
        <w:t>8</w:t>
      </w:r>
      <w:r>
        <w:rPr>
          <w:iCs/>
        </w:rPr>
        <w:t xml:space="preserve"> addresses the use of the frequency band 5</w:t>
      </w:r>
      <w:r w:rsidR="00131DE0">
        <w:rPr>
          <w:iCs/>
        </w:rPr>
        <w:t> </w:t>
      </w:r>
      <w:r>
        <w:rPr>
          <w:iCs/>
        </w:rPr>
        <w:t>091</w:t>
      </w:r>
      <w:r w:rsidR="00131DE0">
        <w:rPr>
          <w:iCs/>
        </w:rPr>
        <w:t> – </w:t>
      </w:r>
      <w:r>
        <w:rPr>
          <w:iCs/>
        </w:rPr>
        <w:t>5</w:t>
      </w:r>
      <w:r w:rsidR="00131DE0">
        <w:rPr>
          <w:iCs/>
        </w:rPr>
        <w:t> </w:t>
      </w:r>
      <w:r>
        <w:rPr>
          <w:iCs/>
        </w:rPr>
        <w:t>250</w:t>
      </w:r>
      <w:r w:rsidR="00131DE0">
        <w:rPr>
          <w:iCs/>
        </w:rPr>
        <w:t> </w:t>
      </w:r>
      <w:r>
        <w:rPr>
          <w:iCs/>
        </w:rPr>
        <w:t xml:space="preserve">MHz by the aeronautical mobile service for telemetry applications. A reference to Resolution </w:t>
      </w:r>
      <w:r w:rsidRPr="00943524">
        <w:rPr>
          <w:b/>
          <w:bCs/>
          <w:iCs/>
        </w:rPr>
        <w:t>748</w:t>
      </w:r>
      <w:r>
        <w:rPr>
          <w:iCs/>
        </w:rPr>
        <w:t xml:space="preserve"> was updated to reflect the latest version of this Resolution. No implications have been identified as a result of this update.</w:t>
      </w:r>
    </w:p>
    <w:p w:rsidR="0003314D" w:rsidRDefault="0003314D" w:rsidP="00C107E9">
      <w:pPr>
        <w:pStyle w:val="2Para"/>
        <w:numPr>
          <w:ilvl w:val="2"/>
          <w:numId w:val="17"/>
        </w:numPr>
        <w:ind w:left="0" w:firstLine="0"/>
        <w:rPr>
          <w:iCs/>
        </w:rPr>
      </w:pPr>
      <w:r w:rsidRPr="00804E97">
        <w:t>Resolution</w:t>
      </w:r>
      <w:r w:rsidRPr="00B2792B">
        <w:rPr>
          <w:iCs/>
        </w:rPr>
        <w:t xml:space="preserve"> </w:t>
      </w:r>
      <w:r w:rsidRPr="00831DB5">
        <w:rPr>
          <w:b/>
          <w:iCs/>
        </w:rPr>
        <w:t>6</w:t>
      </w:r>
      <w:r>
        <w:rPr>
          <w:b/>
          <w:iCs/>
        </w:rPr>
        <w:t>08</w:t>
      </w:r>
      <w:r w:rsidRPr="00B2792B">
        <w:rPr>
          <w:iCs/>
        </w:rPr>
        <w:t xml:space="preserve"> addresses </w:t>
      </w:r>
      <w:r>
        <w:rPr>
          <w:iCs/>
        </w:rPr>
        <w:t>use of the frequency band 1</w:t>
      </w:r>
      <w:r w:rsidR="00131DE0">
        <w:rPr>
          <w:iCs/>
        </w:rPr>
        <w:t> </w:t>
      </w:r>
      <w:r>
        <w:rPr>
          <w:iCs/>
        </w:rPr>
        <w:t>215</w:t>
      </w:r>
      <w:r w:rsidR="00131DE0">
        <w:rPr>
          <w:iCs/>
        </w:rPr>
        <w:t> – </w:t>
      </w:r>
      <w:r>
        <w:rPr>
          <w:iCs/>
        </w:rPr>
        <w:t>1</w:t>
      </w:r>
      <w:r w:rsidR="00131DE0">
        <w:rPr>
          <w:iCs/>
        </w:rPr>
        <w:t> </w:t>
      </w:r>
      <w:r>
        <w:rPr>
          <w:iCs/>
        </w:rPr>
        <w:t>300</w:t>
      </w:r>
      <w:r w:rsidR="00131DE0">
        <w:rPr>
          <w:iCs/>
        </w:rPr>
        <w:t> </w:t>
      </w:r>
      <w:r>
        <w:rPr>
          <w:iCs/>
        </w:rPr>
        <w:t>MHz by systems of</w:t>
      </w:r>
      <w:r w:rsidR="00D473E9">
        <w:rPr>
          <w:iCs/>
        </w:rPr>
        <w:t xml:space="preserve"> </w:t>
      </w:r>
      <w:r>
        <w:rPr>
          <w:iCs/>
        </w:rPr>
        <w:t xml:space="preserve">the radionavigation satellite service (space-to-Earth). Additions were made to the </w:t>
      </w:r>
      <w:r>
        <w:rPr>
          <w:i/>
        </w:rPr>
        <w:t>noting</w:t>
      </w:r>
      <w:r w:rsidRPr="0054493E">
        <w:rPr>
          <w:iCs/>
        </w:rPr>
        <w:t xml:space="preserve"> part of </w:t>
      </w:r>
      <w:r w:rsidR="00D473E9">
        <w:rPr>
          <w:iCs/>
        </w:rPr>
        <w:t>the R</w:t>
      </w:r>
      <w:r>
        <w:rPr>
          <w:iCs/>
        </w:rPr>
        <w:t>esolution, to include references to relevant Recommendations of the ITU</w:t>
      </w:r>
      <w:r w:rsidR="00D473E9">
        <w:rPr>
          <w:iCs/>
        </w:rPr>
        <w:t xml:space="preserve"> Radiocommunication Sector</w:t>
      </w:r>
      <w:r>
        <w:rPr>
          <w:iCs/>
        </w:rPr>
        <w:t>. These updates help to further protect the radionavigation satellite service and are fully compatible with the ICAO Position</w:t>
      </w:r>
      <w:r w:rsidRPr="00B2792B">
        <w:rPr>
          <w:iCs/>
        </w:rPr>
        <w:t>.</w:t>
      </w:r>
    </w:p>
    <w:p w:rsidR="0003314D" w:rsidRDefault="0003314D" w:rsidP="00C107E9">
      <w:pPr>
        <w:pStyle w:val="2Para"/>
        <w:numPr>
          <w:ilvl w:val="2"/>
          <w:numId w:val="17"/>
        </w:numPr>
        <w:ind w:left="0" w:firstLine="0"/>
        <w:rPr>
          <w:iCs/>
        </w:rPr>
      </w:pPr>
      <w:r w:rsidRPr="00804E97">
        <w:t>Resolution</w:t>
      </w:r>
      <w:r w:rsidRPr="00B2792B">
        <w:rPr>
          <w:iCs/>
        </w:rPr>
        <w:t xml:space="preserve"> </w:t>
      </w:r>
      <w:r>
        <w:rPr>
          <w:b/>
          <w:iCs/>
        </w:rPr>
        <w:t>705</w:t>
      </w:r>
      <w:r w:rsidRPr="00B2792B">
        <w:rPr>
          <w:iCs/>
        </w:rPr>
        <w:t xml:space="preserve"> </w:t>
      </w:r>
      <w:r>
        <w:rPr>
          <w:iCs/>
        </w:rPr>
        <w:t>considers mutual protection of radio services operating in the frequency band 70</w:t>
      </w:r>
      <w:r w:rsidR="00D473E9">
        <w:rPr>
          <w:iCs/>
        </w:rPr>
        <w:t> – </w:t>
      </w:r>
      <w:r>
        <w:rPr>
          <w:iCs/>
        </w:rPr>
        <w:t>130 kHz. The previous version of this Resolution, as de</w:t>
      </w:r>
      <w:r w:rsidR="00D83004">
        <w:rPr>
          <w:iCs/>
        </w:rPr>
        <w:t xml:space="preserve">veloped in 1987, contained a request to States, ITU Council and international </w:t>
      </w:r>
      <w:r w:rsidR="00C107E9">
        <w:rPr>
          <w:iCs/>
        </w:rPr>
        <w:t>o</w:t>
      </w:r>
      <w:r w:rsidR="00D83004">
        <w:rPr>
          <w:iCs/>
        </w:rPr>
        <w:t xml:space="preserve">rganizations, including ICAO, for further studies and provision of information. This request has been suppressed. No implications </w:t>
      </w:r>
      <w:r w:rsidR="00D473E9">
        <w:rPr>
          <w:iCs/>
        </w:rPr>
        <w:t>are</w:t>
      </w:r>
      <w:r w:rsidR="00D83004">
        <w:rPr>
          <w:iCs/>
        </w:rPr>
        <w:t xml:space="preserve"> identified as a result of this update.</w:t>
      </w:r>
    </w:p>
    <w:p w:rsidR="004A31C1" w:rsidRDefault="00D473E9" w:rsidP="00CC0226">
      <w:pPr>
        <w:pStyle w:val="2Para"/>
        <w:numPr>
          <w:ilvl w:val="2"/>
          <w:numId w:val="17"/>
        </w:numPr>
        <w:ind w:left="0" w:firstLine="0"/>
        <w:rPr>
          <w:iCs/>
        </w:rPr>
      </w:pPr>
      <w:r>
        <w:rPr>
          <w:iCs/>
        </w:rPr>
        <w:t xml:space="preserve">Resolution </w:t>
      </w:r>
      <w:r>
        <w:rPr>
          <w:b/>
          <w:bCs/>
          <w:iCs/>
        </w:rPr>
        <w:t>748</w:t>
      </w:r>
      <w:r>
        <w:rPr>
          <w:iCs/>
        </w:rPr>
        <w:t xml:space="preserve"> addresses compatibility between the aeronautical mobile (route) service and the fixed satellite service (Earth-to-space) in the frequency band 5 091 – 5 150 MHz.</w:t>
      </w:r>
      <w:r w:rsidR="0000199A">
        <w:rPr>
          <w:iCs/>
        </w:rPr>
        <w:t xml:space="preserve">  In line with the solution achieved under agenda item 1.7, </w:t>
      </w:r>
      <w:r w:rsidR="004A31C1">
        <w:rPr>
          <w:iCs/>
        </w:rPr>
        <w:t>updates were made to the Resolution, removing a reference to max aggregate interference limit by the aeronautical mobile service and the aeronautical mobile (route) service and updating references to relevant Recommendations of the ITU Radiocommunication Sector, as incorporated by reference.</w:t>
      </w:r>
      <w:r w:rsidR="008B5358">
        <w:rPr>
          <w:iCs/>
        </w:rPr>
        <w:t xml:space="preserve"> This is fully in line with the ICAO Position.</w:t>
      </w:r>
    </w:p>
    <w:p w:rsidR="00792F2E" w:rsidRPr="00792F2E" w:rsidRDefault="00BA3656" w:rsidP="00FD5DAE">
      <w:pPr>
        <w:pStyle w:val="2Para"/>
        <w:keepNext/>
        <w:keepLines/>
        <w:numPr>
          <w:ilvl w:val="1"/>
          <w:numId w:val="17"/>
        </w:numPr>
        <w:ind w:left="0" w:firstLine="0"/>
      </w:pPr>
      <w:r>
        <w:rPr>
          <w:iCs/>
        </w:rPr>
        <w:lastRenderedPageBreak/>
        <w:t xml:space="preserve">Recommendation </w:t>
      </w:r>
      <w:r>
        <w:rPr>
          <w:b/>
          <w:iCs/>
        </w:rPr>
        <w:t>75</w:t>
      </w:r>
      <w:r w:rsidRPr="00831DB5">
        <w:rPr>
          <w:b/>
          <w:iCs/>
        </w:rPr>
        <w:t xml:space="preserve"> </w:t>
      </w:r>
      <w:r w:rsidR="00792F2E">
        <w:rPr>
          <w:iCs/>
        </w:rPr>
        <w:t>calls for a study of the boundary between the out-of-band and spurious domains of primary radars using magnetrons. Minor updates, no implications identified.</w:t>
      </w:r>
    </w:p>
    <w:p w:rsidR="00BB6B14" w:rsidRPr="00BF0014" w:rsidRDefault="00BB6B14" w:rsidP="00552C88">
      <w:pPr>
        <w:pStyle w:val="ListParagraph"/>
        <w:numPr>
          <w:ilvl w:val="0"/>
          <w:numId w:val="17"/>
        </w:numPr>
        <w:ind w:left="709" w:hanging="709"/>
        <w:rPr>
          <w:b/>
          <w:szCs w:val="22"/>
        </w:rPr>
      </w:pPr>
      <w:r w:rsidRPr="00CA16BF">
        <w:rPr>
          <w:b/>
        </w:rPr>
        <w:t xml:space="preserve">Agenda Item </w:t>
      </w:r>
      <w:r>
        <w:rPr>
          <w:b/>
        </w:rPr>
        <w:t>8</w:t>
      </w:r>
      <w:r w:rsidRPr="00CA16BF">
        <w:rPr>
          <w:b/>
        </w:rPr>
        <w:t>:</w:t>
      </w:r>
      <w:r>
        <w:t xml:space="preserve"> </w:t>
      </w:r>
      <w:r w:rsidRPr="009A42B2">
        <w:rPr>
          <w:b/>
          <w:bCs/>
          <w:szCs w:val="22"/>
          <w:lang w:val="en-CA"/>
        </w:rPr>
        <w:t>To consider and take appropriate action on requests from administrations to delete their country footnotes or to have their country name deleted from footnotes, if no longer required, taking into account Resolution 26 (Rev. WRC</w:t>
      </w:r>
      <w:r>
        <w:rPr>
          <w:b/>
          <w:bCs/>
          <w:szCs w:val="22"/>
          <w:lang w:val="en-CA"/>
        </w:rPr>
        <w:t>-</w:t>
      </w:r>
      <w:r w:rsidRPr="009A42B2">
        <w:rPr>
          <w:b/>
          <w:bCs/>
          <w:szCs w:val="22"/>
          <w:lang w:val="en-CA"/>
        </w:rPr>
        <w:t>07)</w:t>
      </w:r>
      <w:r>
        <w:rPr>
          <w:b/>
          <w:bCs/>
          <w:szCs w:val="22"/>
        </w:rPr>
        <w:t>.</w:t>
      </w:r>
    </w:p>
    <w:p w:rsidR="00EF68FE" w:rsidRDefault="00EF68FE" w:rsidP="00AF5AFB">
      <w:pPr>
        <w:pStyle w:val="2Para"/>
        <w:numPr>
          <w:ilvl w:val="1"/>
          <w:numId w:val="17"/>
        </w:numPr>
        <w:ind w:left="0" w:firstLine="0"/>
      </w:pPr>
      <w:r w:rsidRPr="00EF68FE">
        <w:t>Footnotes </w:t>
      </w:r>
      <w:r w:rsidRPr="00EF68FE">
        <w:rPr>
          <w:b/>
        </w:rPr>
        <w:t>5.181</w:t>
      </w:r>
      <w:r w:rsidRPr="00EF68FE">
        <w:t xml:space="preserve">, </w:t>
      </w:r>
      <w:r w:rsidRPr="00EF68FE">
        <w:rPr>
          <w:b/>
        </w:rPr>
        <w:t>5.197</w:t>
      </w:r>
      <w:r w:rsidRPr="00EF68FE">
        <w:t xml:space="preserve"> and </w:t>
      </w:r>
      <w:r w:rsidRPr="00EF68FE">
        <w:rPr>
          <w:b/>
        </w:rPr>
        <w:t>5.259</w:t>
      </w:r>
      <w:r w:rsidRPr="00EF68FE">
        <w:t xml:space="preserve"> were introduced in about twenty countries in 1987 in view of the foreseen global transition from ILS to MLS and were intended to enable the introduction of the mobile service in the ILS bands as and when these would no longer be required for ILS. However, it has been apparent for a while that a global transition to MLS is not taking place as originally foreseen and that ILS will continue to be used by aviation for the foreseeable future. Therefore the existence of these footnotes is no longer justified. Most administrations have already removed their name from these footnotes at previous conferences, </w:t>
      </w:r>
      <w:r>
        <w:t>however</w:t>
      </w:r>
      <w:r w:rsidR="00AF5AFB">
        <w:t>,</w:t>
      </w:r>
      <w:r>
        <w:t xml:space="preserve"> a few countries still remain.</w:t>
      </w:r>
      <w:r w:rsidR="005A01AF">
        <w:t xml:space="preserve"> No names were removed during the conference.</w:t>
      </w:r>
    </w:p>
    <w:p w:rsidR="00EF68FE" w:rsidRPr="00EF68FE" w:rsidRDefault="00EF68FE" w:rsidP="00AF5AFB">
      <w:pPr>
        <w:pStyle w:val="2Para"/>
        <w:numPr>
          <w:ilvl w:val="1"/>
          <w:numId w:val="17"/>
        </w:numPr>
        <w:ind w:left="0" w:firstLine="0"/>
      </w:pPr>
      <w:r>
        <w:t xml:space="preserve">Footnotes </w:t>
      </w:r>
      <w:r>
        <w:rPr>
          <w:b/>
          <w:bCs/>
        </w:rPr>
        <w:t xml:space="preserve">5.201 </w:t>
      </w:r>
      <w:r>
        <w:t xml:space="preserve">and </w:t>
      </w:r>
      <w:r>
        <w:rPr>
          <w:b/>
          <w:bCs/>
        </w:rPr>
        <w:t>5.202</w:t>
      </w:r>
      <w:r>
        <w:t xml:space="preserve"> allocate the frequency bands 132</w:t>
      </w:r>
      <w:r w:rsidR="005A01AF">
        <w:t> </w:t>
      </w:r>
      <w:r w:rsidR="005A01AF">
        <w:noBreakHyphen/>
        <w:t> </w:t>
      </w:r>
      <w:r>
        <w:t>136</w:t>
      </w:r>
      <w:r w:rsidR="005A01AF">
        <w:t> </w:t>
      </w:r>
      <w:r>
        <w:t>MHz and 136</w:t>
      </w:r>
      <w:r w:rsidR="005A01AF">
        <w:t> </w:t>
      </w:r>
      <w:r w:rsidR="005A01AF">
        <w:noBreakHyphen/>
        <w:t> </w:t>
      </w:r>
      <w:r>
        <w:t>137</w:t>
      </w:r>
      <w:r w:rsidR="005A01AF">
        <w:t> </w:t>
      </w:r>
      <w:r>
        <w:t>MHz in some States to the aeronautical mobile (off-route) service (AM(OR)S).  Since these frequency bands are heavily utilized for ICAO-standard VHF voice and data communications, those allocations should be deleted. Some country names were removed from these footnotes during the conference, but about 20 country names still remain</w:t>
      </w:r>
      <w:r w:rsidRPr="00EF68FE">
        <w:t>.</w:t>
      </w:r>
    </w:p>
    <w:p w:rsidR="003B2B4B" w:rsidRPr="003B2B4B" w:rsidRDefault="003B2B4B" w:rsidP="00AF5AFB">
      <w:pPr>
        <w:pStyle w:val="2Para"/>
        <w:numPr>
          <w:ilvl w:val="1"/>
          <w:numId w:val="17"/>
        </w:numPr>
        <w:ind w:left="0" w:firstLine="0"/>
      </w:pPr>
      <w:r w:rsidRPr="003B2B4B">
        <w:t>The band 1</w:t>
      </w:r>
      <w:r w:rsidR="005A01AF">
        <w:t> </w:t>
      </w:r>
      <w:r w:rsidRPr="003B2B4B">
        <w:t>215</w:t>
      </w:r>
      <w:r w:rsidR="005A01AF">
        <w:t> – </w:t>
      </w:r>
      <w:r w:rsidRPr="003B2B4B">
        <w:t>1</w:t>
      </w:r>
      <w:r w:rsidR="005A01AF">
        <w:t> </w:t>
      </w:r>
      <w:r w:rsidRPr="003B2B4B">
        <w:t>300</w:t>
      </w:r>
      <w:r w:rsidR="005A01AF">
        <w:t> </w:t>
      </w:r>
      <w:r w:rsidRPr="003B2B4B">
        <w:t xml:space="preserve">MHz is used by civil aviation </w:t>
      </w:r>
      <w:r>
        <w:t xml:space="preserve">in a large number of countries </w:t>
      </w:r>
      <w:r w:rsidRPr="003B2B4B">
        <w:t>for the provision of radionavigation services (primary radar) through footnote No. </w:t>
      </w:r>
      <w:r w:rsidRPr="003B2B4B">
        <w:rPr>
          <w:b/>
          <w:bCs/>
        </w:rPr>
        <w:t>5.331</w:t>
      </w:r>
      <w:r w:rsidRPr="003B2B4B">
        <w:t>. Footnote No. </w:t>
      </w:r>
      <w:r w:rsidRPr="003B2B4B">
        <w:rPr>
          <w:b/>
          <w:bCs/>
        </w:rPr>
        <w:t>5.330</w:t>
      </w:r>
      <w:r w:rsidRPr="003B2B4B">
        <w:t xml:space="preserve"> also allocates the band in a number of countries to the fixed and mobile service. Given the receiver sensitivity of aeronautical uses of the band, ICAO does not support the continued inclusion of an additional service through country footnotes. </w:t>
      </w:r>
      <w:r>
        <w:t>Over 30 countries remain</w:t>
      </w:r>
      <w:r w:rsidR="00C33A45">
        <w:t xml:space="preserve"> in this footnote</w:t>
      </w:r>
      <w:r>
        <w:t>.</w:t>
      </w:r>
    </w:p>
    <w:p w:rsidR="003B2B4B" w:rsidRDefault="003B2B4B" w:rsidP="00AF5AFB">
      <w:pPr>
        <w:pStyle w:val="2Para"/>
        <w:numPr>
          <w:ilvl w:val="1"/>
          <w:numId w:val="17"/>
        </w:numPr>
        <w:ind w:left="0" w:firstLine="0"/>
      </w:pPr>
      <w:r w:rsidRPr="003B2B4B">
        <w:t xml:space="preserve">The ICAO Position supported the deletion of footnotes </w:t>
      </w:r>
      <w:r w:rsidRPr="003B2B4B">
        <w:rPr>
          <w:b/>
        </w:rPr>
        <w:t>5.362B</w:t>
      </w:r>
      <w:r w:rsidRPr="003B2B4B">
        <w:rPr>
          <w:bCs/>
        </w:rPr>
        <w:t xml:space="preserve"> and</w:t>
      </w:r>
      <w:r w:rsidRPr="003B2B4B">
        <w:t xml:space="preserve"> </w:t>
      </w:r>
      <w:r w:rsidRPr="003B2B4B">
        <w:rPr>
          <w:b/>
        </w:rPr>
        <w:t>5.362C</w:t>
      </w:r>
      <w:r w:rsidRPr="003B2B4B">
        <w:t xml:space="preserve"> which allocate</w:t>
      </w:r>
      <w:r w:rsidR="00C33A45">
        <w:t>d</w:t>
      </w:r>
      <w:r w:rsidRPr="003B2B4B">
        <w:t xml:space="preserve"> the GNSS band 1 559</w:t>
      </w:r>
      <w:r w:rsidR="00AB488C">
        <w:t> – </w:t>
      </w:r>
      <w:r w:rsidRPr="003B2B4B">
        <w:t>1</w:t>
      </w:r>
      <w:r w:rsidR="00AB488C">
        <w:t> </w:t>
      </w:r>
      <w:r w:rsidRPr="003B2B4B">
        <w:t xml:space="preserve">610 MHz on a secondary basis to the (terrestrial) fixed service in certain countries until 1 January 2015. </w:t>
      </w:r>
      <w:r w:rsidR="00AB488C">
        <w:t>C</w:t>
      </w:r>
      <w:r w:rsidRPr="003B2B4B">
        <w:t xml:space="preserve">ontinued </w:t>
      </w:r>
      <w:r w:rsidRPr="003B2B4B">
        <w:rPr>
          <w:szCs w:val="18"/>
        </w:rPr>
        <w:t xml:space="preserve">use by the fixed service </w:t>
      </w:r>
      <w:r w:rsidR="00AB488C">
        <w:rPr>
          <w:szCs w:val="18"/>
        </w:rPr>
        <w:t>would constitute</w:t>
      </w:r>
      <w:r w:rsidRPr="003B2B4B">
        <w:rPr>
          <w:szCs w:val="18"/>
        </w:rPr>
        <w:t xml:space="preserve"> a severe constraint on the safe and effective use of GNSS in some areas of the world, as </w:t>
      </w:r>
      <w:r w:rsidRPr="003B2B4B">
        <w:t>coordination distances of up to 400 km between the stations of the fixed service and the aircraft would be required</w:t>
      </w:r>
      <w:r w:rsidRPr="003B2B4B">
        <w:rPr>
          <w:szCs w:val="18"/>
        </w:rPr>
        <w:t>. T</w:t>
      </w:r>
      <w:r w:rsidR="00C33A45">
        <w:rPr>
          <w:szCs w:val="18"/>
        </w:rPr>
        <w:t xml:space="preserve">hese footnotes </w:t>
      </w:r>
      <w:r w:rsidR="00C33A45" w:rsidRPr="0069119B">
        <w:rPr>
          <w:szCs w:val="18"/>
        </w:rPr>
        <w:t xml:space="preserve">were deleted by the conference, thus providing </w:t>
      </w:r>
      <w:r w:rsidRPr="0069119B">
        <w:t>better worldwide protection of GNSS.</w:t>
      </w:r>
    </w:p>
    <w:p w:rsidR="0069119B" w:rsidRPr="0069119B" w:rsidRDefault="0069119B" w:rsidP="005F0A80">
      <w:pPr>
        <w:pStyle w:val="2Para"/>
        <w:numPr>
          <w:ilvl w:val="1"/>
          <w:numId w:val="17"/>
        </w:numPr>
        <w:ind w:left="0" w:firstLine="0"/>
      </w:pPr>
      <w:r>
        <w:t>In the frequency band 3</w:t>
      </w:r>
      <w:r w:rsidR="00AB488C">
        <w:t> </w:t>
      </w:r>
      <w:r>
        <w:t>400</w:t>
      </w:r>
      <w:r w:rsidR="00AB488C">
        <w:t> </w:t>
      </w:r>
      <w:r>
        <w:t>–</w:t>
      </w:r>
      <w:r w:rsidR="00AB488C">
        <w:t> </w:t>
      </w:r>
      <w:r>
        <w:t>4</w:t>
      </w:r>
      <w:r w:rsidR="00AB488C">
        <w:t> </w:t>
      </w:r>
      <w:r>
        <w:t>200</w:t>
      </w:r>
      <w:r w:rsidR="00AB488C">
        <w:t> </w:t>
      </w:r>
      <w:r w:rsidR="00D05B06">
        <w:t xml:space="preserve">MHz, the existing allocation to the FSS (space-to-Earth) is used to provide aeronautical VSAT service </w:t>
      </w:r>
      <w:r w:rsidR="00BA42B1">
        <w:t>(</w:t>
      </w:r>
      <w:r w:rsidR="00D05B06">
        <w:t>see discussion under agenda items 1.1 and 9.1.5</w:t>
      </w:r>
      <w:r w:rsidR="00BA42B1">
        <w:t>)</w:t>
      </w:r>
      <w:r w:rsidR="00D05B06">
        <w:t xml:space="preserve">.  Prior to WRC-15, </w:t>
      </w:r>
      <w:r w:rsidR="00DA6699">
        <w:t xml:space="preserve">Footnote </w:t>
      </w:r>
      <w:r w:rsidR="00D05B06">
        <w:t xml:space="preserve">No. </w:t>
      </w:r>
      <w:r w:rsidR="00D05B06">
        <w:rPr>
          <w:b/>
          <w:bCs/>
        </w:rPr>
        <w:t xml:space="preserve">5.430A </w:t>
      </w:r>
      <w:r w:rsidR="00D05B06">
        <w:t>allocated this band also to the mobile service in a number of States in Region 1, including Africa</w:t>
      </w:r>
      <w:r w:rsidR="00D441E8">
        <w:t>, subject to coordination to protect the FSS</w:t>
      </w:r>
      <w:r w:rsidR="00D05B06">
        <w:t xml:space="preserve">. The ICAO Position </w:t>
      </w:r>
      <w:r w:rsidR="00024810">
        <w:t xml:space="preserve">for WRC-15, </w:t>
      </w:r>
      <w:r w:rsidR="00D05B06">
        <w:t>was to recommend African States to withdraw their names from this footnote</w:t>
      </w:r>
      <w:r w:rsidR="00D441E8">
        <w:t xml:space="preserve"> as there have been instances of the FSS not being protected sufficiently in spite of the conditions </w:t>
      </w:r>
      <w:r w:rsidR="00DA6699">
        <w:t>specified</w:t>
      </w:r>
      <w:r w:rsidR="00D441E8">
        <w:t xml:space="preserve"> in the footnote</w:t>
      </w:r>
      <w:r w:rsidR="00D05B06">
        <w:t xml:space="preserve">. The conference amended this footnote </w:t>
      </w:r>
      <w:r w:rsidR="00BA42B1">
        <w:t>making it</w:t>
      </w:r>
      <w:r w:rsidR="00375AC2">
        <w:t xml:space="preserve"> </w:t>
      </w:r>
      <w:r w:rsidR="00D05B06">
        <w:t>into a generic</w:t>
      </w:r>
      <w:r w:rsidR="00DA6699">
        <w:t xml:space="preserve"> one</w:t>
      </w:r>
      <w:r w:rsidR="00D05B06">
        <w:t xml:space="preserve">, applicable </w:t>
      </w:r>
      <w:r w:rsidR="00D441E8">
        <w:t>to all of Region</w:t>
      </w:r>
      <w:r w:rsidR="005F0A80">
        <w:t> </w:t>
      </w:r>
      <w:r w:rsidR="00D441E8">
        <w:t>1</w:t>
      </w:r>
      <w:r w:rsidR="00375AC2">
        <w:t>.</w:t>
      </w:r>
      <w:r w:rsidR="00D05B06">
        <w:t xml:space="preserve"> </w:t>
      </w:r>
      <w:r w:rsidR="00375AC2">
        <w:t>T</w:t>
      </w:r>
      <w:r w:rsidR="00024810">
        <w:t xml:space="preserve">his result is not </w:t>
      </w:r>
      <w:r w:rsidR="00375AC2">
        <w:t xml:space="preserve">strictly </w:t>
      </w:r>
      <w:r w:rsidR="00024810">
        <w:t xml:space="preserve">in line with the ICAO Position. </w:t>
      </w:r>
      <w:r w:rsidR="00DA6699">
        <w:t>T</w:t>
      </w:r>
      <w:r w:rsidR="00024810">
        <w:t xml:space="preserve">his is not considered a </w:t>
      </w:r>
      <w:r w:rsidR="00375AC2">
        <w:t>major issue</w:t>
      </w:r>
      <w:r w:rsidR="00DA6699">
        <w:t xml:space="preserve"> however</w:t>
      </w:r>
      <w:r w:rsidR="00024810">
        <w:t xml:space="preserve">, as the footnote calls for coordination under No. </w:t>
      </w:r>
      <w:r w:rsidR="00024810">
        <w:rPr>
          <w:b/>
          <w:bCs/>
        </w:rPr>
        <w:t>9.21</w:t>
      </w:r>
      <w:r w:rsidR="00024810">
        <w:t xml:space="preserve"> and provides protection values for the FSS</w:t>
      </w:r>
      <w:r w:rsidR="00375AC2">
        <w:t xml:space="preserve">, and </w:t>
      </w:r>
      <w:r w:rsidR="00024810">
        <w:t xml:space="preserve">should be seen in context with </w:t>
      </w:r>
      <w:r w:rsidR="00D441E8">
        <w:t xml:space="preserve">modifications to </w:t>
      </w:r>
      <w:r w:rsidR="00024810">
        <w:t xml:space="preserve">Resolution </w:t>
      </w:r>
      <w:r w:rsidR="00024810" w:rsidRPr="00024810">
        <w:rPr>
          <w:b/>
          <w:bCs/>
        </w:rPr>
        <w:t>154</w:t>
      </w:r>
      <w:r w:rsidR="00024810">
        <w:t>, discussed under agenda item 9.1.5</w:t>
      </w:r>
      <w:r w:rsidR="00375AC2">
        <w:t xml:space="preserve"> which support stricter adherence to the conditions of No. </w:t>
      </w:r>
      <w:r w:rsidR="00375AC2">
        <w:rPr>
          <w:b/>
          <w:bCs/>
        </w:rPr>
        <w:t>5.430A</w:t>
      </w:r>
      <w:r w:rsidR="00024810">
        <w:t>.</w:t>
      </w:r>
      <w:r w:rsidR="00D05B06">
        <w:t xml:space="preserve"> </w:t>
      </w:r>
    </w:p>
    <w:p w:rsidR="0069119B" w:rsidRPr="0069119B" w:rsidRDefault="0069119B" w:rsidP="00537BD7">
      <w:pPr>
        <w:pStyle w:val="2Para"/>
        <w:numPr>
          <w:ilvl w:val="1"/>
          <w:numId w:val="17"/>
        </w:numPr>
        <w:ind w:left="0" w:firstLine="0"/>
      </w:pPr>
      <w:r w:rsidRPr="0069119B">
        <w:t>The band 4</w:t>
      </w:r>
      <w:r w:rsidR="00AB488C">
        <w:t> </w:t>
      </w:r>
      <w:r w:rsidRPr="0069119B">
        <w:t>200</w:t>
      </w:r>
      <w:r w:rsidR="00AB488C">
        <w:t> – </w:t>
      </w:r>
      <w:r w:rsidRPr="0069119B">
        <w:t>4</w:t>
      </w:r>
      <w:r w:rsidR="00AB488C">
        <w:t> </w:t>
      </w:r>
      <w:r w:rsidRPr="0069119B">
        <w:t>400</w:t>
      </w:r>
      <w:r w:rsidR="00AB488C">
        <w:t> </w:t>
      </w:r>
      <w:r w:rsidRPr="0069119B">
        <w:t>MHz i</w:t>
      </w:r>
      <w:r w:rsidR="00AB488C">
        <w:t xml:space="preserve">s reserved for use by airborne </w:t>
      </w:r>
      <w:r w:rsidR="00950E05">
        <w:t>radio a</w:t>
      </w:r>
      <w:r w:rsidRPr="0069119B">
        <w:t>ltimeters. Footnote No. </w:t>
      </w:r>
      <w:r w:rsidRPr="0069119B">
        <w:rPr>
          <w:b/>
        </w:rPr>
        <w:t>5.439</w:t>
      </w:r>
      <w:r w:rsidRPr="0069119B">
        <w:t xml:space="preserve"> allows the operation of the fixed service in this band on a secondary basis</w:t>
      </w:r>
      <w:r>
        <w:t>.</w:t>
      </w:r>
      <w:r w:rsidR="00AB488C">
        <w:t xml:space="preserve"> </w:t>
      </w:r>
      <w:r w:rsidR="00950E05">
        <w:t>R</w:t>
      </w:r>
      <w:r w:rsidR="00AB488C">
        <w:t xml:space="preserve">adio </w:t>
      </w:r>
      <w:r w:rsidR="00950E05">
        <w:t>a</w:t>
      </w:r>
      <w:r w:rsidR="00950E05" w:rsidRPr="0069119B">
        <w:t xml:space="preserve">ltimeters </w:t>
      </w:r>
      <w:r w:rsidRPr="0069119B">
        <w:t xml:space="preserve">are a critical element in aircraft automatic landing systems and serve as a sensor in ground proximity warning </w:t>
      </w:r>
      <w:r w:rsidRPr="0069119B">
        <w:lastRenderedPageBreak/>
        <w:t>systems. The ICAO Position recommend</w:t>
      </w:r>
      <w:r>
        <w:t>s deletion of this footnote. Iran (Islamic Republic of) is the one single country remaining in this footnote</w:t>
      </w:r>
      <w:r w:rsidRPr="0069119B">
        <w:t>.</w:t>
      </w:r>
    </w:p>
    <w:p w:rsidR="005359AC" w:rsidRPr="005359AC" w:rsidRDefault="00BB6B14" w:rsidP="005F0A80">
      <w:pPr>
        <w:pStyle w:val="ListParagraph"/>
        <w:numPr>
          <w:ilvl w:val="0"/>
          <w:numId w:val="17"/>
        </w:numPr>
        <w:ind w:left="709" w:hanging="709"/>
        <w:rPr>
          <w:b/>
          <w:bCs/>
          <w:lang w:val="en-CA"/>
        </w:rPr>
      </w:pPr>
      <w:r w:rsidRPr="00CA16BF">
        <w:rPr>
          <w:b/>
        </w:rPr>
        <w:t xml:space="preserve">Agenda Item </w:t>
      </w:r>
      <w:r>
        <w:rPr>
          <w:b/>
        </w:rPr>
        <w:t>9.1</w:t>
      </w:r>
      <w:r w:rsidRPr="00CA16BF">
        <w:rPr>
          <w:b/>
        </w:rPr>
        <w:t>:</w:t>
      </w:r>
      <w:r>
        <w:t xml:space="preserve"> </w:t>
      </w:r>
      <w:r w:rsidR="005359AC" w:rsidRPr="005359AC">
        <w:rPr>
          <w:b/>
          <w:bCs/>
          <w:lang w:val="en-CA"/>
        </w:rPr>
        <w:t>To consider and approve the Report of the Director of the Radiocommunication Bureau, in accordance with Article 7 of the Convention:</w:t>
      </w:r>
    </w:p>
    <w:p w:rsidR="005359AC" w:rsidRDefault="005359AC" w:rsidP="005F0A80">
      <w:pPr>
        <w:ind w:left="709" w:hanging="709"/>
        <w:rPr>
          <w:b/>
          <w:bCs/>
          <w:lang w:val="en-CA"/>
        </w:rPr>
      </w:pPr>
      <w:r w:rsidRPr="005359AC">
        <w:rPr>
          <w:b/>
          <w:bCs/>
          <w:lang w:val="en-CA"/>
        </w:rPr>
        <w:tab/>
      </w:r>
      <w:r w:rsidR="005F0A80">
        <w:rPr>
          <w:b/>
          <w:bCs/>
          <w:lang w:val="en-CA"/>
        </w:rPr>
        <w:t>O</w:t>
      </w:r>
      <w:r w:rsidRPr="005359AC">
        <w:rPr>
          <w:b/>
          <w:bCs/>
          <w:lang w:val="en-CA"/>
        </w:rPr>
        <w:t>n the activities of the Radiocommunication Sector since WRC-12.</w:t>
      </w:r>
    </w:p>
    <w:p w:rsidR="00E13B7F" w:rsidRDefault="00E13B7F" w:rsidP="005359AC">
      <w:pPr>
        <w:rPr>
          <w:b/>
          <w:bCs/>
          <w:lang w:val="en-CA"/>
        </w:rPr>
      </w:pPr>
    </w:p>
    <w:p w:rsidR="005359AC" w:rsidRDefault="005359AC" w:rsidP="002B5F1E">
      <w:pPr>
        <w:pStyle w:val="ListParagraph"/>
        <w:numPr>
          <w:ilvl w:val="1"/>
          <w:numId w:val="17"/>
        </w:numPr>
        <w:ind w:left="709" w:hanging="709"/>
        <w:rPr>
          <w:b/>
          <w:bCs/>
          <w:szCs w:val="22"/>
          <w:lang w:val="en-CA"/>
        </w:rPr>
      </w:pPr>
      <w:r w:rsidRPr="005359AC">
        <w:rPr>
          <w:b/>
          <w:bCs/>
          <w:szCs w:val="22"/>
          <w:lang w:val="en-CA"/>
        </w:rPr>
        <w:t>Sub-item 1 (9.1</w:t>
      </w:r>
      <w:r>
        <w:rPr>
          <w:b/>
          <w:bCs/>
          <w:szCs w:val="22"/>
          <w:lang w:val="en-CA"/>
        </w:rPr>
        <w:t xml:space="preserve">.1): </w:t>
      </w:r>
      <w:r w:rsidRPr="005359AC">
        <w:rPr>
          <w:b/>
          <w:bCs/>
          <w:szCs w:val="22"/>
          <w:lang w:val="en-CA"/>
        </w:rPr>
        <w:t>Resolution 205 – Protection of the systems operating in the mobile-satellite service in the band 406</w:t>
      </w:r>
      <w:r w:rsidRPr="005359AC">
        <w:rPr>
          <w:szCs w:val="22"/>
          <w:lang w:val="en-CA"/>
        </w:rPr>
        <w:t> –</w:t>
      </w:r>
      <w:r w:rsidRPr="005359AC">
        <w:rPr>
          <w:b/>
          <w:bCs/>
          <w:szCs w:val="22"/>
          <w:lang w:val="en-CA"/>
        </w:rPr>
        <w:t>406.1 MHz</w:t>
      </w:r>
      <w:r w:rsidR="00552C88">
        <w:rPr>
          <w:b/>
          <w:bCs/>
          <w:szCs w:val="22"/>
          <w:lang w:val="en-CA"/>
        </w:rPr>
        <w:t>.</w:t>
      </w:r>
    </w:p>
    <w:p w:rsidR="00E13B7F" w:rsidRPr="00E13B7F" w:rsidRDefault="00E13B7F" w:rsidP="005F0A80">
      <w:pPr>
        <w:pStyle w:val="2Para"/>
        <w:numPr>
          <w:ilvl w:val="2"/>
          <w:numId w:val="17"/>
        </w:numPr>
        <w:ind w:left="0" w:firstLine="0"/>
      </w:pPr>
      <w:r>
        <w:rPr>
          <w:iCs/>
        </w:rPr>
        <w:t>Emergency locating transmitters (ELT) are an element of the C</w:t>
      </w:r>
      <w:r w:rsidR="009D12B1">
        <w:rPr>
          <w:iCs/>
        </w:rPr>
        <w:t>OSPAS</w:t>
      </w:r>
      <w:r>
        <w:rPr>
          <w:iCs/>
        </w:rPr>
        <w:t>-S</w:t>
      </w:r>
      <w:r w:rsidR="009D12B1">
        <w:rPr>
          <w:iCs/>
        </w:rPr>
        <w:t>ARSAT</w:t>
      </w:r>
      <w:r>
        <w:rPr>
          <w:iCs/>
        </w:rPr>
        <w:t xml:space="preserve"> system.  Mandatory carriage of ELTs for aircraft is specified in Annex 6 to the ICAO Convention and SARPs for ELTs are contained in Annex 10. The ICAO Position on this agenda item was to support increased protection of the C</w:t>
      </w:r>
      <w:r w:rsidR="009D12B1">
        <w:rPr>
          <w:iCs/>
        </w:rPr>
        <w:t>OSPAS</w:t>
      </w:r>
      <w:r>
        <w:rPr>
          <w:iCs/>
        </w:rPr>
        <w:t>-S</w:t>
      </w:r>
      <w:r w:rsidR="009D12B1">
        <w:rPr>
          <w:iCs/>
        </w:rPr>
        <w:t>ARSAT</w:t>
      </w:r>
      <w:r>
        <w:rPr>
          <w:iCs/>
        </w:rPr>
        <w:t xml:space="preserve"> system in the frequency band 406 – 406.1 MHz.</w:t>
      </w:r>
    </w:p>
    <w:p w:rsidR="00E13B7F" w:rsidRPr="001A118E" w:rsidRDefault="00E13B7F" w:rsidP="005F0A80">
      <w:pPr>
        <w:pStyle w:val="2Para"/>
        <w:numPr>
          <w:ilvl w:val="2"/>
          <w:numId w:val="17"/>
        </w:numPr>
        <w:ind w:left="0" w:firstLine="0"/>
      </w:pPr>
      <w:r>
        <w:rPr>
          <w:iCs/>
        </w:rPr>
        <w:t xml:space="preserve">The conference modified Resolution </w:t>
      </w:r>
      <w:r w:rsidRPr="00F10329">
        <w:rPr>
          <w:b/>
          <w:iCs/>
        </w:rPr>
        <w:t>205</w:t>
      </w:r>
      <w:r>
        <w:rPr>
          <w:bCs/>
          <w:iCs/>
        </w:rPr>
        <w:t>,</w:t>
      </w:r>
      <w:r>
        <w:rPr>
          <w:iCs/>
        </w:rPr>
        <w:t xml:space="preserve"> addressing the protection of </w:t>
      </w:r>
      <w:r w:rsidR="009D12B1">
        <w:rPr>
          <w:iCs/>
        </w:rPr>
        <w:t>COSPAS-SARSAT</w:t>
      </w:r>
      <w:r>
        <w:rPr>
          <w:iCs/>
        </w:rPr>
        <w:t xml:space="preserve">. The modified provisions request Administrations not to make new frequency assignments in a guard band of 100 kHz around the allocation of 406 – 406.1 MHz, used for </w:t>
      </w:r>
      <w:r w:rsidR="009D12B1">
        <w:rPr>
          <w:iCs/>
        </w:rPr>
        <w:t>COSPAS-SARSAT</w:t>
      </w:r>
      <w:r>
        <w:rPr>
          <w:iCs/>
        </w:rPr>
        <w:t>. This fully satisfies the concerns expressed in the ICAO Position.</w:t>
      </w:r>
    </w:p>
    <w:p w:rsidR="005359AC" w:rsidRDefault="005359AC" w:rsidP="002B5F1E">
      <w:pPr>
        <w:pStyle w:val="ListParagraph"/>
        <w:numPr>
          <w:ilvl w:val="1"/>
          <w:numId w:val="17"/>
        </w:numPr>
        <w:ind w:left="709" w:hanging="709"/>
        <w:rPr>
          <w:b/>
          <w:bCs/>
          <w:iCs/>
          <w:szCs w:val="22"/>
          <w:lang w:val="en-CA"/>
        </w:rPr>
      </w:pPr>
      <w:r w:rsidRPr="005359AC">
        <w:rPr>
          <w:b/>
          <w:bCs/>
          <w:szCs w:val="22"/>
          <w:lang w:val="en-CA"/>
        </w:rPr>
        <w:t>Sub-item 5 (9.1.5):</w:t>
      </w:r>
      <w:r>
        <w:rPr>
          <w:b/>
          <w:bCs/>
          <w:szCs w:val="22"/>
          <w:lang w:val="en-CA"/>
        </w:rPr>
        <w:t xml:space="preserve"> </w:t>
      </w:r>
      <w:r w:rsidRPr="005359AC">
        <w:rPr>
          <w:b/>
          <w:iCs/>
          <w:szCs w:val="22"/>
          <w:lang w:val="en-CA"/>
        </w:rPr>
        <w:t>Consideration of technical and regulatory actions in order to support existing and future operation of fixed-satellite service earth stations within the band 3 400</w:t>
      </w:r>
      <w:r w:rsidRPr="005359AC">
        <w:rPr>
          <w:iCs/>
          <w:szCs w:val="22"/>
          <w:lang w:val="en-CA"/>
        </w:rPr>
        <w:t> – </w:t>
      </w:r>
      <w:r w:rsidRPr="005359AC">
        <w:rPr>
          <w:b/>
          <w:iCs/>
          <w:szCs w:val="22"/>
          <w:lang w:val="en-CA"/>
        </w:rPr>
        <w:t xml:space="preserve">4 200 MHz, as an aid to the safe operation of aircraft and reliable distribution of meteorological information in some countries in Region 1 (Resolution </w:t>
      </w:r>
      <w:r w:rsidRPr="005359AC">
        <w:rPr>
          <w:rFonts w:ascii="Times New Roman Bold" w:hAnsi="Times New Roman Bold" w:cs="Times New Roman Bold"/>
          <w:b/>
          <w:bCs/>
          <w:iCs/>
          <w:szCs w:val="22"/>
          <w:lang w:val="en-CA"/>
        </w:rPr>
        <w:t>154</w:t>
      </w:r>
      <w:r w:rsidRPr="005359AC">
        <w:rPr>
          <w:b/>
          <w:bCs/>
          <w:iCs/>
          <w:szCs w:val="22"/>
          <w:lang w:val="en-CA"/>
        </w:rPr>
        <w:t xml:space="preserve"> (WRC-12))</w:t>
      </w:r>
      <w:r w:rsidR="00552C88">
        <w:rPr>
          <w:b/>
          <w:bCs/>
          <w:iCs/>
          <w:szCs w:val="22"/>
          <w:lang w:val="en-CA"/>
        </w:rPr>
        <w:t>.</w:t>
      </w:r>
    </w:p>
    <w:p w:rsidR="00D222EC" w:rsidRPr="00D222EC" w:rsidRDefault="00D222EC" w:rsidP="00286BE0">
      <w:pPr>
        <w:pStyle w:val="2Para"/>
        <w:numPr>
          <w:ilvl w:val="2"/>
          <w:numId w:val="17"/>
        </w:numPr>
        <w:ind w:left="0" w:firstLine="0"/>
      </w:pPr>
      <w:r>
        <w:rPr>
          <w:iCs/>
        </w:rPr>
        <w:t>The efficient provision of air navigation services requires the implementation and operation of ground communications infrastructure with high availability, reliability and integrity in order to fulfil aviation performance requirements. In the Africa and Indian Ocean Region, the difficulty of fulfilling these requirements, given the extent of the airspace and weakness in terrestrial communication infrastructure, led, in 1997, the ICAO AFI Planning and Implementation Regional Group to approve the use of fixed satellite technology (VSAT)</w:t>
      </w:r>
      <w:r w:rsidR="004C6875">
        <w:rPr>
          <w:iCs/>
        </w:rPr>
        <w:t xml:space="preserve"> operating under the Fixed Satellite Service (FSS)</w:t>
      </w:r>
      <w:r>
        <w:rPr>
          <w:iCs/>
        </w:rPr>
        <w:t xml:space="preserve"> to support terrestrial aeronautical communications services in the frequency </w:t>
      </w:r>
      <w:r w:rsidR="00F559B3">
        <w:rPr>
          <w:iCs/>
        </w:rPr>
        <w:t>range</w:t>
      </w:r>
      <w:r>
        <w:rPr>
          <w:iCs/>
        </w:rPr>
        <w:t xml:space="preserve"> 3.4 – 4.2 GHz. In tropical regions, due to more pronounced rain attenuation at higher frequency bands, this frequency </w:t>
      </w:r>
      <w:r w:rsidR="0038086E">
        <w:rPr>
          <w:iCs/>
        </w:rPr>
        <w:t xml:space="preserve">range </w:t>
      </w:r>
      <w:r>
        <w:rPr>
          <w:iCs/>
        </w:rPr>
        <w:t>remains the only viable option for satellite links with high availability.</w:t>
      </w:r>
    </w:p>
    <w:p w:rsidR="00D222EC" w:rsidRPr="00DD6684" w:rsidRDefault="00D222EC" w:rsidP="003507D6">
      <w:pPr>
        <w:pStyle w:val="2Para"/>
        <w:numPr>
          <w:ilvl w:val="2"/>
          <w:numId w:val="17"/>
        </w:numPr>
        <w:ind w:left="0" w:firstLine="0"/>
      </w:pPr>
      <w:r>
        <w:rPr>
          <w:iCs/>
        </w:rPr>
        <w:t xml:space="preserve">The ICAO Position under this agenda item was to support possible technical and regulatory protection of VSATs used for the transmission of aeronautical and meteorological information in the frequency range 3.4 – 4.2 GHz from other services operating in </w:t>
      </w:r>
      <w:r w:rsidR="0038086E">
        <w:rPr>
          <w:iCs/>
        </w:rPr>
        <w:t xml:space="preserve">frequency bands within </w:t>
      </w:r>
      <w:r>
        <w:rPr>
          <w:iCs/>
        </w:rPr>
        <w:t>the same or adjacent frequency range.</w:t>
      </w:r>
    </w:p>
    <w:p w:rsidR="00DD6684" w:rsidRPr="00791F55" w:rsidRDefault="00647438" w:rsidP="004B4673">
      <w:pPr>
        <w:pStyle w:val="2Para"/>
        <w:numPr>
          <w:ilvl w:val="2"/>
          <w:numId w:val="17"/>
        </w:numPr>
        <w:ind w:left="0" w:firstLine="0"/>
      </w:pPr>
      <w:r>
        <w:rPr>
          <w:iCs/>
        </w:rPr>
        <w:t>While the frequency band 3.4 – 3.6 GHz is allocated to the F</w:t>
      </w:r>
      <w:r w:rsidR="004C6875">
        <w:rPr>
          <w:iCs/>
        </w:rPr>
        <w:t>SS</w:t>
      </w:r>
      <w:r>
        <w:rPr>
          <w:iCs/>
        </w:rPr>
        <w:t xml:space="preserve"> on a Primary basis, it is also allocated to the Mobile service, identified for International Mobile Telecommunications (IMT), through Footnote</w:t>
      </w:r>
      <w:r w:rsidR="00DD6684">
        <w:rPr>
          <w:iCs/>
        </w:rPr>
        <w:t xml:space="preserve"> No. </w:t>
      </w:r>
      <w:r w:rsidR="00DD6684">
        <w:rPr>
          <w:b/>
          <w:bCs/>
          <w:iCs/>
        </w:rPr>
        <w:t>5.430A</w:t>
      </w:r>
      <w:r>
        <w:rPr>
          <w:iCs/>
        </w:rPr>
        <w:t xml:space="preserve">. This footnote requires that use by the IMT is coordinated under </w:t>
      </w:r>
      <w:r w:rsidR="000151A2">
        <w:rPr>
          <w:iCs/>
        </w:rPr>
        <w:t xml:space="preserve">No. </w:t>
      </w:r>
      <w:r>
        <w:rPr>
          <w:b/>
          <w:bCs/>
          <w:iCs/>
        </w:rPr>
        <w:t>9.21</w:t>
      </w:r>
      <w:r>
        <w:rPr>
          <w:iCs/>
        </w:rPr>
        <w:t xml:space="preserve"> and that the power flux-density received by the satellite terminals does not exceed a harmf</w:t>
      </w:r>
      <w:r w:rsidR="00791F55">
        <w:rPr>
          <w:iCs/>
        </w:rPr>
        <w:t xml:space="preserve">ul value at the border of States </w:t>
      </w:r>
      <w:r w:rsidR="001C7B2B">
        <w:rPr>
          <w:iCs/>
        </w:rPr>
        <w:t xml:space="preserve">which are </w:t>
      </w:r>
      <w:r w:rsidR="00791F55">
        <w:rPr>
          <w:iCs/>
        </w:rPr>
        <w:t xml:space="preserve">not party to such coordination. Prior to this conference, No. </w:t>
      </w:r>
      <w:r w:rsidR="00791F55">
        <w:rPr>
          <w:b/>
          <w:bCs/>
          <w:iCs/>
        </w:rPr>
        <w:t>5.430A</w:t>
      </w:r>
      <w:r w:rsidR="00791F55">
        <w:rPr>
          <w:iCs/>
        </w:rPr>
        <w:t xml:space="preserve"> was limited to certain </w:t>
      </w:r>
      <w:r w:rsidR="00DD6684">
        <w:rPr>
          <w:iCs/>
        </w:rPr>
        <w:t xml:space="preserve">countries in Region 1, including a large number of countries in Africa, </w:t>
      </w:r>
      <w:r w:rsidR="00791F55">
        <w:rPr>
          <w:iCs/>
        </w:rPr>
        <w:t xml:space="preserve">now it has been </w:t>
      </w:r>
      <w:r w:rsidR="00DD6684">
        <w:rPr>
          <w:iCs/>
        </w:rPr>
        <w:t>changed into a generic footnote applicable to all of Region 1.</w:t>
      </w:r>
    </w:p>
    <w:p w:rsidR="009A0C13" w:rsidRPr="009A0C13" w:rsidRDefault="00791F55" w:rsidP="004B4673">
      <w:pPr>
        <w:pStyle w:val="2Para"/>
        <w:numPr>
          <w:ilvl w:val="2"/>
          <w:numId w:val="17"/>
        </w:numPr>
        <w:ind w:left="0" w:firstLine="0"/>
      </w:pPr>
      <w:r>
        <w:rPr>
          <w:iCs/>
        </w:rPr>
        <w:t xml:space="preserve">The main difficulty </w:t>
      </w:r>
      <w:r w:rsidR="0038086E">
        <w:rPr>
          <w:iCs/>
        </w:rPr>
        <w:t xml:space="preserve">that </w:t>
      </w:r>
      <w:r w:rsidR="004C6875">
        <w:rPr>
          <w:iCs/>
        </w:rPr>
        <w:t xml:space="preserve">aeronautical </w:t>
      </w:r>
      <w:r>
        <w:rPr>
          <w:iCs/>
        </w:rPr>
        <w:t>VSAT operations have been facing is th</w:t>
      </w:r>
      <w:r w:rsidR="001C7B2B">
        <w:rPr>
          <w:iCs/>
        </w:rPr>
        <w:t xml:space="preserve">e lack of sufficient </w:t>
      </w:r>
      <w:r>
        <w:rPr>
          <w:iCs/>
        </w:rPr>
        <w:t>measures to protect them</w:t>
      </w:r>
      <w:r w:rsidR="001C7B2B">
        <w:rPr>
          <w:iCs/>
        </w:rPr>
        <w:t xml:space="preserve"> by </w:t>
      </w:r>
      <w:r w:rsidR="0038086E">
        <w:rPr>
          <w:iCs/>
        </w:rPr>
        <w:t xml:space="preserve">National Administrations </w:t>
      </w:r>
      <w:r w:rsidR="001C7B2B">
        <w:rPr>
          <w:iCs/>
        </w:rPr>
        <w:t xml:space="preserve">when licensing IMT or other services to </w:t>
      </w:r>
      <w:r w:rsidR="001C7B2B">
        <w:rPr>
          <w:iCs/>
        </w:rPr>
        <w:lastRenderedPageBreak/>
        <w:t>co-share the band</w:t>
      </w:r>
      <w:r w:rsidR="004C6875">
        <w:rPr>
          <w:iCs/>
        </w:rPr>
        <w:t>.</w:t>
      </w:r>
      <w:r>
        <w:rPr>
          <w:iCs/>
        </w:rPr>
        <w:t xml:space="preserve"> </w:t>
      </w:r>
      <w:r w:rsidR="004C6875">
        <w:rPr>
          <w:iCs/>
        </w:rPr>
        <w:t>This has resulted in</w:t>
      </w:r>
      <w:r>
        <w:rPr>
          <w:iCs/>
        </w:rPr>
        <w:t xml:space="preserve"> a number of cases where harmful interference </w:t>
      </w:r>
      <w:r w:rsidR="004C6875">
        <w:rPr>
          <w:iCs/>
        </w:rPr>
        <w:t xml:space="preserve">to aeronautical VSATs </w:t>
      </w:r>
      <w:r>
        <w:rPr>
          <w:iCs/>
        </w:rPr>
        <w:t xml:space="preserve">has occurred. </w:t>
      </w:r>
      <w:r w:rsidR="004C6875">
        <w:rPr>
          <w:iCs/>
        </w:rPr>
        <w:t>To address this issue, t</w:t>
      </w:r>
      <w:r w:rsidR="009A0C13">
        <w:rPr>
          <w:iCs/>
        </w:rPr>
        <w:t>he conference modified</w:t>
      </w:r>
      <w:r>
        <w:rPr>
          <w:iCs/>
        </w:rPr>
        <w:t xml:space="preserve"> Resolution </w:t>
      </w:r>
      <w:r>
        <w:rPr>
          <w:b/>
          <w:bCs/>
          <w:iCs/>
        </w:rPr>
        <w:t>154</w:t>
      </w:r>
      <w:r w:rsidR="009A0C13">
        <w:rPr>
          <w:iCs/>
        </w:rPr>
        <w:t xml:space="preserve">.  </w:t>
      </w:r>
    </w:p>
    <w:p w:rsidR="001365AD" w:rsidRPr="001365AD" w:rsidRDefault="009A0C13" w:rsidP="004B4673">
      <w:pPr>
        <w:pStyle w:val="2Para"/>
        <w:numPr>
          <w:ilvl w:val="2"/>
          <w:numId w:val="17"/>
        </w:numPr>
        <w:ind w:left="0" w:firstLine="0"/>
      </w:pPr>
      <w:r>
        <w:rPr>
          <w:iCs/>
        </w:rPr>
        <w:t xml:space="preserve">Resolution </w:t>
      </w:r>
      <w:r>
        <w:rPr>
          <w:b/>
          <w:bCs/>
          <w:iCs/>
        </w:rPr>
        <w:t>154</w:t>
      </w:r>
      <w:r>
        <w:rPr>
          <w:iCs/>
        </w:rPr>
        <w:t xml:space="preserve"> (WRC-15) highlights the requirement that </w:t>
      </w:r>
      <w:r w:rsidR="0038086E">
        <w:rPr>
          <w:iCs/>
        </w:rPr>
        <w:t xml:space="preserve">Administrations </w:t>
      </w:r>
      <w:r>
        <w:rPr>
          <w:iCs/>
        </w:rPr>
        <w:t xml:space="preserve">in certain countries of Region 1 where the frequency band 3.4 – 3.6 GHz is allocated on a primary basis for use by the IMT, ensure compliance of those IMT stations with the relevant provisions of No. </w:t>
      </w:r>
      <w:r w:rsidRPr="009A0C13">
        <w:rPr>
          <w:b/>
          <w:bCs/>
          <w:iCs/>
        </w:rPr>
        <w:t>5.430A</w:t>
      </w:r>
      <w:r w:rsidR="004C6875">
        <w:rPr>
          <w:iCs/>
        </w:rPr>
        <w:t xml:space="preserve"> addressing</w:t>
      </w:r>
      <w:r>
        <w:rPr>
          <w:iCs/>
        </w:rPr>
        <w:t xml:space="preserve"> the protection needs of existing and planned </w:t>
      </w:r>
      <w:r w:rsidR="004C6875">
        <w:rPr>
          <w:iCs/>
        </w:rPr>
        <w:t>aeronautical and meteorological VSAT stations</w:t>
      </w:r>
      <w:r>
        <w:rPr>
          <w:iCs/>
        </w:rPr>
        <w:t xml:space="preserve"> in this frequency band, used as an aid to the safe operation of aircraft and reliable distribution of meteorological information. </w:t>
      </w:r>
      <w:r w:rsidR="00F005B2">
        <w:rPr>
          <w:iCs/>
        </w:rPr>
        <w:t>The Resolution</w:t>
      </w:r>
      <w:r>
        <w:rPr>
          <w:iCs/>
        </w:rPr>
        <w:t xml:space="preserve"> highlights the need to license the VSAT stations and register them in the </w:t>
      </w:r>
      <w:r w:rsidR="0038086E">
        <w:rPr>
          <w:iCs/>
        </w:rPr>
        <w:t xml:space="preserve">ITU </w:t>
      </w:r>
      <w:r>
        <w:rPr>
          <w:iCs/>
        </w:rPr>
        <w:t>Master International Frequency Register</w:t>
      </w:r>
      <w:r w:rsidR="001365AD">
        <w:rPr>
          <w:iCs/>
        </w:rPr>
        <w:t xml:space="preserve"> (MIFR)</w:t>
      </w:r>
      <w:r>
        <w:rPr>
          <w:iCs/>
        </w:rPr>
        <w:t xml:space="preserve">, to ensure that they are visible to all </w:t>
      </w:r>
      <w:r w:rsidR="0038086E">
        <w:rPr>
          <w:iCs/>
        </w:rPr>
        <w:t xml:space="preserve">Administrations </w:t>
      </w:r>
      <w:r>
        <w:rPr>
          <w:iCs/>
        </w:rPr>
        <w:t>concerned.</w:t>
      </w:r>
      <w:r w:rsidR="001365AD">
        <w:rPr>
          <w:iCs/>
        </w:rPr>
        <w:t xml:space="preserve">  </w:t>
      </w:r>
    </w:p>
    <w:p w:rsidR="00D222EC" w:rsidRPr="00E13B7F" w:rsidRDefault="001365AD" w:rsidP="004B4673">
      <w:pPr>
        <w:pStyle w:val="2Para"/>
        <w:numPr>
          <w:ilvl w:val="2"/>
          <w:numId w:val="17"/>
        </w:numPr>
        <w:ind w:left="0" w:firstLine="0"/>
      </w:pPr>
      <w:r>
        <w:rPr>
          <w:iCs/>
        </w:rPr>
        <w:t xml:space="preserve">The </w:t>
      </w:r>
      <w:r w:rsidR="00F005B2">
        <w:rPr>
          <w:iCs/>
        </w:rPr>
        <w:t xml:space="preserve">modification to Resolution </w:t>
      </w:r>
      <w:r w:rsidR="00F005B2" w:rsidRPr="00BD33BF">
        <w:rPr>
          <w:b/>
          <w:bCs/>
          <w:iCs/>
        </w:rPr>
        <w:t>154</w:t>
      </w:r>
      <w:r w:rsidR="00F005B2">
        <w:rPr>
          <w:iCs/>
        </w:rPr>
        <w:t xml:space="preserve"> developed by the conference</w:t>
      </w:r>
      <w:r>
        <w:rPr>
          <w:iCs/>
        </w:rPr>
        <w:t xml:space="preserve"> is fully in line with the ICAO Position. As a follow</w:t>
      </w:r>
      <w:r w:rsidR="004B4673">
        <w:rPr>
          <w:iCs/>
        </w:rPr>
        <w:t>-</w:t>
      </w:r>
      <w:r>
        <w:rPr>
          <w:iCs/>
        </w:rPr>
        <w:t>up measure, aviation service providers operating VSAT stations for the transmission of aeronautical and meteorological information should be encouraged to have their stations licensed and registered in the MIFR.</w:t>
      </w:r>
      <w:r w:rsidR="001C7B2B">
        <w:rPr>
          <w:iCs/>
        </w:rPr>
        <w:t xml:space="preserve"> It is expected that the same measures will help ameliorate </w:t>
      </w:r>
      <w:r w:rsidR="00F005B2">
        <w:rPr>
          <w:iCs/>
        </w:rPr>
        <w:t>similar</w:t>
      </w:r>
      <w:r w:rsidR="001C7B2B">
        <w:rPr>
          <w:iCs/>
        </w:rPr>
        <w:t xml:space="preserve"> issues, </w:t>
      </w:r>
      <w:r w:rsidR="00F005B2">
        <w:rPr>
          <w:iCs/>
        </w:rPr>
        <w:t xml:space="preserve">currently </w:t>
      </w:r>
      <w:r w:rsidR="001C7B2B">
        <w:rPr>
          <w:iCs/>
        </w:rPr>
        <w:t xml:space="preserve">experienced </w:t>
      </w:r>
      <w:r w:rsidR="00652DD8">
        <w:rPr>
          <w:iCs/>
        </w:rPr>
        <w:t xml:space="preserve">with the operation of aeronautical VSAT networks </w:t>
      </w:r>
      <w:r w:rsidR="001C7B2B">
        <w:rPr>
          <w:iCs/>
        </w:rPr>
        <w:t>in South and Central America</w:t>
      </w:r>
    </w:p>
    <w:p w:rsidR="005359AC" w:rsidRPr="005359AC" w:rsidRDefault="005359AC" w:rsidP="002B5F1E">
      <w:pPr>
        <w:pStyle w:val="ListParagraph"/>
        <w:keepNext/>
        <w:keepLines/>
        <w:numPr>
          <w:ilvl w:val="1"/>
          <w:numId w:val="17"/>
        </w:numPr>
        <w:ind w:left="709" w:hanging="709"/>
        <w:rPr>
          <w:b/>
          <w:bCs/>
          <w:szCs w:val="22"/>
          <w:lang w:val="en-CA"/>
        </w:rPr>
      </w:pPr>
      <w:r>
        <w:rPr>
          <w:b/>
          <w:bCs/>
          <w:szCs w:val="22"/>
          <w:lang w:val="en-CA"/>
        </w:rPr>
        <w:t xml:space="preserve">Sub-item 6 (9.1.6): </w:t>
      </w:r>
      <w:r w:rsidRPr="005359AC">
        <w:rPr>
          <w:b/>
          <w:bCs/>
          <w:szCs w:val="22"/>
          <w:lang w:val="en-CA"/>
        </w:rPr>
        <w:t xml:space="preserve">Resolution 957 – Studies towards review of the definitions of </w:t>
      </w:r>
      <w:r w:rsidRPr="005359AC">
        <w:rPr>
          <w:b/>
          <w:bCs/>
          <w:i/>
          <w:szCs w:val="22"/>
          <w:lang w:val="en-CA"/>
        </w:rPr>
        <w:t xml:space="preserve">fixed service, fixed station </w:t>
      </w:r>
      <w:r w:rsidRPr="005359AC">
        <w:rPr>
          <w:b/>
          <w:bCs/>
          <w:szCs w:val="22"/>
          <w:lang w:val="en-CA"/>
        </w:rPr>
        <w:t xml:space="preserve">and </w:t>
      </w:r>
      <w:r w:rsidRPr="005359AC">
        <w:rPr>
          <w:b/>
          <w:bCs/>
          <w:i/>
          <w:szCs w:val="22"/>
          <w:lang w:val="en-CA"/>
        </w:rPr>
        <w:t>mobile station</w:t>
      </w:r>
      <w:r w:rsidR="0012553F">
        <w:rPr>
          <w:b/>
          <w:bCs/>
          <w:i/>
          <w:szCs w:val="22"/>
          <w:lang w:val="en-CA"/>
        </w:rPr>
        <w:t>.</w:t>
      </w:r>
    </w:p>
    <w:p w:rsidR="00D21602" w:rsidRPr="00D21602" w:rsidRDefault="00D21602" w:rsidP="007309D9">
      <w:pPr>
        <w:pStyle w:val="2Para"/>
        <w:numPr>
          <w:ilvl w:val="2"/>
          <w:numId w:val="17"/>
        </w:numPr>
        <w:ind w:left="0" w:firstLine="0"/>
      </w:pPr>
      <w:r>
        <w:rPr>
          <w:iCs/>
        </w:rPr>
        <w:t xml:space="preserve">The definitions </w:t>
      </w:r>
      <w:r w:rsidR="00F559B3">
        <w:rPr>
          <w:iCs/>
        </w:rPr>
        <w:t xml:space="preserve">in the Radio Regulations for </w:t>
      </w:r>
      <w:r w:rsidR="00F559B3" w:rsidRPr="00F559B3">
        <w:rPr>
          <w:i/>
        </w:rPr>
        <w:t>fixed service</w:t>
      </w:r>
      <w:r w:rsidR="00F559B3">
        <w:rPr>
          <w:iCs/>
        </w:rPr>
        <w:t xml:space="preserve">, </w:t>
      </w:r>
      <w:r w:rsidR="00F559B3" w:rsidRPr="00F559B3">
        <w:rPr>
          <w:i/>
        </w:rPr>
        <w:t>fixed station</w:t>
      </w:r>
      <w:r w:rsidR="00F559B3">
        <w:rPr>
          <w:iCs/>
        </w:rPr>
        <w:t xml:space="preserve"> and </w:t>
      </w:r>
      <w:r w:rsidR="00F559B3" w:rsidRPr="00F559B3">
        <w:rPr>
          <w:i/>
        </w:rPr>
        <w:t>mobile station</w:t>
      </w:r>
      <w:r w:rsidR="00F559B3">
        <w:rPr>
          <w:iCs/>
        </w:rPr>
        <w:t xml:space="preserve"> </w:t>
      </w:r>
      <w:r>
        <w:rPr>
          <w:iCs/>
        </w:rPr>
        <w:t xml:space="preserve">are indirectly related to aeronautical services and hence any change </w:t>
      </w:r>
      <w:r w:rsidR="00B75FC0">
        <w:rPr>
          <w:iCs/>
        </w:rPr>
        <w:t>of these</w:t>
      </w:r>
      <w:r>
        <w:rPr>
          <w:iCs/>
        </w:rPr>
        <w:t xml:space="preserve"> definitions could have an impact on the interpretation of the definition of aeronautical mobile services. Hence the ICAO Position was to ensure that any change to the definitions would not adversely impact aviation. The conference did not make any modification to these definitions, an outcome fully in line with the ICAO Position.</w:t>
      </w:r>
    </w:p>
    <w:p w:rsidR="005359AC" w:rsidRPr="00E02585" w:rsidRDefault="005359AC" w:rsidP="007309D9">
      <w:pPr>
        <w:pStyle w:val="ListParagraph"/>
        <w:numPr>
          <w:ilvl w:val="0"/>
          <w:numId w:val="17"/>
        </w:numPr>
        <w:ind w:left="709" w:hanging="709"/>
        <w:rPr>
          <w:b/>
          <w:szCs w:val="22"/>
          <w:lang w:val="en-CA"/>
        </w:rPr>
      </w:pPr>
      <w:r w:rsidRPr="005359AC">
        <w:rPr>
          <w:b/>
          <w:bCs/>
          <w:lang w:val="en-CA"/>
        </w:rPr>
        <w:t xml:space="preserve">Global Flight Tracking, </w:t>
      </w:r>
      <w:r w:rsidRPr="005359AC">
        <w:rPr>
          <w:b/>
          <w:bCs/>
        </w:rPr>
        <w:t>Resolution 185 (Busan, 2014): To instruct WRC-15, pursuant to No. 119 of the ITU Convention, to include in its agenda, as a matter of urgency, the consideration of global flight tracking, including, if appropriate, and consistent with ITU practices, various aspects of the matter, taking into account ITU-R studies.</w:t>
      </w:r>
    </w:p>
    <w:p w:rsidR="0096763E" w:rsidRPr="0096763E" w:rsidRDefault="00E02585" w:rsidP="00537BD7">
      <w:pPr>
        <w:pStyle w:val="2Para"/>
        <w:numPr>
          <w:ilvl w:val="1"/>
          <w:numId w:val="17"/>
        </w:numPr>
        <w:ind w:left="0" w:firstLine="0"/>
      </w:pPr>
      <w:r w:rsidRPr="00537BD7">
        <w:rPr>
          <w:lang w:val="en-US"/>
        </w:rPr>
        <w:t xml:space="preserve">One of the reasons why aviation has consistently improved upon its levels of safety and efficiency over the decades has been its willingness to invest significant effort and resources to learn important lessons – even from rare events. While </w:t>
      </w:r>
      <w:r w:rsidR="00E55479" w:rsidRPr="00CD5427">
        <w:rPr>
          <w:lang w:val="en-US"/>
        </w:rPr>
        <w:t xml:space="preserve">the year </w:t>
      </w:r>
      <w:r w:rsidRPr="00CD5427">
        <w:rPr>
          <w:lang w:val="en-US"/>
        </w:rPr>
        <w:t xml:space="preserve">2014 represented one of aviation’s safest years in terms of the number of accidents, the tragedy of Malaysia Airlines flight 370 in March 2014 highlighted vulnerabilities in the global air navigation system requiring urgent mitigation. </w:t>
      </w:r>
      <w:r w:rsidRPr="00537BD7">
        <w:rPr>
          <w:lang w:val="en-US"/>
        </w:rPr>
        <w:t>In order to address the</w:t>
      </w:r>
      <w:r w:rsidR="00F811B4">
        <w:rPr>
          <w:lang w:val="en-US"/>
        </w:rPr>
        <w:t>se</w:t>
      </w:r>
      <w:r w:rsidRPr="00537BD7">
        <w:rPr>
          <w:lang w:val="en-US"/>
        </w:rPr>
        <w:t xml:space="preserve"> vulnerabilities</w:t>
      </w:r>
      <w:r w:rsidRPr="00CD5427">
        <w:rPr>
          <w:lang w:val="en-US"/>
        </w:rPr>
        <w:t xml:space="preserve">, the aviation community embarked in a global effort to develop and implement a Global Aeronautical Distress and Safety System (GADSS) encompassing all phases of flight under all circumstances, including distress. </w:t>
      </w:r>
    </w:p>
    <w:p w:rsidR="0096763E" w:rsidRPr="0063175F" w:rsidRDefault="0096763E" w:rsidP="000D05F9">
      <w:pPr>
        <w:pStyle w:val="2Para"/>
        <w:numPr>
          <w:ilvl w:val="1"/>
          <w:numId w:val="17"/>
        </w:numPr>
        <w:ind w:left="0" w:firstLine="0"/>
      </w:pPr>
      <w:r>
        <w:t>U</w:t>
      </w:r>
      <w:r w:rsidRPr="0063175F">
        <w:t>pon the completion of a Special Meeting on Global Flight Tracking of Aircraft in Montr</w:t>
      </w:r>
      <w:r w:rsidR="007309D9">
        <w:t>é</w:t>
      </w:r>
      <w:r w:rsidRPr="0063175F">
        <w:t xml:space="preserve">al, May 2014, </w:t>
      </w:r>
      <w:r>
        <w:t xml:space="preserve">ICAO </w:t>
      </w:r>
      <w:r w:rsidRPr="0063175F">
        <w:t xml:space="preserve">forged consensus among its Member States and the international air transport industry sector on the near-term priority to track airline flights, no matter their global location or destination. </w:t>
      </w:r>
      <w:r>
        <w:t>T</w:t>
      </w:r>
      <w:r w:rsidRPr="0063175F">
        <w:t xml:space="preserve">he ICAO Second High-level Safety Conference </w:t>
      </w:r>
      <w:r w:rsidR="000D05F9">
        <w:t xml:space="preserve">2015 </w:t>
      </w:r>
      <w:r w:rsidR="000D05F9" w:rsidRPr="0063175F">
        <w:t>(HLSC</w:t>
      </w:r>
      <w:r w:rsidR="000D05F9">
        <w:t xml:space="preserve"> 2015</w:t>
      </w:r>
      <w:r w:rsidR="000D05F9" w:rsidRPr="0063175F">
        <w:t xml:space="preserve">) </w:t>
      </w:r>
      <w:r w:rsidR="00E55479">
        <w:t xml:space="preserve">held </w:t>
      </w:r>
      <w:r w:rsidR="000D05F9">
        <w:t>from 2 to 5 </w:t>
      </w:r>
      <w:r w:rsidR="00E55479">
        <w:t xml:space="preserve">February </w:t>
      </w:r>
      <w:r w:rsidRPr="0063175F">
        <w:t>2015</w:t>
      </w:r>
      <w:r w:rsidR="00E55479">
        <w:t xml:space="preserve"> </w:t>
      </w:r>
      <w:r w:rsidRPr="0063175F">
        <w:t>noted existing technologies such as automatic dependent surveillance</w:t>
      </w:r>
      <w:r w:rsidR="00F811B4">
        <w:t> </w:t>
      </w:r>
      <w:r w:rsidR="00F811B4" w:rsidRPr="0063175F">
        <w:t>–</w:t>
      </w:r>
      <w:r w:rsidR="00F811B4">
        <w:t> </w:t>
      </w:r>
      <w:r w:rsidRPr="0063175F">
        <w:t>contract (ADS</w:t>
      </w:r>
      <w:r w:rsidR="000D05F9">
        <w:noBreakHyphen/>
      </w:r>
      <w:r w:rsidRPr="0063175F">
        <w:t xml:space="preserve">C) </w:t>
      </w:r>
      <w:r>
        <w:t>and</w:t>
      </w:r>
      <w:r w:rsidRPr="0063175F">
        <w:t xml:space="preserve"> future technologies that could support flight tracking in oceanic and remote airspace such as satellite-based ADS – broadcast (ADS-B). In this regard, the </w:t>
      </w:r>
      <w:r w:rsidR="00806BC5">
        <w:t>HLSC</w:t>
      </w:r>
      <w:r w:rsidRPr="0063175F">
        <w:t xml:space="preserve"> </w:t>
      </w:r>
      <w:r w:rsidR="000D05F9">
        <w:t xml:space="preserve">2015 </w:t>
      </w:r>
      <w:r w:rsidRPr="0063175F">
        <w:t xml:space="preserve">supported that ICAO should </w:t>
      </w:r>
      <w:r w:rsidRPr="0063175F">
        <w:lastRenderedPageBreak/>
        <w:t>encourage States and the ITU to discuss allocation requirements at WRC-15 to provide the necessary frequency spectrum allocations to enable global air traffic services (ATS) surveillance.</w:t>
      </w:r>
    </w:p>
    <w:p w:rsidR="008E4C5F" w:rsidRDefault="00E17410" w:rsidP="000D05F9">
      <w:pPr>
        <w:pStyle w:val="2Para"/>
        <w:numPr>
          <w:ilvl w:val="1"/>
          <w:numId w:val="17"/>
        </w:numPr>
        <w:ind w:left="0" w:firstLine="0"/>
      </w:pPr>
      <w:r>
        <w:rPr>
          <w:lang w:eastAsia="zh-CN"/>
        </w:rPr>
        <w:t>The issue of Global Flight Tracking was not on the initial agenda for WRC-15, however</w:t>
      </w:r>
      <w:r w:rsidR="000D05F9">
        <w:rPr>
          <w:lang w:eastAsia="zh-CN"/>
        </w:rPr>
        <w:t>,</w:t>
      </w:r>
      <w:r>
        <w:rPr>
          <w:lang w:eastAsia="zh-CN"/>
        </w:rPr>
        <w:t xml:space="preserve"> t</w:t>
      </w:r>
      <w:r w:rsidR="007B646A">
        <w:rPr>
          <w:lang w:eastAsia="zh-CN"/>
        </w:rPr>
        <w:t xml:space="preserve">he </w:t>
      </w:r>
      <w:r w:rsidR="00E02585" w:rsidRPr="00E02585">
        <w:rPr>
          <w:lang w:eastAsia="zh-CN"/>
        </w:rPr>
        <w:t>2014 Plenipotentiary Conference of the ITU (PP-14</w:t>
      </w:r>
      <w:r w:rsidR="00E55479">
        <w:rPr>
          <w:lang w:eastAsia="zh-CN"/>
        </w:rPr>
        <w:t>, October 2014</w:t>
      </w:r>
      <w:r w:rsidR="00E02585" w:rsidRPr="00E02585">
        <w:rPr>
          <w:lang w:eastAsia="zh-CN"/>
        </w:rPr>
        <w:t>) adopted</w:t>
      </w:r>
      <w:r>
        <w:rPr>
          <w:lang w:eastAsia="zh-CN"/>
        </w:rPr>
        <w:t xml:space="preserve"> </w:t>
      </w:r>
      <w:r w:rsidR="00E02585" w:rsidRPr="00E02585">
        <w:rPr>
          <w:lang w:eastAsia="zh-CN"/>
        </w:rPr>
        <w:t xml:space="preserve">Resolution </w:t>
      </w:r>
      <w:r w:rsidR="00E02585" w:rsidRPr="007247DA">
        <w:rPr>
          <w:b/>
          <w:bCs/>
          <w:lang w:eastAsia="zh-CN"/>
        </w:rPr>
        <w:t>185</w:t>
      </w:r>
      <w:r w:rsidR="00E02585" w:rsidRPr="00E02585">
        <w:rPr>
          <w:lang w:eastAsia="zh-CN"/>
        </w:rPr>
        <w:t xml:space="preserve"> </w:t>
      </w:r>
      <w:r w:rsidR="00E02585" w:rsidRPr="00E02585">
        <w:t>(Busan</w:t>
      </w:r>
      <w:r w:rsidR="00BD33BF" w:rsidRPr="00E02585">
        <w:t>,</w:t>
      </w:r>
      <w:r w:rsidR="00BD33BF">
        <w:t> </w:t>
      </w:r>
      <w:r w:rsidR="00E02585" w:rsidRPr="00E02585">
        <w:t>2014</w:t>
      </w:r>
      <w:r>
        <w:t xml:space="preserve">), instructing </w:t>
      </w:r>
      <w:r w:rsidR="00E02585" w:rsidRPr="00E02585">
        <w:t xml:space="preserve">WRC-15, pursuant to No. </w:t>
      </w:r>
      <w:r w:rsidR="00E02585" w:rsidRPr="007247DA">
        <w:rPr>
          <w:b/>
          <w:bCs/>
        </w:rPr>
        <w:t>119</w:t>
      </w:r>
      <w:r w:rsidR="00E02585" w:rsidRPr="00E02585">
        <w:t xml:space="preserve"> of the ITU Convention, </w:t>
      </w:r>
      <w:r w:rsidR="00F811B4">
        <w:t>“</w:t>
      </w:r>
      <w:r w:rsidR="00E02585" w:rsidRPr="00E02585">
        <w:t>to include in its agenda, as a matter of urgency, the consideration of global flight tracking, including, if appropriate, and consistent with ITU practices, various aspects of the matter, taki</w:t>
      </w:r>
      <w:r w:rsidR="00FF13F2">
        <w:t>ng into account ITU-R studies”.</w:t>
      </w:r>
    </w:p>
    <w:p w:rsidR="00EB2D24" w:rsidRDefault="007B646A" w:rsidP="000D05F9">
      <w:pPr>
        <w:pStyle w:val="2Para"/>
        <w:numPr>
          <w:ilvl w:val="1"/>
          <w:numId w:val="17"/>
        </w:numPr>
        <w:ind w:left="0" w:firstLine="0"/>
      </w:pPr>
      <w:r w:rsidRPr="008E4C5F">
        <w:rPr>
          <w:lang w:val="en-US"/>
        </w:rPr>
        <w:t xml:space="preserve">Global Flight Tracking is a fundamental component of the GADSS. One technology enabler for Global Flight Tracking builds on </w:t>
      </w:r>
      <w:r w:rsidRPr="00BC304E">
        <w:t>ADS-B, an existing technology already in use, whereby aircraft broadcast position reports at 1</w:t>
      </w:r>
      <w:r w:rsidR="00E55479">
        <w:t> </w:t>
      </w:r>
      <w:r w:rsidR="00E55479" w:rsidRPr="00BC304E">
        <w:t>090</w:t>
      </w:r>
      <w:r w:rsidR="00E55479">
        <w:t> </w:t>
      </w:r>
      <w:r w:rsidRPr="00BC304E">
        <w:t xml:space="preserve">MHz. </w:t>
      </w:r>
      <w:r w:rsidR="00E55479">
        <w:t>I</w:t>
      </w:r>
      <w:r w:rsidRPr="00BC304E">
        <w:t>n principle</w:t>
      </w:r>
      <w:r w:rsidR="00E55479">
        <w:t xml:space="preserve"> ADS-B</w:t>
      </w:r>
      <w:r w:rsidRPr="00BC304E">
        <w:t xml:space="preserve"> provides all the information required for GFT. The only component missing is </w:t>
      </w:r>
      <w:r w:rsidR="006863F1">
        <w:t xml:space="preserve">satellite reception, to provide </w:t>
      </w:r>
      <w:r w:rsidRPr="00BC304E">
        <w:t>the ability to receive those transmissions in remote, oceanic and polar regions, where flight tracking needs are most acute.</w:t>
      </w:r>
    </w:p>
    <w:p w:rsidR="00EB2D24" w:rsidRDefault="00B938A8" w:rsidP="000D05F9">
      <w:pPr>
        <w:pStyle w:val="2Para"/>
        <w:numPr>
          <w:ilvl w:val="1"/>
          <w:numId w:val="17"/>
        </w:numPr>
        <w:ind w:left="0" w:firstLine="0"/>
      </w:pPr>
      <w:r w:rsidRPr="00BC304E">
        <w:t>An important advantage of the satellite reception of ADS-B is that it leverages existing aircraft system capabilities without requiring additional transmitters or transmissions. Another important advantage of this technology is that due to already published mandates</w:t>
      </w:r>
      <w:r w:rsidR="00FD5DAE">
        <w:t xml:space="preserve"> in all Regions</w:t>
      </w:r>
      <w:r w:rsidRPr="00BC304E">
        <w:t xml:space="preserve">, </w:t>
      </w:r>
      <w:r w:rsidR="00FD5DAE">
        <w:t xml:space="preserve">large number of </w:t>
      </w:r>
      <w:r w:rsidRPr="00BC304E">
        <w:t>commercial aircraft will be required to carry ADS-B before 2020.</w:t>
      </w:r>
    </w:p>
    <w:p w:rsidR="00CC0226" w:rsidRDefault="00AF098C" w:rsidP="000D05F9">
      <w:pPr>
        <w:pStyle w:val="2Para"/>
        <w:numPr>
          <w:ilvl w:val="1"/>
          <w:numId w:val="17"/>
        </w:numPr>
        <w:ind w:left="0" w:firstLine="0"/>
      </w:pPr>
      <w:r>
        <w:t>1</w:t>
      </w:r>
      <w:r w:rsidR="00E55479">
        <w:t> </w:t>
      </w:r>
      <w:r>
        <w:t>090</w:t>
      </w:r>
      <w:r w:rsidR="00E55479">
        <w:t> </w:t>
      </w:r>
      <w:r>
        <w:t xml:space="preserve">MHz is </w:t>
      </w:r>
      <w:r w:rsidR="00EB2D24">
        <w:t xml:space="preserve">a highly loaded frequency. It </w:t>
      </w:r>
      <w:r>
        <w:t xml:space="preserve">used by the Secondary Surveillance Radar </w:t>
      </w:r>
      <w:r w:rsidR="00E17410">
        <w:t xml:space="preserve">(SSR) </w:t>
      </w:r>
      <w:r>
        <w:t xml:space="preserve">transponder on-board commercial aircraft. </w:t>
      </w:r>
      <w:r w:rsidR="006863F1">
        <w:t>An additional function of the SSR transponder</w:t>
      </w:r>
      <w:r>
        <w:t xml:space="preserve"> </w:t>
      </w:r>
      <w:r w:rsidR="006863F1">
        <w:t>is to transmit</w:t>
      </w:r>
      <w:r>
        <w:t xml:space="preserve"> the aircraft position twice every second</w:t>
      </w:r>
      <w:r w:rsidR="00E17410">
        <w:t xml:space="preserve"> (ADS-B). Another function of the transponder involves </w:t>
      </w:r>
      <w:r>
        <w:t xml:space="preserve">the Aircraft Collision Avoidance System. In addition, in certain parts of the world, due to congestion in the </w:t>
      </w:r>
      <w:r w:rsidR="003D77FD">
        <w:t>Distance Measuring Equipment (</w:t>
      </w:r>
      <w:r>
        <w:t>DME</w:t>
      </w:r>
      <w:r w:rsidR="003D77FD">
        <w:t>)</w:t>
      </w:r>
      <w:r>
        <w:t xml:space="preserve"> band (960 – 1</w:t>
      </w:r>
      <w:r w:rsidR="00E55479">
        <w:t> 215 </w:t>
      </w:r>
      <w:r>
        <w:t xml:space="preserve">MHz), </w:t>
      </w:r>
      <w:r w:rsidR="00E17410">
        <w:t xml:space="preserve">DMEs have been assigned to </w:t>
      </w:r>
      <w:r w:rsidR="00EB2D24">
        <w:t>adjacent</w:t>
      </w:r>
      <w:r w:rsidR="00E17410">
        <w:t xml:space="preserve"> frequencies</w:t>
      </w:r>
      <w:r w:rsidR="00EB2D24">
        <w:t xml:space="preserve">, potentially close enough to </w:t>
      </w:r>
      <w:r w:rsidR="00FA6CD1">
        <w:t xml:space="preserve">cause </w:t>
      </w:r>
      <w:r w:rsidR="00EB2D24">
        <w:t>interfere</w:t>
      </w:r>
      <w:r w:rsidR="00FA6CD1">
        <w:t>nce at 1 090 MHz</w:t>
      </w:r>
      <w:r w:rsidR="00E17410">
        <w:t xml:space="preserve">. The frequency </w:t>
      </w:r>
      <w:r w:rsidR="0057056A">
        <w:t xml:space="preserve">1 090 MHz </w:t>
      </w:r>
      <w:r w:rsidR="00E17410">
        <w:t xml:space="preserve">is also used by certain </w:t>
      </w:r>
      <w:r w:rsidR="0057056A">
        <w:t xml:space="preserve">aeronautical </w:t>
      </w:r>
      <w:r w:rsidR="00E17410">
        <w:t>military systems.</w:t>
      </w:r>
    </w:p>
    <w:p w:rsidR="00806BC5" w:rsidRDefault="00A36634" w:rsidP="00FD5DAE">
      <w:pPr>
        <w:pStyle w:val="2Para"/>
        <w:numPr>
          <w:ilvl w:val="1"/>
          <w:numId w:val="17"/>
        </w:numPr>
        <w:ind w:left="0" w:firstLine="0"/>
      </w:pPr>
      <w:r>
        <w:t>T</w:t>
      </w:r>
      <w:r w:rsidR="00B938A8">
        <w:t xml:space="preserve">he issue </w:t>
      </w:r>
      <w:r w:rsidR="006863F1">
        <w:t xml:space="preserve">of Global Flight Tracking </w:t>
      </w:r>
      <w:r w:rsidR="00B938A8">
        <w:t xml:space="preserve">proved to be </w:t>
      </w:r>
      <w:r w:rsidR="00806BC5">
        <w:t xml:space="preserve">quite </w:t>
      </w:r>
      <w:r w:rsidR="00B938A8">
        <w:t>controversial during deliberations in the ITU Radiocommunication Sector prior to the conference</w:t>
      </w:r>
      <w:r w:rsidR="00806BC5">
        <w:t xml:space="preserve"> (ITU-R WP5B, CPM15-2)</w:t>
      </w:r>
      <w:r>
        <w:t xml:space="preserve">. </w:t>
      </w:r>
      <w:r w:rsidR="00884600">
        <w:t>The reasons for this can be said to be</w:t>
      </w:r>
      <w:r w:rsidR="0057056A">
        <w:t xml:space="preserve"> mainly</w:t>
      </w:r>
      <w:r w:rsidR="00884600">
        <w:t xml:space="preserve"> t</w:t>
      </w:r>
      <w:r w:rsidR="00806BC5">
        <w:t>hree</w:t>
      </w:r>
      <w:r w:rsidR="00884600">
        <w:t xml:space="preserve">fold: 1) </w:t>
      </w:r>
      <w:r w:rsidR="000D05F9">
        <w:t>t</w:t>
      </w:r>
      <w:r w:rsidR="00884600">
        <w:t>he unusual addition of the issue to the agenda of WRC</w:t>
      </w:r>
      <w:r w:rsidR="0057056A">
        <w:t>-15</w:t>
      </w:r>
      <w:r w:rsidR="00884600">
        <w:t xml:space="preserve"> </w:t>
      </w:r>
      <w:r w:rsidR="00FA6CD1">
        <w:t>by an ITU Plenipotentiary</w:t>
      </w:r>
      <w:r w:rsidR="006863F1">
        <w:t xml:space="preserve"> </w:t>
      </w:r>
      <w:r w:rsidR="00FA6CD1">
        <w:t xml:space="preserve">Conference (Assembly) </w:t>
      </w:r>
      <w:r w:rsidR="00884600">
        <w:t xml:space="preserve">and the potential precedence this may cause for future </w:t>
      </w:r>
      <w:r w:rsidR="0057056A">
        <w:t>WRCs</w:t>
      </w:r>
      <w:r w:rsidR="00884600">
        <w:t>; 2) concerns by spectrum users, incumbent services and otherwise, that the addition of this service</w:t>
      </w:r>
      <w:r w:rsidR="006863F1">
        <w:t>, without complete studies</w:t>
      </w:r>
      <w:r w:rsidR="005E4378">
        <w:t xml:space="preserve"> might</w:t>
      </w:r>
      <w:r w:rsidR="00884600">
        <w:t xml:space="preserve"> have unforeseen consequences</w:t>
      </w:r>
      <w:r w:rsidR="00806BC5">
        <w:t>; and 3)</w:t>
      </w:r>
      <w:r w:rsidR="00884600">
        <w:t xml:space="preserve"> the very short study period before the conference</w:t>
      </w:r>
      <w:r w:rsidR="00806BC5">
        <w:t>.</w:t>
      </w:r>
    </w:p>
    <w:p w:rsidR="004E1557" w:rsidRDefault="00806BC5" w:rsidP="00B410CC">
      <w:pPr>
        <w:pStyle w:val="2Para"/>
        <w:numPr>
          <w:ilvl w:val="2"/>
          <w:numId w:val="17"/>
        </w:numPr>
        <w:ind w:left="0" w:firstLine="0"/>
      </w:pPr>
      <w:r>
        <w:t>S</w:t>
      </w:r>
      <w:r w:rsidR="00B938A8">
        <w:t xml:space="preserve">tudies </w:t>
      </w:r>
      <w:r w:rsidR="00A36634">
        <w:t>within ICAO (</w:t>
      </w:r>
      <w:r w:rsidR="0057056A">
        <w:t xml:space="preserve">FSMP and </w:t>
      </w:r>
      <w:r w:rsidR="00A36634">
        <w:t>Surveillance Panel) a</w:t>
      </w:r>
      <w:r w:rsidR="00FA6CD1">
        <w:t xml:space="preserve">nd other </w:t>
      </w:r>
      <w:r w:rsidR="00A36634">
        <w:t xml:space="preserve">studies </w:t>
      </w:r>
      <w:r w:rsidR="00B938A8">
        <w:t xml:space="preserve">submitted </w:t>
      </w:r>
      <w:r w:rsidR="00FA6CD1">
        <w:t xml:space="preserve">to ITU </w:t>
      </w:r>
      <w:r w:rsidR="00B938A8">
        <w:t xml:space="preserve">prior to and during the conference helped alleviate concerns about </w:t>
      </w:r>
      <w:r>
        <w:t>consequences to other users around 1</w:t>
      </w:r>
      <w:r w:rsidR="00FA6CD1">
        <w:t> 090 </w:t>
      </w:r>
      <w:r>
        <w:t xml:space="preserve">MHz, </w:t>
      </w:r>
      <w:r w:rsidR="00B938A8">
        <w:t xml:space="preserve">the potential usefulness of the system and difficulties in its operation in </w:t>
      </w:r>
      <w:r w:rsidR="00A36634">
        <w:t xml:space="preserve">the presence of interference from </w:t>
      </w:r>
      <w:r w:rsidR="00FA6CD1">
        <w:t>other users around</w:t>
      </w:r>
      <w:r w:rsidR="00A36634">
        <w:t xml:space="preserve"> 1</w:t>
      </w:r>
      <w:r w:rsidR="00FA6CD1">
        <w:t> 090 </w:t>
      </w:r>
      <w:r w:rsidR="00A36634">
        <w:t>MHz. One relevant factor is that</w:t>
      </w:r>
      <w:r w:rsidR="00FF13F2">
        <w:t xml:space="preserve"> the aircraft transmits its position report through ADS-B twice per second, </w:t>
      </w:r>
      <w:r w:rsidR="00A36634">
        <w:t>however</w:t>
      </w:r>
      <w:r w:rsidR="00B410CC">
        <w:t>,</w:t>
      </w:r>
      <w:r w:rsidR="00A36634">
        <w:t xml:space="preserve"> </w:t>
      </w:r>
      <w:r w:rsidR="004B3F49">
        <w:t xml:space="preserve">for successful tracking of the aircraft </w:t>
      </w:r>
      <w:r w:rsidR="00FF13F2">
        <w:t>only a very low number of th</w:t>
      </w:r>
      <w:r w:rsidR="005E4378">
        <w:t>ose</w:t>
      </w:r>
      <w:r w:rsidR="00FF13F2">
        <w:t xml:space="preserve"> transmissions </w:t>
      </w:r>
      <w:r w:rsidR="004B3F49">
        <w:t>are required</w:t>
      </w:r>
      <w:r w:rsidR="00FF13F2">
        <w:t xml:space="preserve"> to be received by the satellite. </w:t>
      </w:r>
      <w:r w:rsidR="004E1557">
        <w:t>Submitted studies indicated that the system may provide useful performance</w:t>
      </w:r>
      <w:r w:rsidR="00266ADD">
        <w:t xml:space="preserve"> </w:t>
      </w:r>
      <w:r w:rsidR="004E1557">
        <w:t>in high density traffic areas</w:t>
      </w:r>
      <w:r w:rsidR="005E4378">
        <w:t xml:space="preserve">, </w:t>
      </w:r>
      <w:r w:rsidR="00266ADD">
        <w:t xml:space="preserve">(better than one ADS-B position message received per minute) </w:t>
      </w:r>
      <w:r w:rsidR="005E4378">
        <w:t xml:space="preserve">while performance in remote areas </w:t>
      </w:r>
      <w:r w:rsidR="00266ADD">
        <w:t xml:space="preserve">with lower traffic densities </w:t>
      </w:r>
      <w:r w:rsidR="005E4378">
        <w:t>would be much better</w:t>
      </w:r>
      <w:r w:rsidR="004B3F49">
        <w:t>.</w:t>
      </w:r>
    </w:p>
    <w:p w:rsidR="005E4378" w:rsidRDefault="00F00A12" w:rsidP="002B5F1E">
      <w:pPr>
        <w:pStyle w:val="2Heading"/>
        <w:numPr>
          <w:ilvl w:val="1"/>
          <w:numId w:val="17"/>
        </w:numPr>
        <w:tabs>
          <w:tab w:val="clear" w:pos="720"/>
        </w:tabs>
        <w:ind w:left="709" w:hanging="709"/>
      </w:pPr>
      <w:r>
        <w:t>ICAO Position and s</w:t>
      </w:r>
      <w:r w:rsidR="004E1557">
        <w:t>olution agreed by WRC-15</w:t>
      </w:r>
      <w:r w:rsidR="005E4378">
        <w:t xml:space="preserve"> </w:t>
      </w:r>
    </w:p>
    <w:p w:rsidR="00F00A12" w:rsidRDefault="00007C3C" w:rsidP="00B410CC">
      <w:pPr>
        <w:pStyle w:val="2Para"/>
        <w:numPr>
          <w:ilvl w:val="2"/>
          <w:numId w:val="17"/>
        </w:numPr>
        <w:ind w:left="0" w:firstLine="0"/>
      </w:pPr>
      <w:r>
        <w:t>As a follow-up action to the outcome of the HLSC</w:t>
      </w:r>
      <w:r w:rsidR="00B410CC">
        <w:t xml:space="preserve"> 2015</w:t>
      </w:r>
      <w:r>
        <w:t>, t</w:t>
      </w:r>
      <w:r w:rsidR="00F00A12">
        <w:t xml:space="preserve">he ICAO Position on this agenda item was developed </w:t>
      </w:r>
      <w:r>
        <w:t>by FSMP and the Air Navigation Commission</w:t>
      </w:r>
      <w:r w:rsidR="00F00A12">
        <w:t xml:space="preserve"> and approved by Council in </w:t>
      </w:r>
      <w:r w:rsidR="00F00A12">
        <w:lastRenderedPageBreak/>
        <w:t>June 2015. The position was to support consideration of all possible options for support of ICAO global flight tracking as supported by studies, including a new provision in the Earth-to-space direction only for an aeronautical mobiles satellite (route) service allocation at 1</w:t>
      </w:r>
      <w:r w:rsidR="004B3F49">
        <w:t> 090 </w:t>
      </w:r>
      <w:r w:rsidR="00F00A12">
        <w:t>MHz for the satellite reception of existing aircraft ADS-B signals operating in accordance with ICAO SARPs and under the condition that it not constrain existing aeronautical safety systems.</w:t>
      </w:r>
    </w:p>
    <w:p w:rsidR="003D77FD" w:rsidRDefault="004E1557" w:rsidP="00B410CC">
      <w:pPr>
        <w:pStyle w:val="2Para"/>
        <w:numPr>
          <w:ilvl w:val="2"/>
          <w:numId w:val="17"/>
        </w:numPr>
        <w:ind w:left="0" w:firstLine="0"/>
      </w:pPr>
      <w:r>
        <w:t xml:space="preserve">The conference agreed to an allocation by footnote to </w:t>
      </w:r>
      <w:r w:rsidR="00C84DB3">
        <w:t xml:space="preserve">the </w:t>
      </w:r>
      <w:r>
        <w:t>aeronautical mobile satellite (route) service (Earth-to-space)</w:t>
      </w:r>
      <w:r w:rsidR="00C11235">
        <w:t xml:space="preserve"> at 1</w:t>
      </w:r>
      <w:r w:rsidR="004B3F49">
        <w:t> 090 </w:t>
      </w:r>
      <w:r w:rsidR="00C11235">
        <w:t xml:space="preserve">MHz and an associated </w:t>
      </w:r>
      <w:r w:rsidR="00BD33BF">
        <w:t xml:space="preserve">new </w:t>
      </w:r>
      <w:r w:rsidR="00C11235">
        <w:t>Resolution</w:t>
      </w:r>
      <w:r w:rsidR="00BD33BF">
        <w:t xml:space="preserve"> (</w:t>
      </w:r>
      <w:r w:rsidR="00BD33BF" w:rsidRPr="00093749">
        <w:rPr>
          <w:b/>
          <w:bCs/>
        </w:rPr>
        <w:t>C</w:t>
      </w:r>
      <w:r w:rsidR="00BD33BF">
        <w:rPr>
          <w:b/>
          <w:bCs/>
        </w:rPr>
        <w:t>OM</w:t>
      </w:r>
      <w:r w:rsidR="00BD33BF" w:rsidRPr="00093749">
        <w:rPr>
          <w:b/>
          <w:bCs/>
        </w:rPr>
        <w:t>4/</w:t>
      </w:r>
      <w:r w:rsidR="00BD33BF">
        <w:rPr>
          <w:b/>
          <w:bCs/>
        </w:rPr>
        <w:t>2</w:t>
      </w:r>
      <w:r w:rsidR="00BD33BF">
        <w:t>)</w:t>
      </w:r>
      <w:r w:rsidR="00C11235">
        <w:t xml:space="preserve">, limiting the allocation to the space station reception of ADS-B emissions from aircraft transmitters operating in accordance with ICAO SARPs. </w:t>
      </w:r>
      <w:r w:rsidR="004B3F49">
        <w:t xml:space="preserve">The new allocation has to </w:t>
      </w:r>
      <w:r w:rsidR="00C11235">
        <w:t xml:space="preserve">protect the existing allocation to the aeronautical radionavigation service under which the </w:t>
      </w:r>
      <w:r w:rsidR="003D77FD">
        <w:t xml:space="preserve">aircraft </w:t>
      </w:r>
      <w:r w:rsidR="00C11235">
        <w:t>SSR transponders</w:t>
      </w:r>
      <w:r w:rsidR="003D77FD">
        <w:t xml:space="preserve"> and the DME operate. In addition, the associated Resolution contains language to protect existing military </w:t>
      </w:r>
      <w:r w:rsidR="004B3F49">
        <w:t xml:space="preserve">applications </w:t>
      </w:r>
      <w:r w:rsidR="00C84DB3">
        <w:t>at 1 090 MHz</w:t>
      </w:r>
      <w:r w:rsidR="003D77FD">
        <w:t xml:space="preserve">. </w:t>
      </w:r>
      <w:r w:rsidR="004B3F49">
        <w:t>The</w:t>
      </w:r>
      <w:r w:rsidR="00007C3C">
        <w:t xml:space="preserve"> </w:t>
      </w:r>
      <w:r w:rsidR="003D77FD">
        <w:t>ITU</w:t>
      </w:r>
      <w:r w:rsidR="00477E7F">
        <w:t xml:space="preserve"> Radiocommunication Sector </w:t>
      </w:r>
      <w:r w:rsidR="003D77FD">
        <w:t xml:space="preserve">has been tasked </w:t>
      </w:r>
      <w:r w:rsidR="00477E7F">
        <w:t>to complete studies related to the space station reception of ADS-B</w:t>
      </w:r>
      <w:r w:rsidR="003D77FD">
        <w:t>, including consideration of non-ICAO standardized systems, and to report their outcome to ICAO.</w:t>
      </w:r>
      <w:r w:rsidR="00007C3C">
        <w:t xml:space="preserve">  </w:t>
      </w:r>
      <w:r w:rsidR="008E4C5F">
        <w:t xml:space="preserve">This </w:t>
      </w:r>
      <w:r w:rsidR="00C84DB3">
        <w:t xml:space="preserve">result </w:t>
      </w:r>
      <w:r w:rsidR="008E4C5F">
        <w:t xml:space="preserve">fully </w:t>
      </w:r>
      <w:r w:rsidR="00F00A12">
        <w:t>accommodates</w:t>
      </w:r>
      <w:r w:rsidR="008E4C5F">
        <w:t xml:space="preserve"> the ICAO Position.</w:t>
      </w:r>
    </w:p>
    <w:p w:rsidR="00744789" w:rsidRPr="00480E5D" w:rsidRDefault="00BB6B14" w:rsidP="0012553F">
      <w:pPr>
        <w:pStyle w:val="ListParagraph"/>
        <w:numPr>
          <w:ilvl w:val="0"/>
          <w:numId w:val="17"/>
        </w:numPr>
        <w:ind w:left="709" w:hanging="709"/>
        <w:rPr>
          <w:b/>
          <w:szCs w:val="22"/>
        </w:rPr>
      </w:pPr>
      <w:r w:rsidRPr="005359AC">
        <w:rPr>
          <w:b/>
        </w:rPr>
        <w:t xml:space="preserve">Agenda Item </w:t>
      </w:r>
      <w:r w:rsidR="005359AC">
        <w:rPr>
          <w:b/>
        </w:rPr>
        <w:t>10</w:t>
      </w:r>
      <w:r w:rsidRPr="005359AC">
        <w:rPr>
          <w:b/>
        </w:rPr>
        <w:t>:</w:t>
      </w:r>
      <w:r>
        <w:t xml:space="preserve"> </w:t>
      </w:r>
      <w:r w:rsidR="005359AC">
        <w:rPr>
          <w:rFonts w:ascii="Times New Roman Bold" w:hAnsi="Times New Roman Bold" w:cs="Times New Roman Bold"/>
          <w:b/>
          <w:bCs/>
        </w:rPr>
        <w:t>To recommend to the Council items for inclusion in the agenda for the next WRC, and to give its views on the preliminary agenda for the subsequent conference and on possible agenda items for future conferences, in accordance with Article 7 of the Convention</w:t>
      </w:r>
      <w:r w:rsidRPr="005359AC">
        <w:rPr>
          <w:b/>
          <w:bCs/>
          <w:szCs w:val="22"/>
        </w:rPr>
        <w:t>.</w:t>
      </w:r>
    </w:p>
    <w:p w:rsidR="00744789" w:rsidRPr="004D0ED5" w:rsidRDefault="00744789" w:rsidP="00B410CC">
      <w:pPr>
        <w:pStyle w:val="2Para"/>
        <w:numPr>
          <w:ilvl w:val="1"/>
          <w:numId w:val="17"/>
        </w:numPr>
        <w:ind w:left="0" w:firstLine="0"/>
        <w:rPr>
          <w:rFonts w:asciiTheme="majorBidi" w:hAnsiTheme="majorBidi" w:cstheme="majorBidi"/>
        </w:rPr>
      </w:pPr>
      <w:r>
        <w:rPr>
          <w:szCs w:val="24"/>
        </w:rPr>
        <w:t>U</w:t>
      </w:r>
      <w:r w:rsidRPr="005651B6">
        <w:rPr>
          <w:szCs w:val="24"/>
        </w:rPr>
        <w:t>pon the completion of a Special Meeting on Global Flight Tracking of Aircraft in Montr</w:t>
      </w:r>
      <w:r w:rsidR="00B410CC">
        <w:rPr>
          <w:szCs w:val="24"/>
        </w:rPr>
        <w:t>é</w:t>
      </w:r>
      <w:r w:rsidRPr="005651B6">
        <w:rPr>
          <w:szCs w:val="24"/>
        </w:rPr>
        <w:t xml:space="preserve">al, May 2014, </w:t>
      </w:r>
      <w:r w:rsidR="00480E5D">
        <w:rPr>
          <w:szCs w:val="24"/>
        </w:rPr>
        <w:t xml:space="preserve">ICAO </w:t>
      </w:r>
      <w:r w:rsidRPr="005651B6">
        <w:rPr>
          <w:szCs w:val="24"/>
        </w:rPr>
        <w:t xml:space="preserve">forged consensus among its Member States and the international air transport industry sector on the near-term priority to track airline flights, no matter their global location or </w:t>
      </w:r>
      <w:r w:rsidRPr="004D0ED5">
        <w:rPr>
          <w:rFonts w:asciiTheme="majorBidi" w:hAnsiTheme="majorBidi" w:cstheme="majorBidi"/>
        </w:rPr>
        <w:t xml:space="preserve">destination. </w:t>
      </w:r>
      <w:r w:rsidR="00DB0607" w:rsidRPr="004D0ED5">
        <w:rPr>
          <w:rFonts w:asciiTheme="majorBidi" w:hAnsiTheme="majorBidi" w:cstheme="majorBidi"/>
        </w:rPr>
        <w:t>While c</w:t>
      </w:r>
      <w:r w:rsidR="00480E5D" w:rsidRPr="004D0ED5">
        <w:rPr>
          <w:rFonts w:asciiTheme="majorBidi" w:hAnsiTheme="majorBidi" w:cstheme="majorBidi"/>
        </w:rPr>
        <w:t xml:space="preserve">oncluding that </w:t>
      </w:r>
      <w:r w:rsidRPr="004D0ED5">
        <w:rPr>
          <w:rFonts w:asciiTheme="majorBidi" w:hAnsiTheme="majorBidi" w:cstheme="majorBidi"/>
        </w:rPr>
        <w:t>global flight tracking should be pursued as a matter of urgency</w:t>
      </w:r>
      <w:r w:rsidR="00DB0607" w:rsidRPr="004D0ED5">
        <w:rPr>
          <w:rFonts w:asciiTheme="majorBidi" w:hAnsiTheme="majorBidi" w:cstheme="majorBidi"/>
        </w:rPr>
        <w:t xml:space="preserve"> the development of </w:t>
      </w:r>
      <w:r w:rsidRPr="004D0ED5">
        <w:rPr>
          <w:rFonts w:asciiTheme="majorBidi" w:hAnsiTheme="majorBidi" w:cstheme="majorBidi"/>
        </w:rPr>
        <w:t xml:space="preserve">a concept of operations to support future development of a Global Aeronautical Distress and Safety System (GADSS) </w:t>
      </w:r>
      <w:r w:rsidR="00DB0607" w:rsidRPr="004D0ED5">
        <w:rPr>
          <w:rFonts w:asciiTheme="majorBidi" w:hAnsiTheme="majorBidi" w:cstheme="majorBidi"/>
        </w:rPr>
        <w:t xml:space="preserve">was also initiated. </w:t>
      </w:r>
      <w:r w:rsidRPr="004D0ED5">
        <w:rPr>
          <w:rFonts w:asciiTheme="majorBidi" w:hAnsiTheme="majorBidi" w:cstheme="majorBidi"/>
        </w:rPr>
        <w:t xml:space="preserve">While </w:t>
      </w:r>
      <w:r w:rsidR="00DB0607" w:rsidRPr="004D0ED5">
        <w:rPr>
          <w:rFonts w:asciiTheme="majorBidi" w:hAnsiTheme="majorBidi" w:cstheme="majorBidi"/>
        </w:rPr>
        <w:t xml:space="preserve">this work </w:t>
      </w:r>
      <w:r w:rsidR="00477E7F">
        <w:rPr>
          <w:rFonts w:asciiTheme="majorBidi" w:hAnsiTheme="majorBidi" w:cstheme="majorBidi"/>
        </w:rPr>
        <w:t xml:space="preserve">is </w:t>
      </w:r>
      <w:r w:rsidR="004D0ED5" w:rsidRPr="004D0ED5">
        <w:rPr>
          <w:rFonts w:asciiTheme="majorBidi" w:hAnsiTheme="majorBidi" w:cstheme="majorBidi"/>
        </w:rPr>
        <w:t>still ongoing</w:t>
      </w:r>
      <w:r w:rsidRPr="004D0ED5">
        <w:rPr>
          <w:rFonts w:asciiTheme="majorBidi" w:hAnsiTheme="majorBidi" w:cstheme="majorBidi"/>
        </w:rPr>
        <w:t xml:space="preserve">, </w:t>
      </w:r>
      <w:r w:rsidR="00DB0607" w:rsidRPr="004D0ED5">
        <w:rPr>
          <w:rFonts w:asciiTheme="majorBidi" w:hAnsiTheme="majorBidi" w:cstheme="majorBidi"/>
        </w:rPr>
        <w:t>it is envisaged that the GADSS</w:t>
      </w:r>
      <w:r w:rsidRPr="004D0ED5">
        <w:rPr>
          <w:rFonts w:asciiTheme="majorBidi" w:hAnsiTheme="majorBidi" w:cstheme="majorBidi"/>
        </w:rPr>
        <w:t xml:space="preserve"> will address issues such as:</w:t>
      </w:r>
    </w:p>
    <w:p w:rsidR="00744789" w:rsidRPr="004D0ED5" w:rsidRDefault="00744789" w:rsidP="00B410CC">
      <w:pPr>
        <w:pStyle w:val="2Para"/>
        <w:numPr>
          <w:ilvl w:val="0"/>
          <w:numId w:val="23"/>
        </w:numPr>
        <w:spacing w:before="60" w:after="60"/>
        <w:ind w:left="1843" w:hanging="425"/>
        <w:rPr>
          <w:rFonts w:asciiTheme="majorBidi" w:hAnsiTheme="majorBidi" w:cstheme="majorBidi"/>
        </w:rPr>
      </w:pPr>
      <w:r w:rsidRPr="004D0ED5">
        <w:rPr>
          <w:rFonts w:asciiTheme="majorBidi" w:hAnsiTheme="majorBidi" w:cstheme="majorBidi"/>
        </w:rPr>
        <w:t>Aircraft tracking under normal and abnormal conditions</w:t>
      </w:r>
    </w:p>
    <w:p w:rsidR="00744789" w:rsidRPr="004D0ED5" w:rsidRDefault="00744789" w:rsidP="00B410CC">
      <w:pPr>
        <w:pStyle w:val="2Para"/>
        <w:numPr>
          <w:ilvl w:val="0"/>
          <w:numId w:val="23"/>
        </w:numPr>
        <w:spacing w:before="60" w:after="60"/>
        <w:ind w:left="1843" w:hanging="425"/>
        <w:rPr>
          <w:rFonts w:asciiTheme="majorBidi" w:hAnsiTheme="majorBidi" w:cstheme="majorBidi"/>
        </w:rPr>
      </w:pPr>
      <w:r w:rsidRPr="004D0ED5">
        <w:rPr>
          <w:rFonts w:asciiTheme="majorBidi" w:hAnsiTheme="majorBidi" w:cstheme="majorBidi"/>
        </w:rPr>
        <w:t>Autonomous distress tracking</w:t>
      </w:r>
    </w:p>
    <w:p w:rsidR="00744789" w:rsidRPr="004D0ED5" w:rsidRDefault="00744789" w:rsidP="00B410CC">
      <w:pPr>
        <w:pStyle w:val="2Para"/>
        <w:numPr>
          <w:ilvl w:val="0"/>
          <w:numId w:val="23"/>
        </w:numPr>
        <w:spacing w:before="60" w:after="60"/>
        <w:ind w:left="1843" w:hanging="425"/>
        <w:rPr>
          <w:rFonts w:asciiTheme="majorBidi" w:hAnsiTheme="majorBidi" w:cstheme="majorBidi"/>
        </w:rPr>
      </w:pPr>
      <w:r w:rsidRPr="004D0ED5">
        <w:rPr>
          <w:rFonts w:asciiTheme="majorBidi" w:hAnsiTheme="majorBidi" w:cstheme="majorBidi"/>
        </w:rPr>
        <w:t>Automatic deployable flight recorder</w:t>
      </w:r>
    </w:p>
    <w:p w:rsidR="004D0ED5" w:rsidRPr="00AC21F9" w:rsidRDefault="00744789" w:rsidP="00B410CC">
      <w:pPr>
        <w:pStyle w:val="2Para"/>
        <w:numPr>
          <w:ilvl w:val="0"/>
          <w:numId w:val="23"/>
        </w:numPr>
        <w:spacing w:before="60" w:after="60"/>
        <w:ind w:left="1843" w:hanging="425"/>
        <w:rPr>
          <w:rFonts w:asciiTheme="majorBidi" w:hAnsiTheme="majorBidi" w:cstheme="majorBidi"/>
        </w:rPr>
      </w:pPr>
      <w:r w:rsidRPr="004D0ED5">
        <w:rPr>
          <w:rFonts w:asciiTheme="majorBidi" w:hAnsiTheme="majorBidi" w:cstheme="majorBidi"/>
        </w:rPr>
        <w:t xml:space="preserve">Procedures and information management </w:t>
      </w:r>
    </w:p>
    <w:p w:rsidR="00744789" w:rsidRPr="005140B4" w:rsidRDefault="005140B4" w:rsidP="002B5F1E">
      <w:pPr>
        <w:pStyle w:val="2Para"/>
        <w:numPr>
          <w:ilvl w:val="1"/>
          <w:numId w:val="17"/>
        </w:numPr>
        <w:tabs>
          <w:tab w:val="clear" w:pos="1440"/>
          <w:tab w:val="left" w:pos="1418"/>
        </w:tabs>
        <w:ind w:left="0" w:firstLine="0"/>
      </w:pPr>
      <w:r>
        <w:rPr>
          <w:rFonts w:asciiTheme="majorBidi" w:hAnsiTheme="majorBidi" w:cstheme="majorBidi"/>
        </w:rPr>
        <w:t>T</w:t>
      </w:r>
      <w:r w:rsidRPr="004D0ED5">
        <w:rPr>
          <w:rFonts w:asciiTheme="majorBidi" w:hAnsiTheme="majorBidi" w:cstheme="majorBidi"/>
        </w:rPr>
        <w:t>he collec</w:t>
      </w:r>
      <w:r>
        <w:rPr>
          <w:rFonts w:asciiTheme="majorBidi" w:hAnsiTheme="majorBidi" w:cstheme="majorBidi"/>
        </w:rPr>
        <w:t>tive urgency of the situation was</w:t>
      </w:r>
      <w:r w:rsidRPr="004D0ED5">
        <w:rPr>
          <w:rFonts w:asciiTheme="majorBidi" w:hAnsiTheme="majorBidi" w:cstheme="majorBidi"/>
        </w:rPr>
        <w:t xml:space="preserve"> highlighted by the decision of the ITU Plenipotentiary Conference</w:t>
      </w:r>
      <w:r w:rsidR="00477E7F">
        <w:rPr>
          <w:rFonts w:asciiTheme="majorBidi" w:hAnsiTheme="majorBidi" w:cstheme="majorBidi"/>
        </w:rPr>
        <w:t xml:space="preserve"> (October 2014)</w:t>
      </w:r>
      <w:r w:rsidRPr="004D0ED5">
        <w:rPr>
          <w:rFonts w:asciiTheme="majorBidi" w:hAnsiTheme="majorBidi" w:cstheme="majorBidi"/>
        </w:rPr>
        <w:t xml:space="preserve">, through Resolution </w:t>
      </w:r>
      <w:r w:rsidRPr="007247DA">
        <w:rPr>
          <w:rFonts w:asciiTheme="majorBidi" w:hAnsiTheme="majorBidi" w:cstheme="majorBidi"/>
          <w:b/>
          <w:bCs/>
        </w:rPr>
        <w:t>185</w:t>
      </w:r>
      <w:r w:rsidRPr="004D0ED5">
        <w:rPr>
          <w:rFonts w:asciiTheme="majorBidi" w:hAnsiTheme="majorBidi" w:cstheme="majorBidi"/>
        </w:rPr>
        <w:t>, to instruct WRC</w:t>
      </w:r>
      <w:r w:rsidRPr="004D0ED5">
        <w:rPr>
          <w:rFonts w:ascii="Cambria Math" w:hAnsi="Cambria Math" w:cs="Cambria Math"/>
        </w:rPr>
        <w:t>‐</w:t>
      </w:r>
      <w:r w:rsidRPr="004D0ED5">
        <w:rPr>
          <w:rFonts w:asciiTheme="majorBidi" w:hAnsiTheme="majorBidi" w:cstheme="majorBidi"/>
        </w:rPr>
        <w:t>15 to include in its agenda, as a matter of urgency, the consideration of global flight tracking</w:t>
      </w:r>
      <w:r>
        <w:rPr>
          <w:rFonts w:asciiTheme="majorBidi" w:hAnsiTheme="majorBidi" w:cstheme="majorBidi"/>
        </w:rPr>
        <w:t xml:space="preserve">. </w:t>
      </w:r>
      <w:r w:rsidRPr="005651B6">
        <w:rPr>
          <w:szCs w:val="24"/>
        </w:rPr>
        <w:t>With respect to the GADSS however, while the systems needed have yet to be fully defined</w:t>
      </w:r>
      <w:r w:rsidR="00C071E8">
        <w:rPr>
          <w:szCs w:val="24"/>
        </w:rPr>
        <w:t>,</w:t>
      </w:r>
      <w:r w:rsidRPr="005651B6">
        <w:rPr>
          <w:szCs w:val="24"/>
        </w:rPr>
        <w:t xml:space="preserve"> it is anticipated that </w:t>
      </w:r>
      <w:r w:rsidRPr="005651B6">
        <w:t>there</w:t>
      </w:r>
      <w:r w:rsidRPr="005651B6">
        <w:rPr>
          <w:szCs w:val="24"/>
        </w:rPr>
        <w:t xml:space="preserve"> will be a need to change the Radio Regulations in order to facilitate the</w:t>
      </w:r>
      <w:r w:rsidR="00C071E8">
        <w:rPr>
          <w:szCs w:val="24"/>
        </w:rPr>
        <w:t>ir</w:t>
      </w:r>
      <w:r w:rsidRPr="005651B6">
        <w:rPr>
          <w:szCs w:val="24"/>
        </w:rPr>
        <w:t xml:space="preserve"> introduction. </w:t>
      </w:r>
      <w:r>
        <w:t>T</w:t>
      </w:r>
      <w:r w:rsidRPr="005651B6">
        <w:rPr>
          <w:szCs w:val="24"/>
        </w:rPr>
        <w:t xml:space="preserve">herefore </w:t>
      </w:r>
      <w:r>
        <w:t xml:space="preserve">the ICAO Position proposed </w:t>
      </w:r>
      <w:r w:rsidRPr="005651B6">
        <w:rPr>
          <w:szCs w:val="24"/>
        </w:rPr>
        <w:t>an agenda item be established for WRC</w:t>
      </w:r>
      <w:r w:rsidR="002B5F1E">
        <w:rPr>
          <w:szCs w:val="24"/>
        </w:rPr>
        <w:t>-</w:t>
      </w:r>
      <w:r w:rsidRPr="005651B6">
        <w:rPr>
          <w:szCs w:val="24"/>
        </w:rPr>
        <w:t>2019</w:t>
      </w:r>
      <w:r>
        <w:rPr>
          <w:szCs w:val="24"/>
        </w:rPr>
        <w:t>,</w:t>
      </w:r>
      <w:r w:rsidRPr="005651B6">
        <w:rPr>
          <w:szCs w:val="24"/>
        </w:rPr>
        <w:t xml:space="preserve"> flexible enough to address any required changes to the Radio Regulations necessary to allow the implementation of the GADSS</w:t>
      </w:r>
      <w:r>
        <w:rPr>
          <w:szCs w:val="24"/>
        </w:rPr>
        <w:t>.</w:t>
      </w:r>
    </w:p>
    <w:p w:rsidR="007E3856" w:rsidRDefault="005140B4" w:rsidP="00B410CC">
      <w:pPr>
        <w:pStyle w:val="2Para"/>
        <w:numPr>
          <w:ilvl w:val="1"/>
          <w:numId w:val="17"/>
        </w:numPr>
        <w:ind w:left="0" w:firstLine="0"/>
      </w:pPr>
      <w:r>
        <w:rPr>
          <w:szCs w:val="24"/>
        </w:rPr>
        <w:t>The conference decided on an agenda item for WRC-2019, “</w:t>
      </w:r>
      <w:r w:rsidRPr="00322CC6">
        <w:t>to consider spectrum needs and regulatory provisions for the introduction and use</w:t>
      </w:r>
      <w:r w:rsidRPr="00322CC6" w:rsidDel="003F2919">
        <w:t xml:space="preserve"> </w:t>
      </w:r>
      <w:r w:rsidRPr="00322CC6">
        <w:t>of the Global Aeronautical Distress and Safety System (GADSS)</w:t>
      </w:r>
      <w:r>
        <w:t>…</w:t>
      </w:r>
      <w:r w:rsidRPr="005140B4">
        <w:t>”</w:t>
      </w:r>
      <w:r>
        <w:t xml:space="preserve"> and an associated </w:t>
      </w:r>
      <w:r w:rsidR="00BD33BF">
        <w:t xml:space="preserve">new </w:t>
      </w:r>
      <w:r>
        <w:t>Resolution</w:t>
      </w:r>
      <w:r w:rsidR="00AC21F9">
        <w:t xml:space="preserve"> (</w:t>
      </w:r>
      <w:r w:rsidR="00BD33BF" w:rsidRPr="007247DA">
        <w:rPr>
          <w:b/>
          <w:bCs/>
        </w:rPr>
        <w:t>C</w:t>
      </w:r>
      <w:r w:rsidR="00BD33BF">
        <w:rPr>
          <w:b/>
          <w:bCs/>
        </w:rPr>
        <w:t>OM</w:t>
      </w:r>
      <w:r w:rsidR="00BD33BF" w:rsidRPr="007247DA">
        <w:rPr>
          <w:b/>
          <w:bCs/>
        </w:rPr>
        <w:t>6</w:t>
      </w:r>
      <w:r w:rsidR="00AC21F9" w:rsidRPr="007247DA">
        <w:rPr>
          <w:b/>
          <w:bCs/>
        </w:rPr>
        <w:t>/11</w:t>
      </w:r>
      <w:r w:rsidR="00AC21F9">
        <w:t>). ICAO is invited to participate actively in the studies by providing requirements and information that should be taken into account in the studies of the ITU Radiocommunication Sector, in particular the quantification and characterization of radiocommunication requirements</w:t>
      </w:r>
      <w:r>
        <w:t xml:space="preserve"> </w:t>
      </w:r>
      <w:r w:rsidR="00AC21F9">
        <w:t>related to GADSS. This outcome is fully in line with the ICAO Position.</w:t>
      </w:r>
    </w:p>
    <w:p w:rsidR="00C071E8" w:rsidRPr="00CD5427" w:rsidRDefault="00C071E8" w:rsidP="00B410CC">
      <w:pPr>
        <w:pStyle w:val="ListParagraph"/>
        <w:keepNext/>
        <w:keepLines/>
        <w:numPr>
          <w:ilvl w:val="0"/>
          <w:numId w:val="17"/>
        </w:numPr>
        <w:ind w:left="709" w:hanging="709"/>
        <w:rPr>
          <w:b/>
          <w:bCs/>
          <w:szCs w:val="22"/>
          <w:lang w:val="en-CA"/>
        </w:rPr>
      </w:pPr>
      <w:r w:rsidRPr="00537BD7">
        <w:rPr>
          <w:b/>
          <w:bCs/>
          <w:color w:val="000000"/>
        </w:rPr>
        <w:lastRenderedPageBreak/>
        <w:t>Agenda for WRC-19</w:t>
      </w:r>
    </w:p>
    <w:p w:rsidR="00C071E8" w:rsidRPr="00CD5427" w:rsidRDefault="00ED1ACF" w:rsidP="00A108C3">
      <w:pPr>
        <w:pStyle w:val="2Para"/>
        <w:keepNext/>
        <w:keepLines/>
        <w:numPr>
          <w:ilvl w:val="1"/>
          <w:numId w:val="17"/>
        </w:numPr>
        <w:ind w:left="0" w:firstLine="0"/>
      </w:pPr>
      <w:r>
        <w:rPr>
          <w:szCs w:val="24"/>
        </w:rPr>
        <w:t xml:space="preserve">A preliminary review of the draft agenda for WRC-19 has identified the items </w:t>
      </w:r>
      <w:r w:rsidR="00A108C3">
        <w:rPr>
          <w:szCs w:val="24"/>
        </w:rPr>
        <w:t xml:space="preserve">below </w:t>
      </w:r>
      <w:r>
        <w:rPr>
          <w:szCs w:val="24"/>
        </w:rPr>
        <w:t xml:space="preserve">as potentially being of </w:t>
      </w:r>
      <w:r w:rsidR="00C071E8">
        <w:rPr>
          <w:szCs w:val="24"/>
        </w:rPr>
        <w:t>interest to aviation:</w:t>
      </w:r>
    </w:p>
    <w:p w:rsidR="0026541F" w:rsidRPr="00322CC6" w:rsidRDefault="0026541F" w:rsidP="002B5F1E">
      <w:pPr>
        <w:tabs>
          <w:tab w:val="left" w:pos="1418"/>
        </w:tabs>
        <w:spacing w:before="120" w:after="120"/>
        <w:ind w:left="1418" w:firstLine="22"/>
      </w:pPr>
      <w:r w:rsidRPr="0026541F">
        <w:rPr>
          <w:b/>
          <w:bCs/>
        </w:rPr>
        <w:t>1.8</w:t>
      </w:r>
      <w:r w:rsidRPr="0026541F">
        <w:rPr>
          <w:b/>
          <w:bCs/>
        </w:rPr>
        <w:tab/>
      </w:r>
      <w:r w:rsidRPr="00322CC6">
        <w:rPr>
          <w:lang w:eastAsia="zh-CN"/>
        </w:rPr>
        <w:t>to consider possible regulatory actions to support Global Maritime Distress Safety Systems (GMDSS) modernization and to support the introduction of additional satellite systems into the GMDSS, in accordance with Resolution </w:t>
      </w:r>
      <w:r w:rsidRPr="00322CC6">
        <w:rPr>
          <w:b/>
          <w:lang w:eastAsia="zh-CN"/>
        </w:rPr>
        <w:t>359</w:t>
      </w:r>
      <w:r w:rsidRPr="00322CC6">
        <w:rPr>
          <w:lang w:eastAsia="zh-CN"/>
        </w:rPr>
        <w:t xml:space="preserve"> (</w:t>
      </w:r>
      <w:r w:rsidRPr="00322CC6">
        <w:rPr>
          <w:b/>
          <w:lang w:eastAsia="zh-CN"/>
        </w:rPr>
        <w:t>Rev.WRC</w:t>
      </w:r>
      <w:r w:rsidR="00A108C3">
        <w:rPr>
          <w:b/>
          <w:lang w:eastAsia="zh-CN"/>
        </w:rPr>
        <w:t>-</w:t>
      </w:r>
      <w:r w:rsidRPr="00322CC6">
        <w:rPr>
          <w:b/>
          <w:lang w:eastAsia="zh-CN"/>
        </w:rPr>
        <w:t>15</w:t>
      </w:r>
      <w:r w:rsidRPr="00322CC6">
        <w:rPr>
          <w:lang w:eastAsia="zh-CN"/>
        </w:rPr>
        <w:t>);</w:t>
      </w:r>
    </w:p>
    <w:p w:rsidR="0026541F" w:rsidRPr="00322CC6" w:rsidRDefault="0026541F" w:rsidP="00EF2075">
      <w:pPr>
        <w:tabs>
          <w:tab w:val="left" w:pos="2127"/>
        </w:tabs>
        <w:spacing w:before="120" w:after="120"/>
        <w:ind w:left="1440"/>
      </w:pPr>
      <w:r w:rsidRPr="0026541F">
        <w:rPr>
          <w:b/>
          <w:bCs/>
        </w:rPr>
        <w:t>1.9</w:t>
      </w:r>
      <w:r w:rsidRPr="00322CC6">
        <w:tab/>
      </w:r>
      <w:r w:rsidRPr="00322CC6">
        <w:rPr>
          <w:lang w:eastAsia="nl-NL"/>
        </w:rPr>
        <w:t>to consider, based on the results of ITU</w:t>
      </w:r>
      <w:r w:rsidR="00A108C3">
        <w:rPr>
          <w:lang w:eastAsia="nl-NL"/>
        </w:rPr>
        <w:t>-</w:t>
      </w:r>
      <w:r w:rsidRPr="00322CC6">
        <w:rPr>
          <w:lang w:eastAsia="nl-NL"/>
        </w:rPr>
        <w:t>R studies</w:t>
      </w:r>
      <w:r w:rsidR="00EF2075">
        <w:rPr>
          <w:lang w:eastAsia="nl-NL"/>
        </w:rPr>
        <w:t>:</w:t>
      </w:r>
    </w:p>
    <w:p w:rsidR="0026541F" w:rsidRPr="00322CC6" w:rsidRDefault="0026541F" w:rsidP="002B5F1E">
      <w:pPr>
        <w:spacing w:before="120" w:after="120"/>
        <w:ind w:left="1418" w:firstLine="22"/>
      </w:pPr>
      <w:r w:rsidRPr="0026541F">
        <w:rPr>
          <w:b/>
          <w:bCs/>
        </w:rPr>
        <w:t>1.9.1</w:t>
      </w:r>
      <w:r w:rsidRPr="00322CC6">
        <w:tab/>
        <w:t>regulatory actions within the frequency band 156-162.05 MHz for autonomous maritime radio devices to protect the GMDSS and a</w:t>
      </w:r>
      <w:r>
        <w:t>utomatic identifications system</w:t>
      </w:r>
      <w:r w:rsidRPr="00322CC6">
        <w:t xml:space="preserve"> (AIS), in accordance with Resolution </w:t>
      </w:r>
      <w:r w:rsidRPr="00322CC6">
        <w:rPr>
          <w:b/>
          <w:bCs/>
        </w:rPr>
        <w:t>COM6/10 (WRC</w:t>
      </w:r>
      <w:r w:rsidR="00A108C3">
        <w:rPr>
          <w:b/>
          <w:bCs/>
        </w:rPr>
        <w:t>-</w:t>
      </w:r>
      <w:r w:rsidRPr="00322CC6">
        <w:rPr>
          <w:b/>
          <w:bCs/>
        </w:rPr>
        <w:t>15)</w:t>
      </w:r>
      <w:r w:rsidRPr="00322CC6">
        <w:rPr>
          <w:lang w:eastAsia="zh-CN"/>
        </w:rPr>
        <w:t>;</w:t>
      </w:r>
    </w:p>
    <w:p w:rsidR="0026541F" w:rsidRDefault="0026541F" w:rsidP="002B5F1E">
      <w:pPr>
        <w:spacing w:before="120" w:after="120"/>
        <w:ind w:left="1418"/>
      </w:pPr>
      <w:r w:rsidRPr="0026541F">
        <w:rPr>
          <w:b/>
          <w:bCs/>
        </w:rPr>
        <w:t>1.9.2</w:t>
      </w:r>
      <w:r w:rsidRPr="00322CC6">
        <w:tab/>
      </w:r>
      <w:r w:rsidRPr="00322CC6">
        <w:rPr>
          <w:lang w:eastAsia="nl-NL"/>
        </w:rPr>
        <w:t>modifications of the Radio Regulations, including new spectrum allocations to the maritime mobile-satellite service (Earth</w:t>
      </w:r>
      <w:r w:rsidR="00A108C3">
        <w:rPr>
          <w:lang w:eastAsia="nl-NL"/>
        </w:rPr>
        <w:t>-</w:t>
      </w:r>
      <w:r w:rsidRPr="00322CC6">
        <w:rPr>
          <w:lang w:eastAsia="nl-NL"/>
        </w:rPr>
        <w:t>to</w:t>
      </w:r>
      <w:r w:rsidR="00A108C3">
        <w:rPr>
          <w:lang w:eastAsia="nl-NL"/>
        </w:rPr>
        <w:t>-</w:t>
      </w:r>
      <w:r w:rsidRPr="00322CC6">
        <w:rPr>
          <w:lang w:eastAsia="nl-NL"/>
        </w:rPr>
        <w:t>space and space-to-Earth)</w:t>
      </w:r>
      <w:r>
        <w:rPr>
          <w:lang w:eastAsia="nl-NL"/>
        </w:rPr>
        <w:t>,</w:t>
      </w:r>
      <w:r w:rsidRPr="00322CC6">
        <w:rPr>
          <w:lang w:eastAsia="nl-NL"/>
        </w:rPr>
        <w:t xml:space="preserve"> preferably within the frequency bands </w:t>
      </w:r>
      <w:r w:rsidRPr="00322CC6">
        <w:t>156.0125-157.4375 MHz and 160.6125-162.0375 MHz</w:t>
      </w:r>
      <w:r w:rsidRPr="00322CC6">
        <w:rPr>
          <w:lang w:eastAsia="nl-NL"/>
        </w:rPr>
        <w:t xml:space="preserve"> of Appendix</w:t>
      </w:r>
      <w:r w:rsidRPr="00322CC6">
        <w:t> </w:t>
      </w:r>
      <w:r w:rsidRPr="00322CC6">
        <w:rPr>
          <w:b/>
          <w:bCs/>
          <w:lang w:eastAsia="nl-NL"/>
        </w:rPr>
        <w:t>18</w:t>
      </w:r>
      <w:r w:rsidRPr="00322CC6">
        <w:rPr>
          <w:lang w:eastAsia="nl-NL"/>
        </w:rPr>
        <w:t>, to enable</w:t>
      </w:r>
      <w:r w:rsidRPr="00322CC6">
        <w:t xml:space="preserve"> a new VHF data exchange system (VDES) satellite component</w:t>
      </w:r>
      <w:r w:rsidRPr="00322CC6">
        <w:rPr>
          <w:lang w:eastAsia="nl-NL"/>
        </w:rPr>
        <w:t xml:space="preserve">, while ensuring that this component will not degrade the current terrestrial VDES components, applications specific messages (ASM) and AIS operations and </w:t>
      </w:r>
      <w:r w:rsidRPr="00322CC6">
        <w:t xml:space="preserve">not impose any additional constraints on existing services in these and adjacent frequency bands as stated in </w:t>
      </w:r>
      <w:r w:rsidRPr="00322CC6">
        <w:rPr>
          <w:i/>
        </w:rPr>
        <w:t>recognizing</w:t>
      </w:r>
      <w:r w:rsidRPr="00322CC6">
        <w:t> </w:t>
      </w:r>
      <w:r w:rsidRPr="00322CC6">
        <w:rPr>
          <w:i/>
        </w:rPr>
        <w:t>d)</w:t>
      </w:r>
      <w:r w:rsidRPr="00322CC6">
        <w:t xml:space="preserve"> and </w:t>
      </w:r>
      <w:r w:rsidRPr="00322CC6">
        <w:rPr>
          <w:i/>
        </w:rPr>
        <w:t xml:space="preserve">e) </w:t>
      </w:r>
      <w:r w:rsidRPr="00322CC6">
        <w:rPr>
          <w:iCs/>
        </w:rPr>
        <w:t>of Resolution </w:t>
      </w:r>
      <w:r w:rsidRPr="00322CC6">
        <w:rPr>
          <w:b/>
          <w:bCs/>
          <w:iCs/>
        </w:rPr>
        <w:t>360</w:t>
      </w:r>
      <w:r w:rsidRPr="00322CC6">
        <w:rPr>
          <w:iCs/>
        </w:rPr>
        <w:t xml:space="preserve"> (</w:t>
      </w:r>
      <w:r w:rsidRPr="00322CC6">
        <w:rPr>
          <w:b/>
          <w:bCs/>
          <w:iCs/>
        </w:rPr>
        <w:t>Rev.WRC</w:t>
      </w:r>
      <w:r w:rsidR="00A108C3">
        <w:rPr>
          <w:b/>
          <w:bCs/>
          <w:iCs/>
        </w:rPr>
        <w:t>-</w:t>
      </w:r>
      <w:r w:rsidRPr="00322CC6">
        <w:rPr>
          <w:b/>
          <w:bCs/>
          <w:iCs/>
        </w:rPr>
        <w:t>15</w:t>
      </w:r>
      <w:r w:rsidRPr="00322CC6">
        <w:rPr>
          <w:iCs/>
        </w:rPr>
        <w:t>)</w:t>
      </w:r>
      <w:r w:rsidRPr="00322CC6">
        <w:t>;</w:t>
      </w:r>
    </w:p>
    <w:p w:rsidR="0026541F" w:rsidRPr="00322CC6" w:rsidRDefault="0026541F" w:rsidP="002B5F1E">
      <w:pPr>
        <w:spacing w:before="120" w:after="120"/>
        <w:ind w:left="1418"/>
      </w:pPr>
      <w:r w:rsidRPr="0026541F">
        <w:rPr>
          <w:b/>
          <w:bCs/>
        </w:rPr>
        <w:t>1.10</w:t>
      </w:r>
      <w:r w:rsidRPr="00322CC6">
        <w:tab/>
        <w:t>to consider spectrum needs and regulatory provisions for the introduction and use</w:t>
      </w:r>
      <w:r w:rsidRPr="00322CC6" w:rsidDel="003F2919">
        <w:t xml:space="preserve"> </w:t>
      </w:r>
      <w:r w:rsidRPr="00322CC6">
        <w:t>of the Global Aeronautical Distress and Safety System (GADSS), in accordance with Resolution </w:t>
      </w:r>
      <w:r w:rsidRPr="00322CC6">
        <w:rPr>
          <w:b/>
          <w:bCs/>
        </w:rPr>
        <w:t>COM6/11 (WRC</w:t>
      </w:r>
      <w:r w:rsidR="00A108C3">
        <w:rPr>
          <w:b/>
          <w:bCs/>
        </w:rPr>
        <w:t>-</w:t>
      </w:r>
      <w:r w:rsidRPr="00322CC6">
        <w:rPr>
          <w:b/>
          <w:bCs/>
        </w:rPr>
        <w:t>15)</w:t>
      </w:r>
      <w:r w:rsidRPr="00322CC6">
        <w:t>;</w:t>
      </w:r>
    </w:p>
    <w:p w:rsidR="0026541F" w:rsidRPr="00322CC6" w:rsidRDefault="0026541F" w:rsidP="002B5F1E">
      <w:pPr>
        <w:spacing w:before="120" w:after="120"/>
        <w:ind w:left="1418" w:firstLine="22"/>
      </w:pPr>
      <w:r w:rsidRPr="0026541F">
        <w:rPr>
          <w:b/>
        </w:rPr>
        <w:t>1.12</w:t>
      </w:r>
      <w:r w:rsidRPr="00322CC6">
        <w:tab/>
      </w:r>
      <w:r w:rsidRPr="00322CC6">
        <w:rPr>
          <w:rFonts w:eastAsiaTheme="minorEastAsia"/>
        </w:rPr>
        <w:t xml:space="preserve">to consider possible global or regional harmonized frequency bands, to the maximum extent possible, for the implementation of evolving </w:t>
      </w:r>
      <w:r w:rsidRPr="00322CC6">
        <w:t>Intelligent Transport Systems (</w:t>
      </w:r>
      <w:r w:rsidRPr="00322CC6">
        <w:rPr>
          <w:rFonts w:eastAsiaTheme="minorEastAsia"/>
        </w:rPr>
        <w:t>ITS) under existing mobile-service allocations</w:t>
      </w:r>
      <w:r w:rsidRPr="00322CC6">
        <w:rPr>
          <w:rFonts w:eastAsia="SimSun"/>
          <w:lang w:eastAsia="zh-CN"/>
        </w:rPr>
        <w:t>, in accordance with Resolution </w:t>
      </w:r>
      <w:r w:rsidRPr="00322CC6">
        <w:rPr>
          <w:rFonts w:eastAsia="SimSun"/>
          <w:b/>
          <w:bCs/>
          <w:lang w:eastAsia="zh-CN"/>
        </w:rPr>
        <w:t>COM6/13 (WRC</w:t>
      </w:r>
      <w:r w:rsidR="00A108C3">
        <w:rPr>
          <w:rFonts w:eastAsia="SimSun"/>
          <w:b/>
          <w:bCs/>
          <w:lang w:eastAsia="zh-CN"/>
        </w:rPr>
        <w:t>-</w:t>
      </w:r>
      <w:r w:rsidRPr="00322CC6">
        <w:rPr>
          <w:rFonts w:eastAsia="SimSun"/>
          <w:b/>
          <w:bCs/>
          <w:lang w:eastAsia="zh-CN"/>
        </w:rPr>
        <w:t>15)</w:t>
      </w:r>
      <w:r w:rsidRPr="00322CC6">
        <w:rPr>
          <w:rFonts w:eastAsia="SimSun"/>
          <w:lang w:eastAsia="zh-CN"/>
        </w:rPr>
        <w:t>;</w:t>
      </w:r>
    </w:p>
    <w:p w:rsidR="0026541F" w:rsidRPr="00322CC6" w:rsidRDefault="0026541F" w:rsidP="002B5F1E">
      <w:pPr>
        <w:spacing w:before="120" w:after="120"/>
        <w:ind w:left="1418"/>
      </w:pPr>
      <w:r w:rsidRPr="0026541F">
        <w:rPr>
          <w:b/>
          <w:bCs/>
        </w:rPr>
        <w:t>1.13</w:t>
      </w:r>
      <w:r w:rsidRPr="00322CC6">
        <w:tab/>
        <w:t>to consider identification of frequency bands for the future development of International Mobile Telecommunications (IMT), including possible additional allocations to the mobile service on a primary basis, in accordance with Resolution </w:t>
      </w:r>
      <w:r w:rsidRPr="00322CC6">
        <w:rPr>
          <w:rFonts w:eastAsia="SimSun"/>
          <w:b/>
          <w:bCs/>
        </w:rPr>
        <w:t>COM6/20 (WRC</w:t>
      </w:r>
      <w:r w:rsidR="00A108C3">
        <w:rPr>
          <w:rFonts w:eastAsia="SimSun"/>
          <w:b/>
          <w:bCs/>
        </w:rPr>
        <w:t>-</w:t>
      </w:r>
      <w:r w:rsidRPr="00322CC6">
        <w:rPr>
          <w:rFonts w:eastAsia="SimSun"/>
          <w:b/>
          <w:bCs/>
        </w:rPr>
        <w:t>15)</w:t>
      </w:r>
      <w:r w:rsidRPr="00322CC6">
        <w:rPr>
          <w:rFonts w:eastAsia="SimSun"/>
        </w:rPr>
        <w:t>;</w:t>
      </w:r>
    </w:p>
    <w:p w:rsidR="0026541F" w:rsidRPr="00322CC6" w:rsidRDefault="0026541F" w:rsidP="002B5F1E">
      <w:pPr>
        <w:spacing w:before="120" w:after="120"/>
        <w:ind w:left="1418" w:firstLine="22"/>
      </w:pPr>
      <w:r w:rsidRPr="0026541F">
        <w:rPr>
          <w:b/>
          <w:bCs/>
        </w:rPr>
        <w:t>1.14</w:t>
      </w:r>
      <w:r w:rsidRPr="00322CC6">
        <w:tab/>
        <w:t>to consider, on the basis of ITU</w:t>
      </w:r>
      <w:r w:rsidR="00A108C3">
        <w:t>-</w:t>
      </w:r>
      <w:r w:rsidRPr="00322CC6">
        <w:t>R studies in accordance with Resolution </w:t>
      </w:r>
      <w:r w:rsidRPr="00322CC6">
        <w:rPr>
          <w:b/>
          <w:bCs/>
        </w:rPr>
        <w:t>COM6/21 (WRC</w:t>
      </w:r>
      <w:r w:rsidR="00A108C3">
        <w:rPr>
          <w:b/>
          <w:bCs/>
        </w:rPr>
        <w:t>-</w:t>
      </w:r>
      <w:r w:rsidRPr="00322CC6">
        <w:rPr>
          <w:b/>
          <w:bCs/>
        </w:rPr>
        <w:t>15)</w:t>
      </w:r>
      <w:r w:rsidRPr="00322CC6">
        <w:t>, appropriate regulatory actions for high-altitude platform stations (HAPS), within existing fixed-service allocations;</w:t>
      </w:r>
    </w:p>
    <w:p w:rsidR="0026541F" w:rsidRPr="00322CC6" w:rsidRDefault="0026541F" w:rsidP="002B5F1E">
      <w:pPr>
        <w:spacing w:before="120" w:after="120"/>
        <w:ind w:left="1418" w:firstLine="22"/>
      </w:pPr>
      <w:r w:rsidRPr="0026541F">
        <w:rPr>
          <w:b/>
          <w:bCs/>
        </w:rPr>
        <w:t>1.16</w:t>
      </w:r>
      <w:r w:rsidRPr="00322CC6">
        <w:tab/>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sidRPr="00322CC6">
        <w:rPr>
          <w:b/>
        </w:rPr>
        <w:t>COM6/22 (WRC</w:t>
      </w:r>
      <w:r w:rsidR="00A108C3">
        <w:rPr>
          <w:b/>
        </w:rPr>
        <w:t>-</w:t>
      </w:r>
      <w:r w:rsidRPr="00322CC6">
        <w:rPr>
          <w:b/>
        </w:rPr>
        <w:t>15)</w:t>
      </w:r>
      <w:r w:rsidRPr="00322CC6">
        <w:t>;</w:t>
      </w:r>
    </w:p>
    <w:p w:rsidR="0026541F" w:rsidRPr="00322CC6" w:rsidRDefault="0026541F" w:rsidP="002B5F1E">
      <w:pPr>
        <w:spacing w:before="120" w:after="120"/>
        <w:ind w:left="1418" w:firstLine="22"/>
      </w:pPr>
      <w:r w:rsidRPr="0026541F">
        <w:rPr>
          <w:b/>
          <w:bCs/>
        </w:rPr>
        <w:t>4</w:t>
      </w:r>
      <w:r w:rsidRPr="00322CC6">
        <w:tab/>
        <w:t>in accordance with Resolution </w:t>
      </w:r>
      <w:r w:rsidRPr="00322CC6">
        <w:rPr>
          <w:b/>
          <w:bCs/>
        </w:rPr>
        <w:t>95 (Rev.WRC</w:t>
      </w:r>
      <w:r w:rsidR="00EF2075">
        <w:rPr>
          <w:b/>
          <w:bCs/>
        </w:rPr>
        <w:t>-</w:t>
      </w:r>
      <w:r w:rsidRPr="00322CC6">
        <w:rPr>
          <w:b/>
          <w:bCs/>
        </w:rPr>
        <w:t>07)</w:t>
      </w:r>
      <w:r w:rsidRPr="00322CC6">
        <w:t>, to review the resolutions and recommendations of previous conferences with a view to their possible revision, replacement or abrogation;</w:t>
      </w:r>
    </w:p>
    <w:p w:rsidR="0026541F" w:rsidRPr="00322CC6" w:rsidRDefault="0026541F" w:rsidP="002B5F1E">
      <w:pPr>
        <w:spacing w:before="120" w:after="120"/>
        <w:ind w:left="1418"/>
      </w:pPr>
      <w:r w:rsidRPr="0026541F">
        <w:rPr>
          <w:b/>
          <w:bCs/>
        </w:rPr>
        <w:t>8</w:t>
      </w:r>
      <w:r w:rsidRPr="00322CC6">
        <w:tab/>
        <w:t>to consider and take appropriate action on requests from administrations to delete their country footnotes or to have their country name deleted from footnotes, if no longer required, taking into account Resolution </w:t>
      </w:r>
      <w:r w:rsidRPr="00322CC6">
        <w:rPr>
          <w:b/>
          <w:bCs/>
        </w:rPr>
        <w:t>26 (Rev.WRC</w:t>
      </w:r>
      <w:r w:rsidR="00EF2075">
        <w:rPr>
          <w:b/>
          <w:bCs/>
        </w:rPr>
        <w:t>-</w:t>
      </w:r>
      <w:r w:rsidRPr="00322CC6">
        <w:rPr>
          <w:b/>
          <w:bCs/>
        </w:rPr>
        <w:t>07)</w:t>
      </w:r>
      <w:r w:rsidRPr="00322CC6">
        <w:t>;</w:t>
      </w:r>
    </w:p>
    <w:p w:rsidR="0026541F" w:rsidRPr="00322CC6" w:rsidRDefault="0026541F" w:rsidP="002B5F1E">
      <w:pPr>
        <w:spacing w:before="120" w:after="120"/>
        <w:ind w:left="1418" w:firstLine="22"/>
      </w:pPr>
      <w:r w:rsidRPr="0026541F">
        <w:rPr>
          <w:b/>
          <w:bCs/>
        </w:rPr>
        <w:lastRenderedPageBreak/>
        <w:t>9</w:t>
      </w:r>
      <w:r w:rsidRPr="00322CC6">
        <w:tab/>
        <w:t>to consider and approve the Report of the Director of the Radiocommunication Bureau, in accordance with Article 7 of the Convention:</w:t>
      </w:r>
    </w:p>
    <w:p w:rsidR="0026541F" w:rsidRPr="00322CC6" w:rsidRDefault="0026541F" w:rsidP="0026541F">
      <w:pPr>
        <w:spacing w:before="120" w:after="120"/>
        <w:ind w:left="1440"/>
      </w:pPr>
      <w:r w:rsidRPr="0026541F">
        <w:rPr>
          <w:b/>
          <w:bCs/>
        </w:rPr>
        <w:t>9.1</w:t>
      </w:r>
      <w:r w:rsidRPr="00322CC6">
        <w:tab/>
        <w:t>on the activities of the Radiocommunication Sector since WRC</w:t>
      </w:r>
      <w:r w:rsidRPr="00322CC6">
        <w:noBreakHyphen/>
        <w:t>15;</w:t>
      </w:r>
    </w:p>
    <w:p w:rsidR="0026541F" w:rsidRPr="005359AC" w:rsidRDefault="0026541F" w:rsidP="0026541F">
      <w:pPr>
        <w:pStyle w:val="ListParagraph"/>
        <w:ind w:left="1440"/>
        <w:rPr>
          <w:b/>
          <w:szCs w:val="22"/>
        </w:rPr>
      </w:pPr>
    </w:p>
    <w:p w:rsidR="005B4935" w:rsidRDefault="00171C50" w:rsidP="00431AD3">
      <w:pPr>
        <w:pStyle w:val="3Para"/>
        <w:widowControl w:val="0"/>
        <w:numPr>
          <w:ilvl w:val="0"/>
          <w:numId w:val="0"/>
        </w:numPr>
        <w:jc w:val="center"/>
        <w:rPr>
          <w:lang w:eastAsia="zh-CN"/>
        </w:rPr>
      </w:pPr>
      <w:r>
        <w:rPr>
          <w:lang w:eastAsia="zh-CN"/>
        </w:rPr>
        <w:t>— — — — — — — —</w:t>
      </w:r>
    </w:p>
    <w:p w:rsidR="009B6914" w:rsidRDefault="009B6914" w:rsidP="00722628">
      <w:pPr>
        <w:jc w:val="center"/>
        <w:rPr>
          <w:szCs w:val="22"/>
          <w:lang w:eastAsia="zh-CN"/>
        </w:rPr>
        <w:sectPr w:rsidR="009B6914" w:rsidSect="00FF419F">
          <w:headerReference w:type="even" r:id="rId13"/>
          <w:headerReference w:type="default" r:id="rId14"/>
          <w:footerReference w:type="even" r:id="rId15"/>
          <w:footerReference w:type="default" r:id="rId16"/>
          <w:headerReference w:type="first" r:id="rId17"/>
          <w:footerReference w:type="first" r:id="rId18"/>
          <w:pgSz w:w="12240" w:h="15840" w:code="9"/>
          <w:pgMar w:top="1008" w:right="1440" w:bottom="1008" w:left="1440" w:header="1008" w:footer="1008" w:gutter="0"/>
          <w:pgNumType w:start="1"/>
          <w:cols w:space="720"/>
          <w:titlePg/>
          <w:docGrid w:linePitch="360"/>
        </w:sectPr>
      </w:pPr>
      <w:bookmarkStart w:id="22" w:name="appTitle1"/>
      <w:bookmarkEnd w:id="22"/>
    </w:p>
    <w:p w:rsidR="00826F03" w:rsidRDefault="00826F03" w:rsidP="00722628">
      <w:pPr>
        <w:jc w:val="center"/>
        <w:rPr>
          <w:szCs w:val="22"/>
          <w:lang w:eastAsia="zh-CN"/>
        </w:rPr>
      </w:pPr>
    </w:p>
    <w:p w:rsidR="00E05D0D" w:rsidRDefault="00E05D0D" w:rsidP="0013369E">
      <w:pPr>
        <w:jc w:val="center"/>
        <w:rPr>
          <w:b/>
        </w:rPr>
      </w:pPr>
      <w:r w:rsidRPr="00BB584B">
        <w:rPr>
          <w:b/>
        </w:rPr>
        <w:t xml:space="preserve">APPENDIX </w:t>
      </w:r>
      <w:r>
        <w:rPr>
          <w:b/>
        </w:rPr>
        <w:t>B</w:t>
      </w:r>
    </w:p>
    <w:p w:rsidR="00E05D0D" w:rsidRDefault="00E05D0D" w:rsidP="00E05D0D">
      <w:pPr>
        <w:jc w:val="center"/>
        <w:rPr>
          <w:b/>
        </w:rPr>
      </w:pPr>
    </w:p>
    <w:p w:rsidR="00417494" w:rsidRPr="00EF2075" w:rsidRDefault="00E05D0D" w:rsidP="00E05D0D">
      <w:pPr>
        <w:pStyle w:val="TitleMain"/>
        <w:rPr>
          <w:sz w:val="28"/>
          <w:szCs w:val="28"/>
        </w:rPr>
      </w:pPr>
      <w:r w:rsidRPr="00EF2075">
        <w:rPr>
          <w:sz w:val="28"/>
          <w:szCs w:val="28"/>
        </w:rPr>
        <w:t>Radioregulatory amendments and additi</w:t>
      </w:r>
      <w:r w:rsidR="00417494" w:rsidRPr="00EF2075">
        <w:rPr>
          <w:sz w:val="28"/>
          <w:szCs w:val="28"/>
        </w:rPr>
        <w:t>ons by WRC-15</w:t>
      </w:r>
    </w:p>
    <w:p w:rsidR="00417494" w:rsidRDefault="00E05D0D" w:rsidP="00CD5427">
      <w:pPr>
        <w:pStyle w:val="TitleMain"/>
        <w:spacing w:before="120" w:after="120"/>
      </w:pPr>
      <w:r>
        <w:t xml:space="preserve">relevant to </w:t>
      </w:r>
    </w:p>
    <w:p w:rsidR="00417494" w:rsidRDefault="00E05D0D" w:rsidP="00E05D0D">
      <w:pPr>
        <w:pStyle w:val="TitleMain"/>
      </w:pPr>
      <w:r>
        <w:t xml:space="preserve">WRC-15 </w:t>
      </w:r>
      <w:r w:rsidR="00417494">
        <w:t xml:space="preserve">Agenda Items 1.5, 9.1.5, Global Flight Tracking for Civil Aviation </w:t>
      </w:r>
    </w:p>
    <w:p w:rsidR="00417494" w:rsidRDefault="00417494" w:rsidP="00CD5427">
      <w:pPr>
        <w:pStyle w:val="TitleMain"/>
        <w:spacing w:before="120" w:after="120"/>
      </w:pPr>
      <w:r>
        <w:t xml:space="preserve">and </w:t>
      </w:r>
    </w:p>
    <w:p w:rsidR="00417494" w:rsidRDefault="00417494" w:rsidP="00E05D0D">
      <w:pPr>
        <w:pStyle w:val="TitleMain"/>
      </w:pPr>
      <w:r>
        <w:t>WRC-19 Agenda Item 1.10 on GADSS</w:t>
      </w:r>
    </w:p>
    <w:p w:rsidR="00E05D0D" w:rsidRDefault="00E05D0D" w:rsidP="00E05D0D">
      <w:pPr>
        <w:pStyle w:val="TitleMain"/>
      </w:pPr>
    </w:p>
    <w:p w:rsidR="00417494" w:rsidRPr="00BB584B" w:rsidRDefault="00417494" w:rsidP="00E05D0D">
      <w:pPr>
        <w:pStyle w:val="TitleMain"/>
      </w:pPr>
    </w:p>
    <w:p w:rsidR="00E05D0D" w:rsidRPr="0013369E" w:rsidRDefault="00417494" w:rsidP="00EF2075">
      <w:pPr>
        <w:pStyle w:val="TitleMain"/>
        <w:jc w:val="both"/>
      </w:pPr>
      <w:r w:rsidRPr="0013369E">
        <w:t xml:space="preserve">WRC-15 Agenda Item 1.5: </w:t>
      </w:r>
      <w:r w:rsidRPr="0013369E">
        <w:rPr>
          <w:lang w:val="en-CA"/>
        </w:rPr>
        <w:t>To consider the use of frequency bands allocated to the fixed-satellite service not subject to Appendices 30, 30A and 30B for the control and non-payload communications of unmanned aircraft systems (UAS) in non-segregated airspaces, in accordance with Resolution 153 (WRC-12</w:t>
      </w:r>
      <w:r w:rsidRPr="0013369E">
        <w:t xml:space="preserve">) </w:t>
      </w:r>
    </w:p>
    <w:p w:rsidR="00417494" w:rsidRDefault="00417494" w:rsidP="0013369E">
      <w:pPr>
        <w:pStyle w:val="TitleMain"/>
        <w:jc w:val="left"/>
      </w:pPr>
    </w:p>
    <w:p w:rsidR="00417494" w:rsidRDefault="00417494" w:rsidP="00D867D8">
      <w:pPr>
        <w:pStyle w:val="Proposal"/>
      </w:pPr>
      <w:r>
        <w:t>MOD</w:t>
      </w:r>
      <w:r>
        <w:rPr>
          <w:vanish/>
          <w:color w:val="7F7F7F" w:themeColor="text1" w:themeTint="80"/>
          <w:vertAlign w:val="superscript"/>
        </w:rPr>
        <w:t>#35333</w:t>
      </w:r>
    </w:p>
    <w:p w:rsidR="00417494" w:rsidRPr="00302721" w:rsidRDefault="00417494" w:rsidP="00417494">
      <w:pPr>
        <w:pStyle w:val="Tabletitle"/>
      </w:pPr>
      <w:r w:rsidRPr="00302721">
        <w:t>10-11.7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417494" w:rsidRPr="00302721" w:rsidTr="0013369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Allocation to services</w:t>
            </w:r>
          </w:p>
        </w:tc>
      </w:tr>
      <w:tr w:rsidR="00417494" w:rsidRPr="00302721" w:rsidTr="0013369E">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Region 1</w:t>
            </w:r>
          </w:p>
        </w:tc>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Region 2</w:t>
            </w:r>
          </w:p>
        </w:tc>
        <w:tc>
          <w:tcPr>
            <w:tcW w:w="3102"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Region 3</w:t>
            </w:r>
          </w:p>
        </w:tc>
      </w:tr>
      <w:tr w:rsidR="00417494" w:rsidRPr="00302721" w:rsidTr="0013369E">
        <w:trPr>
          <w:cantSplit/>
          <w:jc w:val="center"/>
        </w:trPr>
        <w:tc>
          <w:tcPr>
            <w:tcW w:w="3101" w:type="dxa"/>
            <w:tcBorders>
              <w:top w:val="single" w:sz="4" w:space="0" w:color="auto"/>
              <w:left w:val="single" w:sz="6" w:space="0" w:color="auto"/>
              <w:bottom w:val="single" w:sz="4" w:space="0" w:color="auto"/>
              <w:right w:val="single" w:sz="6" w:space="0" w:color="auto"/>
            </w:tcBorders>
            <w:hideMark/>
          </w:tcPr>
          <w:p w:rsidR="00417494" w:rsidRPr="00302721" w:rsidRDefault="00417494" w:rsidP="0013369E">
            <w:pPr>
              <w:pStyle w:val="TableTextS5"/>
              <w:spacing w:before="50" w:after="50"/>
              <w:rPr>
                <w:rStyle w:val="Tablefreq"/>
              </w:rPr>
            </w:pPr>
            <w:r w:rsidRPr="00302721">
              <w:rPr>
                <w:rStyle w:val="Tablefreq"/>
              </w:rPr>
              <w:t>10.7-10.95</w:t>
            </w:r>
          </w:p>
          <w:p w:rsidR="00417494" w:rsidRPr="00302721" w:rsidRDefault="00417494" w:rsidP="0013369E">
            <w:pPr>
              <w:pStyle w:val="TableTextS5"/>
              <w:spacing w:before="50" w:after="50"/>
              <w:rPr>
                <w:color w:val="000000"/>
              </w:rPr>
            </w:pPr>
            <w:r w:rsidRPr="00302721">
              <w:rPr>
                <w:color w:val="000000"/>
              </w:rPr>
              <w:t>FIXED</w:t>
            </w:r>
          </w:p>
          <w:p w:rsidR="00417494" w:rsidRPr="00302721" w:rsidRDefault="00417494" w:rsidP="0013369E">
            <w:pPr>
              <w:pStyle w:val="TableTextS5"/>
              <w:spacing w:before="50" w:after="5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5.441</w:t>
            </w:r>
            <w:r w:rsidRPr="00302721">
              <w:rPr>
                <w:color w:val="000000"/>
              </w:rPr>
              <w:br/>
              <w:t xml:space="preserve">(Earth-to-space)  </w:t>
            </w:r>
            <w:r w:rsidRPr="00302721">
              <w:rPr>
                <w:rStyle w:val="Artref"/>
                <w:color w:val="000000"/>
              </w:rPr>
              <w:t>5.484</w:t>
            </w:r>
          </w:p>
          <w:p w:rsidR="00417494" w:rsidRPr="00302721" w:rsidRDefault="00417494" w:rsidP="0013369E">
            <w:pPr>
              <w:pStyle w:val="TableTextS5"/>
              <w:spacing w:before="50" w:after="50"/>
              <w:ind w:left="170" w:hanging="170"/>
              <w:rPr>
                <w:color w:val="000000"/>
              </w:rPr>
            </w:pPr>
            <w:r w:rsidRPr="00302721">
              <w:rPr>
                <w:color w:val="000000"/>
              </w:rPr>
              <w:t>MOBILE except aeronautical</w:t>
            </w:r>
            <w:r w:rsidRPr="00302721">
              <w:rPr>
                <w:color w:val="000000"/>
              </w:rPr>
              <w:br/>
              <w:t>mobile</w:t>
            </w:r>
          </w:p>
        </w:tc>
        <w:tc>
          <w:tcPr>
            <w:tcW w:w="6203" w:type="dxa"/>
            <w:gridSpan w:val="2"/>
            <w:tcBorders>
              <w:top w:val="single" w:sz="4" w:space="0" w:color="auto"/>
              <w:left w:val="single" w:sz="6" w:space="0" w:color="auto"/>
              <w:bottom w:val="single" w:sz="4" w:space="0" w:color="auto"/>
              <w:right w:val="single" w:sz="6" w:space="0" w:color="auto"/>
            </w:tcBorders>
            <w:hideMark/>
          </w:tcPr>
          <w:p w:rsidR="00417494" w:rsidRPr="00302721" w:rsidRDefault="00417494" w:rsidP="0013369E">
            <w:pPr>
              <w:pStyle w:val="TableTextS5"/>
              <w:tabs>
                <w:tab w:val="clear" w:pos="170"/>
                <w:tab w:val="clear" w:pos="567"/>
                <w:tab w:val="clear" w:pos="737"/>
                <w:tab w:val="left" w:pos="594"/>
                <w:tab w:val="left" w:pos="878"/>
              </w:tabs>
              <w:spacing w:before="50" w:after="50"/>
              <w:ind w:left="57" w:right="130"/>
              <w:rPr>
                <w:rStyle w:val="Tablefreq"/>
              </w:rPr>
            </w:pPr>
            <w:r w:rsidRPr="00302721">
              <w:rPr>
                <w:rStyle w:val="Tablefreq"/>
              </w:rPr>
              <w:t>10.7-10.95</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FIXED</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 xml:space="preserve">FIXED-SATELLITE (space-to-Earth)  </w:t>
            </w:r>
            <w:r w:rsidRPr="00302721">
              <w:rPr>
                <w:rStyle w:val="Artref"/>
                <w:color w:val="000000"/>
              </w:rPr>
              <w:t>5.441</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MOBILE except aeronautical mobile</w:t>
            </w:r>
          </w:p>
        </w:tc>
      </w:tr>
      <w:tr w:rsidR="00417494" w:rsidRPr="00302721" w:rsidTr="0013369E">
        <w:trPr>
          <w:cantSplit/>
          <w:jc w:val="center"/>
        </w:trPr>
        <w:tc>
          <w:tcPr>
            <w:tcW w:w="3101" w:type="dxa"/>
            <w:tcBorders>
              <w:top w:val="single" w:sz="4" w:space="0" w:color="auto"/>
              <w:left w:val="single" w:sz="6" w:space="0" w:color="auto"/>
              <w:bottom w:val="single" w:sz="4" w:space="0" w:color="auto"/>
              <w:right w:val="single" w:sz="6" w:space="0" w:color="auto"/>
            </w:tcBorders>
          </w:tcPr>
          <w:p w:rsidR="00417494" w:rsidRPr="00302721" w:rsidRDefault="00417494" w:rsidP="0013369E">
            <w:pPr>
              <w:pStyle w:val="TableTextS5"/>
              <w:spacing w:before="50" w:after="50"/>
              <w:rPr>
                <w:rStyle w:val="Tablefreq"/>
              </w:rPr>
            </w:pPr>
            <w:r w:rsidRPr="00302721">
              <w:rPr>
                <w:rStyle w:val="Tablefreq"/>
              </w:rPr>
              <w:t>10.95-11.2</w:t>
            </w:r>
          </w:p>
          <w:p w:rsidR="00417494" w:rsidRPr="00302721" w:rsidRDefault="00417494" w:rsidP="0013369E">
            <w:pPr>
              <w:pStyle w:val="TableTextS5"/>
              <w:spacing w:before="50" w:after="50"/>
              <w:rPr>
                <w:color w:val="000000"/>
              </w:rPr>
            </w:pPr>
            <w:r w:rsidRPr="00302721">
              <w:rPr>
                <w:color w:val="000000"/>
              </w:rPr>
              <w:t>FIXED</w:t>
            </w:r>
          </w:p>
          <w:p w:rsidR="00417494" w:rsidRPr="00302721" w:rsidRDefault="00417494" w:rsidP="0013369E">
            <w:pPr>
              <w:pStyle w:val="TableTextS5"/>
              <w:spacing w:before="50" w:after="5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5.484A</w:t>
            </w:r>
            <w:r w:rsidRPr="00302721">
              <w:rPr>
                <w:rStyle w:val="Artref"/>
                <w:color w:val="000000"/>
              </w:rPr>
              <w:br/>
            </w:r>
            <w:r w:rsidRPr="0013369E">
              <w:rPr>
                <w:rStyle w:val="Artref"/>
                <w:highlight w:val="lightGray"/>
              </w:rPr>
              <w:t>ADD 5.A15</w:t>
            </w:r>
            <w:r w:rsidRPr="00302721">
              <w:rPr>
                <w:color w:val="000000"/>
              </w:rPr>
              <w:br/>
              <w:t xml:space="preserve">(Earth-to-space)  </w:t>
            </w:r>
            <w:r w:rsidRPr="00302721">
              <w:rPr>
                <w:rStyle w:val="Artref"/>
                <w:color w:val="000000"/>
              </w:rPr>
              <w:t>5.484</w:t>
            </w:r>
          </w:p>
          <w:p w:rsidR="00417494" w:rsidRPr="00302721" w:rsidRDefault="00417494" w:rsidP="0013369E">
            <w:pPr>
              <w:pStyle w:val="TableTextS5"/>
              <w:spacing w:before="50" w:after="50"/>
              <w:ind w:left="170" w:hanging="170"/>
              <w:rPr>
                <w:color w:val="000000"/>
              </w:rPr>
            </w:pPr>
            <w:r w:rsidRPr="00302721">
              <w:rPr>
                <w:color w:val="000000"/>
              </w:rPr>
              <w:t>MOBILE except aeronautical</w:t>
            </w:r>
            <w:r w:rsidRPr="00302721">
              <w:rPr>
                <w:color w:val="000000"/>
              </w:rPr>
              <w:br/>
              <w:t>mobile</w:t>
            </w:r>
          </w:p>
        </w:tc>
        <w:tc>
          <w:tcPr>
            <w:tcW w:w="6203" w:type="dxa"/>
            <w:gridSpan w:val="2"/>
            <w:tcBorders>
              <w:top w:val="single" w:sz="4" w:space="0" w:color="auto"/>
              <w:left w:val="single" w:sz="6" w:space="0" w:color="auto"/>
              <w:bottom w:val="single" w:sz="4" w:space="0" w:color="auto"/>
              <w:right w:val="single" w:sz="6" w:space="0" w:color="auto"/>
            </w:tcBorders>
          </w:tcPr>
          <w:p w:rsidR="00417494" w:rsidRPr="00302721" w:rsidRDefault="00417494" w:rsidP="0013369E">
            <w:pPr>
              <w:pStyle w:val="TableTextS5"/>
              <w:tabs>
                <w:tab w:val="clear" w:pos="170"/>
                <w:tab w:val="clear" w:pos="567"/>
                <w:tab w:val="clear" w:pos="737"/>
                <w:tab w:val="left" w:pos="594"/>
                <w:tab w:val="left" w:pos="878"/>
              </w:tabs>
              <w:spacing w:before="50" w:after="50"/>
              <w:ind w:left="57" w:right="130"/>
              <w:rPr>
                <w:rStyle w:val="Tablefreq"/>
              </w:rPr>
            </w:pPr>
            <w:r w:rsidRPr="00302721">
              <w:rPr>
                <w:rStyle w:val="Tablefreq"/>
              </w:rPr>
              <w:t>10.95-11.2</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FIXED</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FIXED-SATELLITE (space-to-Earth)</w:t>
            </w:r>
            <w:r w:rsidRPr="00302721">
              <w:t xml:space="preserve">  </w:t>
            </w:r>
            <w:r w:rsidRPr="00302721">
              <w:rPr>
                <w:rStyle w:val="Artref"/>
                <w:color w:val="000000"/>
              </w:rPr>
              <w:t xml:space="preserve">5.484A </w:t>
            </w:r>
            <w:r w:rsidRPr="0013369E">
              <w:rPr>
                <w:rStyle w:val="Artref"/>
                <w:color w:val="000000"/>
                <w:highlight w:val="lightGray"/>
              </w:rPr>
              <w:t>ADD 5.A15</w:t>
            </w:r>
          </w:p>
          <w:p w:rsidR="00417494" w:rsidRPr="0013369E" w:rsidRDefault="00417494" w:rsidP="0013369E">
            <w:pPr>
              <w:pStyle w:val="TableTextS5"/>
              <w:tabs>
                <w:tab w:val="clear" w:pos="170"/>
                <w:tab w:val="left" w:pos="459"/>
              </w:tabs>
              <w:spacing w:before="50" w:after="50"/>
              <w:ind w:right="130"/>
              <w:rPr>
                <w:color w:val="000000"/>
              </w:rPr>
            </w:pPr>
            <w:r w:rsidRPr="00302721">
              <w:rPr>
                <w:color w:val="000000"/>
              </w:rPr>
              <w:tab/>
              <w:t>MOBILE except aeronautical mobile</w:t>
            </w:r>
          </w:p>
        </w:tc>
      </w:tr>
      <w:tr w:rsidR="00417494" w:rsidRPr="00302721" w:rsidTr="0013369E">
        <w:trPr>
          <w:cantSplit/>
          <w:jc w:val="center"/>
        </w:trPr>
        <w:tc>
          <w:tcPr>
            <w:tcW w:w="3101" w:type="dxa"/>
            <w:tcBorders>
              <w:top w:val="single" w:sz="4" w:space="0" w:color="auto"/>
              <w:left w:val="single" w:sz="6" w:space="0" w:color="auto"/>
              <w:bottom w:val="single" w:sz="4" w:space="0" w:color="auto"/>
              <w:right w:val="single" w:sz="6" w:space="0" w:color="auto"/>
            </w:tcBorders>
          </w:tcPr>
          <w:p w:rsidR="00417494" w:rsidRPr="00302721" w:rsidRDefault="00417494" w:rsidP="0013369E">
            <w:pPr>
              <w:pStyle w:val="TableTextS5"/>
              <w:spacing w:before="50" w:after="50"/>
              <w:rPr>
                <w:rStyle w:val="Tablefreq"/>
              </w:rPr>
            </w:pPr>
            <w:r w:rsidRPr="00302721">
              <w:rPr>
                <w:rStyle w:val="Tablefreq"/>
              </w:rPr>
              <w:t>11.2-11.45</w:t>
            </w:r>
          </w:p>
          <w:p w:rsidR="00417494" w:rsidRPr="00302721" w:rsidRDefault="00417494" w:rsidP="0013369E">
            <w:pPr>
              <w:pStyle w:val="TableTextS5"/>
              <w:spacing w:before="50" w:after="50"/>
              <w:rPr>
                <w:color w:val="000000"/>
              </w:rPr>
            </w:pPr>
            <w:r w:rsidRPr="00302721">
              <w:rPr>
                <w:color w:val="000000"/>
              </w:rPr>
              <w:t>FIXED</w:t>
            </w:r>
          </w:p>
          <w:p w:rsidR="00417494" w:rsidRPr="00302721" w:rsidRDefault="00417494" w:rsidP="0013369E">
            <w:pPr>
              <w:pStyle w:val="TableTextS5"/>
              <w:spacing w:before="50" w:after="5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5.441</w:t>
            </w:r>
            <w:r w:rsidRPr="00302721">
              <w:rPr>
                <w:color w:val="000000"/>
              </w:rPr>
              <w:br/>
              <w:t xml:space="preserve">(Earth-to-space)  </w:t>
            </w:r>
            <w:r w:rsidRPr="00302721">
              <w:rPr>
                <w:rStyle w:val="Artref"/>
                <w:color w:val="000000"/>
              </w:rPr>
              <w:t>5.484</w:t>
            </w:r>
          </w:p>
          <w:p w:rsidR="00417494" w:rsidRPr="0013369E" w:rsidRDefault="00417494" w:rsidP="0013369E">
            <w:pPr>
              <w:pStyle w:val="TableTextS5"/>
              <w:spacing w:before="50" w:after="50"/>
              <w:ind w:left="170" w:hanging="170"/>
              <w:rPr>
                <w:color w:val="000000"/>
              </w:rPr>
            </w:pPr>
            <w:r w:rsidRPr="00302721">
              <w:rPr>
                <w:color w:val="000000"/>
              </w:rPr>
              <w:t>MOBILE except aeronautical</w:t>
            </w:r>
            <w:r w:rsidRPr="00302721">
              <w:rPr>
                <w:color w:val="000000"/>
              </w:rPr>
              <w:br/>
              <w:t>mobile</w:t>
            </w:r>
          </w:p>
        </w:tc>
        <w:tc>
          <w:tcPr>
            <w:tcW w:w="6203" w:type="dxa"/>
            <w:gridSpan w:val="2"/>
            <w:tcBorders>
              <w:top w:val="single" w:sz="4" w:space="0" w:color="auto"/>
              <w:left w:val="single" w:sz="6" w:space="0" w:color="auto"/>
              <w:bottom w:val="single" w:sz="4" w:space="0" w:color="auto"/>
              <w:right w:val="single" w:sz="6" w:space="0" w:color="auto"/>
            </w:tcBorders>
          </w:tcPr>
          <w:p w:rsidR="00417494" w:rsidRPr="00302721" w:rsidRDefault="00417494" w:rsidP="0013369E">
            <w:pPr>
              <w:pStyle w:val="TableTextS5"/>
              <w:tabs>
                <w:tab w:val="clear" w:pos="170"/>
                <w:tab w:val="clear" w:pos="567"/>
                <w:tab w:val="clear" w:pos="737"/>
                <w:tab w:val="left" w:pos="594"/>
                <w:tab w:val="left" w:pos="878"/>
              </w:tabs>
              <w:spacing w:before="50" w:after="50"/>
              <w:ind w:left="57" w:right="130"/>
              <w:rPr>
                <w:rStyle w:val="Tablefreq"/>
              </w:rPr>
            </w:pPr>
            <w:r w:rsidRPr="00302721">
              <w:rPr>
                <w:rStyle w:val="Tablefreq"/>
              </w:rPr>
              <w:t>11.2-11.45</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FIXED</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 xml:space="preserve">FIXED-SATELLITE (space-to-Earth)  </w:t>
            </w:r>
            <w:r w:rsidRPr="00302721">
              <w:rPr>
                <w:rStyle w:val="Artref"/>
                <w:color w:val="000000"/>
              </w:rPr>
              <w:t>5.441</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MOBILE except aeronautical mobile</w:t>
            </w:r>
          </w:p>
        </w:tc>
      </w:tr>
      <w:tr w:rsidR="00417494" w:rsidRPr="00302721" w:rsidTr="0013369E">
        <w:trPr>
          <w:cantSplit/>
          <w:jc w:val="center"/>
        </w:trPr>
        <w:tc>
          <w:tcPr>
            <w:tcW w:w="3101" w:type="dxa"/>
            <w:tcBorders>
              <w:top w:val="single" w:sz="4" w:space="0" w:color="auto"/>
              <w:left w:val="single" w:sz="6" w:space="0" w:color="auto"/>
              <w:bottom w:val="single" w:sz="6" w:space="0" w:color="auto"/>
              <w:right w:val="single" w:sz="6" w:space="0" w:color="auto"/>
            </w:tcBorders>
          </w:tcPr>
          <w:p w:rsidR="00417494" w:rsidRPr="00302721" w:rsidRDefault="00417494" w:rsidP="0013369E">
            <w:pPr>
              <w:pStyle w:val="TableTextS5"/>
              <w:spacing w:before="50" w:after="50"/>
              <w:rPr>
                <w:rStyle w:val="Tablefreq"/>
              </w:rPr>
            </w:pPr>
            <w:r w:rsidRPr="00302721">
              <w:rPr>
                <w:rStyle w:val="Tablefreq"/>
              </w:rPr>
              <w:lastRenderedPageBreak/>
              <w:t>11.45-11.7</w:t>
            </w:r>
          </w:p>
          <w:p w:rsidR="00417494" w:rsidRPr="00302721" w:rsidRDefault="00417494" w:rsidP="0013369E">
            <w:pPr>
              <w:pStyle w:val="TableTextS5"/>
              <w:spacing w:before="50" w:after="50"/>
              <w:rPr>
                <w:color w:val="000000"/>
              </w:rPr>
            </w:pPr>
            <w:r w:rsidRPr="00302721">
              <w:rPr>
                <w:color w:val="000000"/>
              </w:rPr>
              <w:t>FIXED</w:t>
            </w:r>
          </w:p>
          <w:p w:rsidR="00417494" w:rsidRPr="00302721" w:rsidRDefault="00417494" w:rsidP="0013369E">
            <w:pPr>
              <w:pStyle w:val="TableTextS5"/>
              <w:spacing w:before="50" w:after="5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5.484A</w:t>
            </w:r>
            <w:r w:rsidRPr="00302721">
              <w:rPr>
                <w:color w:val="000000"/>
              </w:rPr>
              <w:br/>
              <w:t xml:space="preserve">(Earth-to-space)  </w:t>
            </w:r>
            <w:r w:rsidRPr="00302721">
              <w:rPr>
                <w:rStyle w:val="Artref"/>
                <w:color w:val="000000"/>
              </w:rPr>
              <w:t xml:space="preserve">5.484 </w:t>
            </w:r>
            <w:r w:rsidRPr="0013369E">
              <w:rPr>
                <w:rStyle w:val="Artref"/>
                <w:color w:val="000000"/>
                <w:highlight w:val="lightGray"/>
              </w:rPr>
              <w:t>ADD 5.A15</w:t>
            </w:r>
          </w:p>
          <w:p w:rsidR="00417494" w:rsidRPr="0013369E" w:rsidRDefault="00417494" w:rsidP="0013369E">
            <w:pPr>
              <w:pStyle w:val="TableTextS5"/>
              <w:spacing w:before="50" w:after="50"/>
              <w:ind w:left="170" w:hanging="170"/>
              <w:rPr>
                <w:color w:val="000000"/>
              </w:rPr>
            </w:pPr>
            <w:r w:rsidRPr="00302721">
              <w:rPr>
                <w:color w:val="000000"/>
              </w:rPr>
              <w:t>MOBILE except aeronautical</w:t>
            </w:r>
            <w:r w:rsidRPr="00302721">
              <w:rPr>
                <w:color w:val="000000"/>
              </w:rPr>
              <w:br/>
              <w:t>mobile</w:t>
            </w:r>
          </w:p>
        </w:tc>
        <w:tc>
          <w:tcPr>
            <w:tcW w:w="6203" w:type="dxa"/>
            <w:gridSpan w:val="2"/>
            <w:tcBorders>
              <w:top w:val="single" w:sz="4" w:space="0" w:color="auto"/>
              <w:left w:val="single" w:sz="6" w:space="0" w:color="auto"/>
              <w:bottom w:val="single" w:sz="6" w:space="0" w:color="auto"/>
              <w:right w:val="single" w:sz="6" w:space="0" w:color="auto"/>
            </w:tcBorders>
          </w:tcPr>
          <w:p w:rsidR="00417494" w:rsidRPr="00302721" w:rsidRDefault="00417494" w:rsidP="0013369E">
            <w:pPr>
              <w:pStyle w:val="TableTextS5"/>
              <w:tabs>
                <w:tab w:val="clear" w:pos="170"/>
                <w:tab w:val="clear" w:pos="567"/>
                <w:tab w:val="clear" w:pos="737"/>
                <w:tab w:val="left" w:pos="594"/>
                <w:tab w:val="left" w:pos="878"/>
              </w:tabs>
              <w:spacing w:before="50" w:after="50"/>
              <w:ind w:left="57" w:right="130"/>
              <w:rPr>
                <w:rStyle w:val="Tablefreq"/>
              </w:rPr>
            </w:pPr>
            <w:r w:rsidRPr="00302721">
              <w:rPr>
                <w:rStyle w:val="Tablefreq"/>
              </w:rPr>
              <w:t>11.45-11.7</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FIXED</w:t>
            </w:r>
          </w:p>
          <w:p w:rsidR="00417494" w:rsidRPr="00302721" w:rsidRDefault="00417494" w:rsidP="0013369E">
            <w:pPr>
              <w:pStyle w:val="TableTextS5"/>
              <w:tabs>
                <w:tab w:val="clear" w:pos="170"/>
                <w:tab w:val="left" w:pos="459"/>
              </w:tabs>
              <w:spacing w:before="50" w:after="50"/>
              <w:ind w:right="130"/>
              <w:rPr>
                <w:color w:val="000000"/>
              </w:rPr>
            </w:pPr>
            <w:r w:rsidRPr="00302721">
              <w:rPr>
                <w:color w:val="000000"/>
              </w:rPr>
              <w:tab/>
              <w:t>FIXED-SATELLITE (space-to-Earth)</w:t>
            </w:r>
            <w:r w:rsidRPr="00302721">
              <w:t xml:space="preserve">  </w:t>
            </w:r>
            <w:r w:rsidRPr="00302721">
              <w:rPr>
                <w:rStyle w:val="Artref"/>
                <w:color w:val="000000"/>
              </w:rPr>
              <w:t xml:space="preserve">5.484A </w:t>
            </w:r>
            <w:r w:rsidRPr="0013369E">
              <w:rPr>
                <w:rStyle w:val="Artref"/>
                <w:color w:val="000000"/>
                <w:highlight w:val="lightGray"/>
              </w:rPr>
              <w:t>ADD 5.A15</w:t>
            </w:r>
          </w:p>
          <w:p w:rsidR="00417494" w:rsidRPr="0013369E" w:rsidRDefault="00417494" w:rsidP="0013369E">
            <w:pPr>
              <w:pStyle w:val="TableTextS5"/>
              <w:tabs>
                <w:tab w:val="clear" w:pos="170"/>
                <w:tab w:val="left" w:pos="459"/>
              </w:tabs>
              <w:spacing w:before="50" w:after="50"/>
              <w:ind w:right="130"/>
              <w:rPr>
                <w:color w:val="000000"/>
              </w:rPr>
            </w:pPr>
            <w:r w:rsidRPr="00302721">
              <w:rPr>
                <w:color w:val="000000"/>
              </w:rPr>
              <w:tab/>
              <w:t>MOBILE except aeronautical mobile</w:t>
            </w:r>
          </w:p>
        </w:tc>
      </w:tr>
    </w:tbl>
    <w:p w:rsidR="00417494" w:rsidRDefault="00417494" w:rsidP="00D867D8">
      <w:pPr>
        <w:pStyle w:val="Proposal"/>
      </w:pPr>
      <w:r>
        <w:t>MOD</w:t>
      </w:r>
      <w:r>
        <w:rPr>
          <w:vanish/>
          <w:color w:val="7F7F7F" w:themeColor="text1" w:themeTint="80"/>
          <w:vertAlign w:val="superscript"/>
        </w:rPr>
        <w:t>#35334</w:t>
      </w:r>
    </w:p>
    <w:p w:rsidR="00417494" w:rsidRPr="00302721" w:rsidRDefault="00417494" w:rsidP="00417494">
      <w:pPr>
        <w:pStyle w:val="Tabletitle"/>
      </w:pPr>
      <w:r w:rsidRPr="00302721">
        <w:t>11.7-14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17494" w:rsidRPr="00302721" w:rsidTr="0013369E">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17494" w:rsidRPr="00302721" w:rsidRDefault="00417494" w:rsidP="0013369E">
            <w:pPr>
              <w:pStyle w:val="Tablehead"/>
            </w:pPr>
            <w:r w:rsidRPr="00302721">
              <w:t>Allocation to services</w:t>
            </w:r>
          </w:p>
        </w:tc>
      </w:tr>
      <w:tr w:rsidR="00417494" w:rsidRPr="00302721" w:rsidTr="0013369E">
        <w:trPr>
          <w:cantSplit/>
          <w:jc w:val="center"/>
        </w:trPr>
        <w:tc>
          <w:tcPr>
            <w:tcW w:w="3101" w:type="dxa"/>
            <w:tcBorders>
              <w:top w:val="single" w:sz="6" w:space="0" w:color="auto"/>
              <w:left w:val="single" w:sz="6" w:space="0" w:color="auto"/>
              <w:bottom w:val="single" w:sz="6" w:space="0" w:color="auto"/>
              <w:right w:val="single" w:sz="6" w:space="0" w:color="auto"/>
            </w:tcBorders>
          </w:tcPr>
          <w:p w:rsidR="00417494" w:rsidRPr="00302721" w:rsidRDefault="00417494" w:rsidP="0013369E">
            <w:pPr>
              <w:pStyle w:val="Tablehead"/>
            </w:pPr>
            <w:r w:rsidRPr="00302721">
              <w:t>Region 1</w:t>
            </w:r>
          </w:p>
        </w:tc>
        <w:tc>
          <w:tcPr>
            <w:tcW w:w="3101" w:type="dxa"/>
            <w:tcBorders>
              <w:top w:val="single" w:sz="6" w:space="0" w:color="auto"/>
              <w:left w:val="single" w:sz="6" w:space="0" w:color="auto"/>
              <w:bottom w:val="single" w:sz="6" w:space="0" w:color="auto"/>
              <w:right w:val="single" w:sz="6" w:space="0" w:color="auto"/>
            </w:tcBorders>
          </w:tcPr>
          <w:p w:rsidR="00417494" w:rsidRPr="00302721" w:rsidRDefault="00417494" w:rsidP="0013369E">
            <w:pPr>
              <w:pStyle w:val="Tablehead"/>
            </w:pPr>
            <w:r w:rsidRPr="00302721">
              <w:t>Region 2</w:t>
            </w:r>
          </w:p>
        </w:tc>
        <w:tc>
          <w:tcPr>
            <w:tcW w:w="3101" w:type="dxa"/>
            <w:tcBorders>
              <w:top w:val="single" w:sz="6" w:space="0" w:color="auto"/>
              <w:left w:val="single" w:sz="6" w:space="0" w:color="auto"/>
              <w:bottom w:val="single" w:sz="6" w:space="0" w:color="auto"/>
              <w:right w:val="single" w:sz="6" w:space="0" w:color="auto"/>
            </w:tcBorders>
          </w:tcPr>
          <w:p w:rsidR="00417494" w:rsidRPr="00302721" w:rsidRDefault="00417494" w:rsidP="0013369E">
            <w:pPr>
              <w:pStyle w:val="Tablehead"/>
            </w:pPr>
            <w:r w:rsidRPr="00302721">
              <w:t>Region 3</w:t>
            </w:r>
          </w:p>
        </w:tc>
      </w:tr>
      <w:tr w:rsidR="00417494" w:rsidRPr="00302721" w:rsidTr="0013369E">
        <w:trPr>
          <w:cantSplit/>
          <w:jc w:val="center"/>
        </w:trPr>
        <w:tc>
          <w:tcPr>
            <w:tcW w:w="3101" w:type="dxa"/>
            <w:vMerge w:val="restart"/>
            <w:tcBorders>
              <w:top w:val="single" w:sz="6" w:space="0" w:color="auto"/>
              <w:left w:val="single" w:sz="6" w:space="0" w:color="auto"/>
              <w:right w:val="single" w:sz="6" w:space="0" w:color="auto"/>
            </w:tcBorders>
          </w:tcPr>
          <w:p w:rsidR="00417494" w:rsidRPr="00302721" w:rsidRDefault="00417494" w:rsidP="0013369E">
            <w:pPr>
              <w:pStyle w:val="TableTextS5"/>
              <w:spacing w:before="30" w:after="30"/>
              <w:rPr>
                <w:rStyle w:val="Tablefreq"/>
              </w:rPr>
            </w:pPr>
            <w:r w:rsidRPr="00302721">
              <w:rPr>
                <w:rStyle w:val="Tablefreq"/>
              </w:rPr>
              <w:t>11.7-12.5</w:t>
            </w:r>
          </w:p>
          <w:p w:rsidR="00417494" w:rsidRPr="00302721" w:rsidRDefault="00417494" w:rsidP="0013369E">
            <w:pPr>
              <w:pStyle w:val="TableTextS5"/>
              <w:spacing w:before="30" w:after="30"/>
              <w:rPr>
                <w:color w:val="000000"/>
              </w:rPr>
            </w:pPr>
            <w:r w:rsidRPr="00302721">
              <w:rPr>
                <w:color w:val="000000"/>
              </w:rPr>
              <w:t>FIXED</w:t>
            </w:r>
          </w:p>
          <w:p w:rsidR="00417494" w:rsidRPr="00302721" w:rsidRDefault="00417494" w:rsidP="0013369E">
            <w:pPr>
              <w:pStyle w:val="TableTextS5"/>
              <w:spacing w:before="30" w:after="30"/>
              <w:ind w:left="170" w:hanging="170"/>
              <w:rPr>
                <w:color w:val="000000"/>
              </w:rPr>
            </w:pPr>
            <w:r w:rsidRPr="00302721">
              <w:rPr>
                <w:color w:val="000000"/>
              </w:rPr>
              <w:t>MOBILE except aeronautical mobile</w:t>
            </w:r>
          </w:p>
          <w:p w:rsidR="00417494" w:rsidRPr="00302721" w:rsidRDefault="00417494" w:rsidP="0013369E">
            <w:pPr>
              <w:pStyle w:val="TableTextS5"/>
              <w:spacing w:before="30" w:after="30"/>
              <w:rPr>
                <w:color w:val="000000"/>
              </w:rPr>
            </w:pPr>
            <w:r w:rsidRPr="00302721">
              <w:rPr>
                <w:color w:val="000000"/>
              </w:rPr>
              <w:t>BROADCASTING</w:t>
            </w:r>
          </w:p>
          <w:p w:rsidR="00417494" w:rsidRPr="00302721" w:rsidRDefault="00417494" w:rsidP="0013369E">
            <w:pPr>
              <w:pStyle w:val="TableTextS5"/>
              <w:spacing w:before="30" w:after="30"/>
              <w:ind w:left="170" w:hanging="170"/>
            </w:pPr>
            <w:r w:rsidRPr="00302721">
              <w:rPr>
                <w:color w:val="000000"/>
              </w:rPr>
              <w:t>BROADCASTING-SATELLITE</w:t>
            </w:r>
            <w:r w:rsidRPr="00302721">
              <w:rPr>
                <w:color w:val="000000"/>
              </w:rPr>
              <w:br/>
            </w:r>
            <w:r w:rsidRPr="00302721">
              <w:rPr>
                <w:rStyle w:val="Artref"/>
                <w:color w:val="000000"/>
              </w:rPr>
              <w:t>5.492</w:t>
            </w:r>
          </w:p>
        </w:tc>
        <w:tc>
          <w:tcPr>
            <w:tcW w:w="3101" w:type="dxa"/>
            <w:tcBorders>
              <w:top w:val="single" w:sz="6" w:space="0" w:color="auto"/>
              <w:left w:val="single" w:sz="6" w:space="0" w:color="auto"/>
              <w:bottom w:val="single" w:sz="4" w:space="0" w:color="auto"/>
              <w:right w:val="single" w:sz="6" w:space="0" w:color="auto"/>
            </w:tcBorders>
          </w:tcPr>
          <w:p w:rsidR="00417494" w:rsidRPr="00302721" w:rsidRDefault="00417494" w:rsidP="0013369E">
            <w:pPr>
              <w:pStyle w:val="TableTextS5"/>
              <w:spacing w:before="30" w:after="30"/>
              <w:rPr>
                <w:rStyle w:val="Tablefreq"/>
              </w:rPr>
            </w:pPr>
            <w:r w:rsidRPr="00302721">
              <w:rPr>
                <w:rStyle w:val="Tablefreq"/>
              </w:rPr>
              <w:t>11.7-12.1</w:t>
            </w:r>
          </w:p>
          <w:p w:rsidR="00417494" w:rsidRPr="00302721" w:rsidRDefault="00417494" w:rsidP="0013369E">
            <w:pPr>
              <w:pStyle w:val="TableTextS5"/>
              <w:spacing w:before="30" w:after="30"/>
              <w:rPr>
                <w:color w:val="000000"/>
              </w:rPr>
            </w:pPr>
            <w:r w:rsidRPr="00302721">
              <w:rPr>
                <w:color w:val="000000"/>
              </w:rPr>
              <w:t xml:space="preserve">FIXED  </w:t>
            </w:r>
            <w:r w:rsidRPr="00302721">
              <w:rPr>
                <w:rStyle w:val="Artref"/>
                <w:color w:val="000000"/>
              </w:rPr>
              <w:t>5.486</w:t>
            </w:r>
          </w:p>
          <w:p w:rsidR="00417494" w:rsidRPr="00302721" w:rsidRDefault="00417494" w:rsidP="0013369E">
            <w:pPr>
              <w:pStyle w:val="TableTextS5"/>
              <w:spacing w:before="30" w:after="3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 xml:space="preserve">5.484A  5.488  </w:t>
            </w:r>
            <w:r w:rsidRPr="0013369E">
              <w:rPr>
                <w:rStyle w:val="Artref"/>
                <w:color w:val="000000"/>
                <w:highlight w:val="lightGray"/>
              </w:rPr>
              <w:t>ADD 5.A15</w:t>
            </w:r>
          </w:p>
          <w:p w:rsidR="00417494" w:rsidRPr="00302721" w:rsidRDefault="00417494" w:rsidP="0013369E">
            <w:pPr>
              <w:pStyle w:val="TableTextS5"/>
              <w:spacing w:before="30" w:after="30"/>
              <w:ind w:left="170" w:hanging="170"/>
              <w:rPr>
                <w:color w:val="000000"/>
              </w:rPr>
            </w:pPr>
            <w:r w:rsidRPr="00302721">
              <w:rPr>
                <w:color w:val="000000"/>
              </w:rPr>
              <w:t>Mobile except aeronautical mobile</w:t>
            </w:r>
          </w:p>
          <w:p w:rsidR="00417494" w:rsidRPr="00302721" w:rsidRDefault="00417494" w:rsidP="0013369E">
            <w:pPr>
              <w:pStyle w:val="TableTextS5"/>
            </w:pPr>
            <w:r w:rsidRPr="00302721">
              <w:rPr>
                <w:rStyle w:val="Artref"/>
                <w:color w:val="000000"/>
              </w:rPr>
              <w:t>5.485</w:t>
            </w:r>
          </w:p>
        </w:tc>
        <w:tc>
          <w:tcPr>
            <w:tcW w:w="3101" w:type="dxa"/>
            <w:vMerge w:val="restart"/>
            <w:tcBorders>
              <w:top w:val="single" w:sz="6" w:space="0" w:color="auto"/>
              <w:left w:val="single" w:sz="6" w:space="0" w:color="auto"/>
              <w:bottom w:val="nil"/>
              <w:right w:val="single" w:sz="6" w:space="0" w:color="auto"/>
            </w:tcBorders>
          </w:tcPr>
          <w:p w:rsidR="00417494" w:rsidRPr="00302721" w:rsidRDefault="00417494" w:rsidP="0013369E">
            <w:pPr>
              <w:pStyle w:val="TableTextS5"/>
              <w:spacing w:before="30" w:after="30"/>
              <w:rPr>
                <w:rStyle w:val="Tablefreq"/>
              </w:rPr>
            </w:pPr>
            <w:r w:rsidRPr="00302721">
              <w:rPr>
                <w:rStyle w:val="Tablefreq"/>
              </w:rPr>
              <w:t>11.7-12.2</w:t>
            </w:r>
          </w:p>
          <w:p w:rsidR="00417494" w:rsidRPr="00302721" w:rsidRDefault="00417494" w:rsidP="0013369E">
            <w:pPr>
              <w:pStyle w:val="TableTextS5"/>
              <w:spacing w:before="30" w:after="30"/>
              <w:rPr>
                <w:color w:val="000000"/>
              </w:rPr>
            </w:pPr>
            <w:r w:rsidRPr="00302721">
              <w:rPr>
                <w:color w:val="000000"/>
              </w:rPr>
              <w:t>FIXED</w:t>
            </w:r>
          </w:p>
          <w:p w:rsidR="00417494" w:rsidRPr="00302721" w:rsidRDefault="00417494" w:rsidP="0013369E">
            <w:pPr>
              <w:pStyle w:val="TableTextS5"/>
              <w:spacing w:before="30" w:after="30"/>
              <w:ind w:left="170" w:hanging="170"/>
              <w:rPr>
                <w:color w:val="000000"/>
              </w:rPr>
            </w:pPr>
            <w:r w:rsidRPr="00302721">
              <w:rPr>
                <w:color w:val="000000"/>
              </w:rPr>
              <w:t>MOBILE except aeronautical mobile</w:t>
            </w:r>
          </w:p>
          <w:p w:rsidR="00417494" w:rsidRPr="00302721" w:rsidRDefault="00417494" w:rsidP="0013369E">
            <w:pPr>
              <w:pStyle w:val="TableTextS5"/>
              <w:spacing w:before="30" w:after="30"/>
              <w:rPr>
                <w:color w:val="000000"/>
              </w:rPr>
            </w:pPr>
            <w:r w:rsidRPr="00302721">
              <w:rPr>
                <w:color w:val="000000"/>
              </w:rPr>
              <w:t>BROADCASTING</w:t>
            </w:r>
          </w:p>
          <w:p w:rsidR="00417494" w:rsidRPr="00302721" w:rsidRDefault="00417494" w:rsidP="0013369E">
            <w:pPr>
              <w:pStyle w:val="TableTextS5"/>
              <w:spacing w:before="30" w:after="30"/>
              <w:ind w:left="170" w:hanging="170"/>
            </w:pPr>
            <w:r w:rsidRPr="00302721">
              <w:rPr>
                <w:color w:val="000000"/>
              </w:rPr>
              <w:t>BROADCASTING-SATELLITE</w:t>
            </w:r>
            <w:r w:rsidRPr="00302721">
              <w:rPr>
                <w:color w:val="000000"/>
              </w:rPr>
              <w:br/>
            </w:r>
            <w:r w:rsidRPr="00302721">
              <w:rPr>
                <w:rStyle w:val="Artref"/>
                <w:color w:val="000000"/>
              </w:rPr>
              <w:t>5.492</w:t>
            </w:r>
          </w:p>
        </w:tc>
      </w:tr>
      <w:tr w:rsidR="00417494" w:rsidRPr="00302721" w:rsidTr="0013369E">
        <w:trPr>
          <w:cantSplit/>
          <w:jc w:val="center"/>
        </w:trPr>
        <w:tc>
          <w:tcPr>
            <w:tcW w:w="3101" w:type="dxa"/>
            <w:vMerge/>
            <w:tcBorders>
              <w:left w:val="single" w:sz="6" w:space="0" w:color="auto"/>
              <w:right w:val="single" w:sz="6" w:space="0" w:color="auto"/>
            </w:tcBorders>
          </w:tcPr>
          <w:p w:rsidR="00417494" w:rsidRPr="00302721" w:rsidRDefault="00417494" w:rsidP="0013369E">
            <w:pPr>
              <w:pStyle w:val="TableTextS5"/>
            </w:pPr>
          </w:p>
        </w:tc>
        <w:tc>
          <w:tcPr>
            <w:tcW w:w="3101" w:type="dxa"/>
            <w:tcBorders>
              <w:top w:val="single" w:sz="4" w:space="0" w:color="auto"/>
              <w:left w:val="single" w:sz="6" w:space="0" w:color="auto"/>
              <w:right w:val="single" w:sz="6" w:space="0" w:color="auto"/>
            </w:tcBorders>
          </w:tcPr>
          <w:p w:rsidR="00417494" w:rsidRPr="00302721" w:rsidRDefault="00417494" w:rsidP="0013369E">
            <w:pPr>
              <w:pStyle w:val="TableTextS5"/>
              <w:spacing w:before="30" w:after="30"/>
              <w:rPr>
                <w:rStyle w:val="Tablefreq"/>
              </w:rPr>
            </w:pPr>
            <w:r w:rsidRPr="00302721">
              <w:rPr>
                <w:rStyle w:val="Tablefreq"/>
              </w:rPr>
              <w:t>12.1-12.2</w:t>
            </w:r>
          </w:p>
          <w:p w:rsidR="00417494" w:rsidRPr="00302721" w:rsidRDefault="00417494" w:rsidP="0013369E">
            <w:pPr>
              <w:pStyle w:val="TableTextS5"/>
              <w:ind w:left="170" w:hanging="170"/>
            </w:pPr>
            <w:r w:rsidRPr="00302721">
              <w:rPr>
                <w:color w:val="000000"/>
              </w:rPr>
              <w:t xml:space="preserve">FIXED-SATELLITE </w:t>
            </w:r>
            <w:r w:rsidRPr="00302721">
              <w:rPr>
                <w:color w:val="000000"/>
              </w:rPr>
              <w:br/>
              <w:t xml:space="preserve">(space-to-Earth)  </w:t>
            </w:r>
            <w:r w:rsidRPr="00302721">
              <w:rPr>
                <w:rStyle w:val="Artref"/>
                <w:color w:val="000000"/>
              </w:rPr>
              <w:t xml:space="preserve">5.484A  5.488  </w:t>
            </w:r>
            <w:r w:rsidRPr="0013369E">
              <w:rPr>
                <w:rStyle w:val="Artref"/>
                <w:color w:val="000000"/>
                <w:highlight w:val="lightGray"/>
              </w:rPr>
              <w:t>ADD 5.A15</w:t>
            </w:r>
          </w:p>
        </w:tc>
        <w:tc>
          <w:tcPr>
            <w:tcW w:w="3101" w:type="dxa"/>
            <w:vMerge/>
            <w:tcBorders>
              <w:left w:val="single" w:sz="6" w:space="0" w:color="auto"/>
              <w:right w:val="single" w:sz="6" w:space="0" w:color="auto"/>
            </w:tcBorders>
          </w:tcPr>
          <w:p w:rsidR="00417494" w:rsidRPr="00302721" w:rsidRDefault="00417494" w:rsidP="0013369E">
            <w:pPr>
              <w:pStyle w:val="TableTextS5"/>
            </w:pPr>
          </w:p>
        </w:tc>
      </w:tr>
      <w:tr w:rsidR="00417494" w:rsidRPr="00302721" w:rsidTr="0013369E">
        <w:tblPrEx>
          <w:tblLook w:val="04A0" w:firstRow="1" w:lastRow="0" w:firstColumn="1" w:lastColumn="0" w:noHBand="0" w:noVBand="1"/>
        </w:tblPrEx>
        <w:trPr>
          <w:cantSplit/>
          <w:jc w:val="center"/>
        </w:trPr>
        <w:tc>
          <w:tcPr>
            <w:tcW w:w="3101" w:type="dxa"/>
            <w:vMerge/>
            <w:tcBorders>
              <w:left w:val="single" w:sz="6" w:space="0" w:color="auto"/>
              <w:right w:val="single" w:sz="6" w:space="0" w:color="auto"/>
            </w:tcBorders>
          </w:tcPr>
          <w:p w:rsidR="00417494" w:rsidRPr="00302721" w:rsidRDefault="00417494" w:rsidP="0013369E">
            <w:pPr>
              <w:pStyle w:val="TableTextS5"/>
              <w:spacing w:before="30" w:after="30"/>
              <w:rPr>
                <w:color w:val="000000"/>
              </w:rPr>
            </w:pPr>
          </w:p>
        </w:tc>
        <w:tc>
          <w:tcPr>
            <w:tcW w:w="3101" w:type="dxa"/>
            <w:tcBorders>
              <w:top w:val="nil"/>
              <w:left w:val="nil"/>
              <w:bottom w:val="single" w:sz="4" w:space="0" w:color="auto"/>
              <w:right w:val="single" w:sz="6" w:space="0" w:color="auto"/>
            </w:tcBorders>
            <w:hideMark/>
          </w:tcPr>
          <w:p w:rsidR="00417494" w:rsidRPr="00302721" w:rsidRDefault="00417494" w:rsidP="0013369E">
            <w:pPr>
              <w:pStyle w:val="TableTextS5"/>
              <w:spacing w:before="30" w:after="30"/>
              <w:rPr>
                <w:color w:val="000000"/>
              </w:rPr>
            </w:pPr>
            <w:r w:rsidRPr="00302721">
              <w:rPr>
                <w:rStyle w:val="Artref"/>
                <w:color w:val="000000"/>
              </w:rPr>
              <w:t>5.485</w:t>
            </w:r>
            <w:r w:rsidRPr="00302721">
              <w:rPr>
                <w:color w:val="000000"/>
              </w:rPr>
              <w:t xml:space="preserve">  </w:t>
            </w:r>
            <w:r w:rsidRPr="00302721">
              <w:rPr>
                <w:rStyle w:val="Artref"/>
                <w:color w:val="000000"/>
              </w:rPr>
              <w:t>5.489</w:t>
            </w:r>
          </w:p>
        </w:tc>
        <w:tc>
          <w:tcPr>
            <w:tcW w:w="3101" w:type="dxa"/>
            <w:tcBorders>
              <w:top w:val="nil"/>
              <w:left w:val="nil"/>
              <w:bottom w:val="single" w:sz="4" w:space="0" w:color="auto"/>
              <w:right w:val="single" w:sz="4" w:space="0" w:color="auto"/>
            </w:tcBorders>
            <w:hideMark/>
          </w:tcPr>
          <w:p w:rsidR="00417494" w:rsidRPr="00302721" w:rsidRDefault="00417494" w:rsidP="0013369E">
            <w:pPr>
              <w:pStyle w:val="TableTextS5"/>
              <w:spacing w:before="30" w:after="30"/>
              <w:rPr>
                <w:color w:val="000000"/>
              </w:rPr>
            </w:pPr>
            <w:r w:rsidRPr="00302721">
              <w:rPr>
                <w:rStyle w:val="Artref"/>
                <w:color w:val="000000"/>
              </w:rPr>
              <w:t>5.487</w:t>
            </w:r>
            <w:r w:rsidRPr="00302721">
              <w:rPr>
                <w:color w:val="000000"/>
              </w:rPr>
              <w:t xml:space="preserve">  </w:t>
            </w:r>
            <w:r w:rsidRPr="00302721">
              <w:rPr>
                <w:rStyle w:val="Artref"/>
                <w:color w:val="000000"/>
              </w:rPr>
              <w:t>5.487A</w:t>
            </w:r>
          </w:p>
        </w:tc>
      </w:tr>
      <w:tr w:rsidR="00417494" w:rsidRPr="00302721" w:rsidTr="0013369E">
        <w:tblPrEx>
          <w:tblLook w:val="04A0" w:firstRow="1" w:lastRow="0" w:firstColumn="1" w:lastColumn="0" w:noHBand="0" w:noVBand="1"/>
        </w:tblPrEx>
        <w:trPr>
          <w:cantSplit/>
          <w:jc w:val="center"/>
        </w:trPr>
        <w:tc>
          <w:tcPr>
            <w:tcW w:w="3101" w:type="dxa"/>
            <w:vMerge/>
            <w:tcBorders>
              <w:left w:val="single" w:sz="6" w:space="0" w:color="auto"/>
              <w:bottom w:val="nil"/>
              <w:right w:val="single" w:sz="6" w:space="0" w:color="auto"/>
            </w:tcBorders>
          </w:tcPr>
          <w:p w:rsidR="00417494" w:rsidRPr="00302721" w:rsidRDefault="00417494" w:rsidP="0013369E">
            <w:pPr>
              <w:pStyle w:val="TableTextS5"/>
              <w:spacing w:before="30" w:after="30"/>
              <w:rPr>
                <w:color w:val="000000"/>
              </w:rPr>
            </w:pPr>
          </w:p>
        </w:tc>
        <w:tc>
          <w:tcPr>
            <w:tcW w:w="3101" w:type="dxa"/>
            <w:vMerge w:val="restart"/>
            <w:tcBorders>
              <w:top w:val="single" w:sz="4" w:space="0" w:color="auto"/>
              <w:left w:val="nil"/>
              <w:right w:val="single" w:sz="6" w:space="0" w:color="auto"/>
            </w:tcBorders>
            <w:hideMark/>
          </w:tcPr>
          <w:p w:rsidR="00417494" w:rsidRPr="00302721" w:rsidRDefault="00417494" w:rsidP="0013369E">
            <w:pPr>
              <w:pStyle w:val="TableTextS5"/>
              <w:spacing w:before="30" w:after="30"/>
              <w:rPr>
                <w:rStyle w:val="Tablefreq"/>
              </w:rPr>
            </w:pPr>
            <w:r w:rsidRPr="00302721">
              <w:rPr>
                <w:rStyle w:val="Tablefreq"/>
              </w:rPr>
              <w:t>12.2-12.7</w:t>
            </w:r>
          </w:p>
          <w:p w:rsidR="00417494" w:rsidRPr="00302721" w:rsidRDefault="00417494" w:rsidP="0013369E">
            <w:pPr>
              <w:pStyle w:val="TableTextS5"/>
              <w:spacing w:before="30" w:after="30"/>
              <w:rPr>
                <w:color w:val="000000"/>
              </w:rPr>
            </w:pPr>
            <w:r w:rsidRPr="00302721">
              <w:rPr>
                <w:color w:val="000000"/>
              </w:rPr>
              <w:t>FIXED</w:t>
            </w:r>
          </w:p>
          <w:p w:rsidR="00417494" w:rsidRPr="00302721" w:rsidRDefault="00417494" w:rsidP="0013369E">
            <w:pPr>
              <w:pStyle w:val="TableTextS5"/>
              <w:spacing w:before="30" w:after="30"/>
              <w:ind w:left="170" w:hanging="170"/>
              <w:rPr>
                <w:color w:val="000000"/>
              </w:rPr>
            </w:pPr>
            <w:r w:rsidRPr="00302721">
              <w:rPr>
                <w:color w:val="000000"/>
              </w:rPr>
              <w:t>MOBILE except aeronautical</w:t>
            </w:r>
            <w:r w:rsidRPr="00302721">
              <w:rPr>
                <w:color w:val="000000"/>
              </w:rPr>
              <w:br/>
              <w:t>mobile</w:t>
            </w:r>
          </w:p>
          <w:p w:rsidR="00417494" w:rsidRPr="00302721" w:rsidRDefault="00417494" w:rsidP="0013369E">
            <w:pPr>
              <w:pStyle w:val="TableTextS5"/>
              <w:spacing w:before="30" w:after="30"/>
              <w:rPr>
                <w:color w:val="000000"/>
              </w:rPr>
            </w:pPr>
            <w:r w:rsidRPr="00302721">
              <w:rPr>
                <w:color w:val="000000"/>
              </w:rPr>
              <w:t>BROADCASTING</w:t>
            </w:r>
          </w:p>
          <w:p w:rsidR="00417494" w:rsidRPr="00302721" w:rsidRDefault="00417494" w:rsidP="0013369E">
            <w:pPr>
              <w:pStyle w:val="TableTextS5"/>
              <w:spacing w:before="30" w:after="30"/>
              <w:ind w:left="160" w:hanging="160"/>
              <w:rPr>
                <w:color w:val="000000"/>
              </w:rPr>
            </w:pPr>
            <w:r w:rsidRPr="00302721">
              <w:rPr>
                <w:color w:val="000000"/>
              </w:rPr>
              <w:t>BROADCASTING-SATELLITE</w:t>
            </w:r>
            <w:r w:rsidRPr="00302721">
              <w:rPr>
                <w:color w:val="000000"/>
              </w:rPr>
              <w:br/>
              <w:t>5.492</w:t>
            </w:r>
          </w:p>
        </w:tc>
        <w:tc>
          <w:tcPr>
            <w:tcW w:w="3101" w:type="dxa"/>
            <w:tcBorders>
              <w:top w:val="single" w:sz="4" w:space="0" w:color="auto"/>
              <w:left w:val="nil"/>
              <w:bottom w:val="nil"/>
              <w:right w:val="single" w:sz="4" w:space="0" w:color="auto"/>
            </w:tcBorders>
            <w:hideMark/>
          </w:tcPr>
          <w:p w:rsidR="00417494" w:rsidRPr="00302721" w:rsidRDefault="00417494" w:rsidP="0013369E">
            <w:pPr>
              <w:pStyle w:val="TableTextS5"/>
              <w:spacing w:before="30" w:after="30"/>
              <w:rPr>
                <w:rStyle w:val="Tablefreq"/>
              </w:rPr>
            </w:pPr>
            <w:r w:rsidRPr="00302721">
              <w:rPr>
                <w:rStyle w:val="Tablefreq"/>
              </w:rPr>
              <w:t>12.2-12.5</w:t>
            </w:r>
          </w:p>
          <w:p w:rsidR="00417494" w:rsidRPr="00302721" w:rsidRDefault="00417494" w:rsidP="0013369E">
            <w:pPr>
              <w:pStyle w:val="TableTextS5"/>
              <w:spacing w:before="30" w:after="30"/>
              <w:rPr>
                <w:color w:val="000000"/>
              </w:rPr>
            </w:pPr>
            <w:r w:rsidRPr="00302721">
              <w:rPr>
                <w:color w:val="000000"/>
              </w:rPr>
              <w:t>FIXED</w:t>
            </w:r>
          </w:p>
          <w:p w:rsidR="00417494" w:rsidRPr="00302721" w:rsidRDefault="00417494" w:rsidP="0013369E">
            <w:pPr>
              <w:pStyle w:val="TableTextS5"/>
              <w:spacing w:before="30" w:after="3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 xml:space="preserve"> </w:t>
            </w:r>
            <w:r w:rsidRPr="0013369E">
              <w:rPr>
                <w:rStyle w:val="Artref"/>
                <w:color w:val="000000"/>
                <w:highlight w:val="lightGray"/>
              </w:rPr>
              <w:t>ADD 5.A15</w:t>
            </w:r>
          </w:p>
          <w:p w:rsidR="00417494" w:rsidRPr="00302721" w:rsidRDefault="00417494" w:rsidP="0013369E">
            <w:pPr>
              <w:pStyle w:val="TableTextS5"/>
              <w:spacing w:before="30" w:after="30"/>
              <w:ind w:left="170" w:hanging="170"/>
              <w:rPr>
                <w:color w:val="000000"/>
              </w:rPr>
            </w:pPr>
            <w:r w:rsidRPr="00302721">
              <w:rPr>
                <w:color w:val="000000"/>
              </w:rPr>
              <w:t>MOBILE except aeronautical</w:t>
            </w:r>
            <w:r w:rsidRPr="00302721">
              <w:rPr>
                <w:color w:val="000000"/>
              </w:rPr>
              <w:br/>
              <w:t>mobile</w:t>
            </w:r>
          </w:p>
          <w:p w:rsidR="00417494" w:rsidRPr="00302721" w:rsidRDefault="00417494" w:rsidP="0013369E">
            <w:pPr>
              <w:pStyle w:val="TableTextS5"/>
              <w:spacing w:before="30" w:after="30"/>
              <w:rPr>
                <w:color w:val="000000"/>
              </w:rPr>
            </w:pPr>
            <w:r w:rsidRPr="00302721">
              <w:rPr>
                <w:color w:val="000000"/>
              </w:rPr>
              <w:t>BROADCASTING</w:t>
            </w:r>
          </w:p>
        </w:tc>
      </w:tr>
      <w:tr w:rsidR="00417494" w:rsidRPr="00302721" w:rsidTr="0013369E">
        <w:tblPrEx>
          <w:tblLook w:val="04A0" w:firstRow="1" w:lastRow="0" w:firstColumn="1" w:lastColumn="0" w:noHBand="0" w:noVBand="1"/>
        </w:tblPrEx>
        <w:trPr>
          <w:cantSplit/>
          <w:jc w:val="center"/>
        </w:trPr>
        <w:tc>
          <w:tcPr>
            <w:tcW w:w="3101" w:type="dxa"/>
            <w:tcBorders>
              <w:top w:val="nil"/>
              <w:left w:val="single" w:sz="4" w:space="0" w:color="auto"/>
              <w:bottom w:val="single" w:sz="6" w:space="0" w:color="auto"/>
              <w:right w:val="single" w:sz="6" w:space="0" w:color="auto"/>
            </w:tcBorders>
            <w:hideMark/>
          </w:tcPr>
          <w:p w:rsidR="00417494" w:rsidRPr="00302721" w:rsidRDefault="00417494" w:rsidP="0013369E">
            <w:pPr>
              <w:pStyle w:val="TableTextS5"/>
              <w:spacing w:before="30" w:after="30"/>
              <w:rPr>
                <w:color w:val="000000"/>
              </w:rPr>
            </w:pPr>
            <w:r w:rsidRPr="00302721">
              <w:rPr>
                <w:rStyle w:val="Artref"/>
                <w:color w:val="000000"/>
              </w:rPr>
              <w:t>5.487</w:t>
            </w:r>
            <w:r w:rsidRPr="00302721">
              <w:rPr>
                <w:color w:val="000000"/>
              </w:rPr>
              <w:t xml:space="preserve">  </w:t>
            </w:r>
            <w:r w:rsidRPr="00302721">
              <w:rPr>
                <w:rStyle w:val="Artref"/>
                <w:color w:val="000000"/>
              </w:rPr>
              <w:t>5.487A</w:t>
            </w:r>
          </w:p>
        </w:tc>
        <w:tc>
          <w:tcPr>
            <w:tcW w:w="3101" w:type="dxa"/>
            <w:vMerge/>
            <w:tcBorders>
              <w:left w:val="nil"/>
              <w:bottom w:val="nil"/>
              <w:right w:val="single" w:sz="6" w:space="0" w:color="auto"/>
            </w:tcBorders>
          </w:tcPr>
          <w:p w:rsidR="00417494" w:rsidRPr="00302721" w:rsidRDefault="00417494" w:rsidP="0013369E">
            <w:pPr>
              <w:pStyle w:val="TableTextS5"/>
              <w:spacing w:before="30" w:after="30"/>
              <w:rPr>
                <w:rStyle w:val="Artref"/>
                <w:color w:val="000000"/>
              </w:rPr>
            </w:pPr>
          </w:p>
        </w:tc>
        <w:tc>
          <w:tcPr>
            <w:tcW w:w="3101" w:type="dxa"/>
            <w:tcBorders>
              <w:top w:val="nil"/>
              <w:left w:val="nil"/>
              <w:bottom w:val="single" w:sz="4" w:space="0" w:color="auto"/>
              <w:right w:val="single" w:sz="4" w:space="0" w:color="auto"/>
            </w:tcBorders>
            <w:hideMark/>
          </w:tcPr>
          <w:p w:rsidR="00417494" w:rsidRPr="00302721" w:rsidRDefault="00417494" w:rsidP="0013369E">
            <w:pPr>
              <w:pStyle w:val="TableTextS5"/>
              <w:spacing w:before="30" w:after="30"/>
              <w:rPr>
                <w:rStyle w:val="Artref"/>
                <w:color w:val="000000"/>
              </w:rPr>
            </w:pPr>
            <w:r w:rsidRPr="00302721">
              <w:rPr>
                <w:rStyle w:val="Artref"/>
                <w:color w:val="000000"/>
              </w:rPr>
              <w:t>5.487</w:t>
            </w:r>
            <w:r>
              <w:rPr>
                <w:rStyle w:val="Artref"/>
                <w:color w:val="000000"/>
              </w:rPr>
              <w:t xml:space="preserve"> </w:t>
            </w:r>
            <w:r w:rsidRPr="00302721">
              <w:rPr>
                <w:rStyle w:val="Artref"/>
                <w:color w:val="000000"/>
              </w:rPr>
              <w:t>5.484A</w:t>
            </w:r>
          </w:p>
        </w:tc>
      </w:tr>
      <w:tr w:rsidR="00417494" w:rsidRPr="00302721" w:rsidTr="0013369E">
        <w:tblPrEx>
          <w:tblLook w:val="04A0" w:firstRow="1" w:lastRow="0" w:firstColumn="1" w:lastColumn="0" w:noHBand="0" w:noVBand="1"/>
        </w:tblPrEx>
        <w:trPr>
          <w:cantSplit/>
          <w:jc w:val="center"/>
        </w:trPr>
        <w:tc>
          <w:tcPr>
            <w:tcW w:w="3101" w:type="dxa"/>
            <w:vMerge w:val="restart"/>
            <w:tcBorders>
              <w:top w:val="single" w:sz="6" w:space="0" w:color="auto"/>
              <w:left w:val="single" w:sz="4" w:space="0" w:color="auto"/>
              <w:right w:val="single" w:sz="6" w:space="0" w:color="auto"/>
            </w:tcBorders>
            <w:hideMark/>
          </w:tcPr>
          <w:p w:rsidR="00417494" w:rsidRPr="00302721" w:rsidRDefault="00417494" w:rsidP="0013369E">
            <w:pPr>
              <w:pStyle w:val="TableTextS5"/>
              <w:spacing w:before="30" w:after="30"/>
              <w:rPr>
                <w:rStyle w:val="Tablefreq"/>
              </w:rPr>
            </w:pPr>
            <w:r w:rsidRPr="00302721">
              <w:rPr>
                <w:rStyle w:val="Tablefreq"/>
              </w:rPr>
              <w:t>12.5-12.75</w:t>
            </w:r>
          </w:p>
          <w:p w:rsidR="00417494" w:rsidRPr="00302721" w:rsidRDefault="00417494" w:rsidP="0013369E">
            <w:pPr>
              <w:pStyle w:val="TableTextS5"/>
              <w:spacing w:before="30" w:after="3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 xml:space="preserve">5.484A  </w:t>
            </w:r>
            <w:r w:rsidRPr="0013369E">
              <w:rPr>
                <w:rStyle w:val="Artref"/>
                <w:color w:val="000000"/>
                <w:highlight w:val="lightGray"/>
              </w:rPr>
              <w:t>ADD 5.A15</w:t>
            </w:r>
            <w:r w:rsidRPr="00302721">
              <w:rPr>
                <w:color w:val="000000"/>
              </w:rPr>
              <w:br/>
              <w:t>(Earth-to-space)</w:t>
            </w:r>
          </w:p>
          <w:p w:rsidR="00417494" w:rsidRPr="00302721" w:rsidRDefault="00417494" w:rsidP="0013369E">
            <w:pPr>
              <w:pStyle w:val="TableTextS5"/>
              <w:spacing w:before="30" w:after="30"/>
              <w:rPr>
                <w:color w:val="000000"/>
              </w:rPr>
            </w:pPr>
            <w:r w:rsidRPr="00302721">
              <w:rPr>
                <w:color w:val="000000"/>
              </w:rPr>
              <w:br/>
            </w:r>
          </w:p>
          <w:p w:rsidR="00417494" w:rsidRPr="00302721" w:rsidRDefault="00417494" w:rsidP="0013369E">
            <w:pPr>
              <w:pStyle w:val="TableTextS5"/>
              <w:spacing w:before="30" w:after="30"/>
              <w:rPr>
                <w:color w:val="000000"/>
              </w:rPr>
            </w:pPr>
          </w:p>
          <w:p w:rsidR="00417494" w:rsidRPr="00302721" w:rsidRDefault="00417494" w:rsidP="0013369E">
            <w:pPr>
              <w:pStyle w:val="TableTextS5"/>
              <w:spacing w:before="30" w:after="30"/>
              <w:rPr>
                <w:rStyle w:val="Tablefreq"/>
              </w:rPr>
            </w:pPr>
            <w:r w:rsidRPr="00302721">
              <w:rPr>
                <w:rStyle w:val="Artref"/>
                <w:color w:val="000000"/>
              </w:rPr>
              <w:t>5.494</w:t>
            </w:r>
            <w:r w:rsidRPr="00302721">
              <w:rPr>
                <w:color w:val="000000"/>
              </w:rPr>
              <w:t xml:space="preserve">  </w:t>
            </w:r>
            <w:r w:rsidRPr="00302721">
              <w:rPr>
                <w:rStyle w:val="Artref"/>
                <w:color w:val="000000"/>
              </w:rPr>
              <w:t>5.495</w:t>
            </w:r>
            <w:r w:rsidRPr="00302721">
              <w:rPr>
                <w:color w:val="000000"/>
              </w:rPr>
              <w:t xml:space="preserve">  </w:t>
            </w:r>
            <w:r w:rsidRPr="00302721">
              <w:rPr>
                <w:rStyle w:val="Artref"/>
                <w:color w:val="000000"/>
              </w:rPr>
              <w:t>5.496</w:t>
            </w:r>
          </w:p>
        </w:tc>
        <w:tc>
          <w:tcPr>
            <w:tcW w:w="3101" w:type="dxa"/>
            <w:tcBorders>
              <w:top w:val="nil"/>
              <w:left w:val="nil"/>
              <w:bottom w:val="single" w:sz="4" w:space="0" w:color="auto"/>
              <w:right w:val="single" w:sz="6" w:space="0" w:color="auto"/>
            </w:tcBorders>
            <w:hideMark/>
          </w:tcPr>
          <w:p w:rsidR="00417494" w:rsidRPr="00302721" w:rsidRDefault="00417494" w:rsidP="0013369E">
            <w:pPr>
              <w:pStyle w:val="TableTextS5"/>
              <w:spacing w:before="20" w:after="20"/>
              <w:rPr>
                <w:color w:val="000000"/>
              </w:rPr>
            </w:pPr>
            <w:r w:rsidRPr="00302721">
              <w:rPr>
                <w:rStyle w:val="Artref"/>
                <w:color w:val="000000"/>
              </w:rPr>
              <w:t>5.487A</w:t>
            </w:r>
            <w:r w:rsidRPr="00302721">
              <w:rPr>
                <w:color w:val="000000"/>
              </w:rPr>
              <w:t xml:space="preserve">  </w:t>
            </w:r>
            <w:r w:rsidRPr="00302721">
              <w:rPr>
                <w:rStyle w:val="Artref"/>
                <w:color w:val="000000"/>
              </w:rPr>
              <w:t>5.488</w:t>
            </w:r>
            <w:r w:rsidRPr="00302721">
              <w:rPr>
                <w:color w:val="000000"/>
              </w:rPr>
              <w:t xml:space="preserve">  </w:t>
            </w:r>
            <w:r w:rsidRPr="00302721">
              <w:rPr>
                <w:rStyle w:val="Artref"/>
                <w:color w:val="000000"/>
              </w:rPr>
              <w:t>5.490</w:t>
            </w:r>
            <w:r w:rsidRPr="00302721">
              <w:rPr>
                <w:color w:val="000000"/>
              </w:rPr>
              <w:t xml:space="preserve">  </w:t>
            </w:r>
          </w:p>
        </w:tc>
        <w:tc>
          <w:tcPr>
            <w:tcW w:w="3101" w:type="dxa"/>
            <w:vMerge w:val="restart"/>
            <w:tcBorders>
              <w:top w:val="single" w:sz="4" w:space="0" w:color="auto"/>
              <w:left w:val="nil"/>
              <w:right w:val="single" w:sz="4" w:space="0" w:color="auto"/>
            </w:tcBorders>
            <w:hideMark/>
          </w:tcPr>
          <w:p w:rsidR="00417494" w:rsidRPr="00302721" w:rsidRDefault="00417494" w:rsidP="0013369E">
            <w:pPr>
              <w:pStyle w:val="TableTextS5"/>
              <w:spacing w:before="20" w:after="20"/>
              <w:rPr>
                <w:rStyle w:val="Tablefreq"/>
              </w:rPr>
            </w:pPr>
            <w:r w:rsidRPr="00302721">
              <w:rPr>
                <w:rStyle w:val="Tablefreq"/>
              </w:rPr>
              <w:t>12.5-12.75</w:t>
            </w:r>
          </w:p>
          <w:p w:rsidR="00417494" w:rsidRPr="00302721" w:rsidRDefault="00417494" w:rsidP="0013369E">
            <w:pPr>
              <w:pStyle w:val="TableTextS5"/>
              <w:spacing w:before="30" w:after="30"/>
              <w:rPr>
                <w:color w:val="000000"/>
              </w:rPr>
            </w:pPr>
            <w:r w:rsidRPr="00302721">
              <w:rPr>
                <w:color w:val="000000"/>
              </w:rPr>
              <w:t>FIXED</w:t>
            </w:r>
          </w:p>
          <w:p w:rsidR="00417494" w:rsidRPr="00302721" w:rsidRDefault="00417494" w:rsidP="0013369E">
            <w:pPr>
              <w:pStyle w:val="TableTextS5"/>
              <w:spacing w:before="30" w:after="30"/>
              <w:ind w:left="170" w:hanging="170"/>
              <w:rPr>
                <w:color w:val="000000"/>
              </w:rPr>
            </w:pPr>
            <w:r w:rsidRPr="00302721">
              <w:rPr>
                <w:color w:val="000000"/>
              </w:rPr>
              <w:t>FIXED-SATELLITE</w:t>
            </w:r>
            <w:r w:rsidRPr="00302721">
              <w:rPr>
                <w:color w:val="000000"/>
              </w:rPr>
              <w:br/>
              <w:t xml:space="preserve">(space-to-Earth)  </w:t>
            </w:r>
            <w:r w:rsidRPr="00302721">
              <w:rPr>
                <w:rStyle w:val="Artref"/>
                <w:color w:val="000000"/>
              </w:rPr>
              <w:t xml:space="preserve">5.484A  </w:t>
            </w:r>
            <w:r w:rsidRPr="0013369E">
              <w:rPr>
                <w:rStyle w:val="Artref"/>
                <w:color w:val="000000"/>
                <w:highlight w:val="lightGray"/>
              </w:rPr>
              <w:t>ADD 5.A15</w:t>
            </w:r>
          </w:p>
          <w:p w:rsidR="00417494" w:rsidRPr="00302721" w:rsidRDefault="00417494" w:rsidP="0013369E">
            <w:pPr>
              <w:pStyle w:val="TableTextS5"/>
              <w:spacing w:before="30" w:after="30"/>
              <w:ind w:left="170" w:hanging="170"/>
              <w:rPr>
                <w:color w:val="000000"/>
              </w:rPr>
            </w:pPr>
            <w:r w:rsidRPr="00302721">
              <w:rPr>
                <w:color w:val="000000"/>
              </w:rPr>
              <w:t>MOBILE except aeronautical</w:t>
            </w:r>
            <w:r w:rsidRPr="00302721">
              <w:rPr>
                <w:color w:val="000000"/>
              </w:rPr>
              <w:br/>
              <w:t>mobile</w:t>
            </w:r>
          </w:p>
          <w:p w:rsidR="00417494" w:rsidRPr="00302721" w:rsidRDefault="00417494" w:rsidP="0013369E">
            <w:pPr>
              <w:pStyle w:val="TableTextS5"/>
              <w:spacing w:before="30" w:after="30"/>
              <w:ind w:left="170" w:hanging="170"/>
              <w:rPr>
                <w:rStyle w:val="Tablefreq"/>
              </w:rPr>
            </w:pPr>
            <w:r w:rsidRPr="00302721">
              <w:rPr>
                <w:color w:val="000000"/>
              </w:rPr>
              <w:t>BROADCASTING-</w:t>
            </w:r>
            <w:r w:rsidRPr="00302721">
              <w:rPr>
                <w:color w:val="000000"/>
              </w:rPr>
              <w:br/>
              <w:t xml:space="preserve">SATELLITE  </w:t>
            </w:r>
            <w:r w:rsidRPr="00302721">
              <w:rPr>
                <w:rStyle w:val="Artref"/>
                <w:color w:val="000000"/>
              </w:rPr>
              <w:t>5.493</w:t>
            </w:r>
          </w:p>
        </w:tc>
      </w:tr>
      <w:tr w:rsidR="00417494" w:rsidRPr="00302721" w:rsidTr="0013369E">
        <w:tblPrEx>
          <w:tblLook w:val="04A0" w:firstRow="1" w:lastRow="0" w:firstColumn="1" w:lastColumn="0" w:noHBand="0" w:noVBand="1"/>
        </w:tblPrEx>
        <w:trPr>
          <w:cantSplit/>
          <w:jc w:val="center"/>
        </w:trPr>
        <w:tc>
          <w:tcPr>
            <w:tcW w:w="3101" w:type="dxa"/>
            <w:vMerge/>
            <w:tcBorders>
              <w:left w:val="single" w:sz="4" w:space="0" w:color="auto"/>
              <w:bottom w:val="single" w:sz="4" w:space="0" w:color="auto"/>
              <w:right w:val="single" w:sz="6" w:space="0" w:color="auto"/>
            </w:tcBorders>
          </w:tcPr>
          <w:p w:rsidR="00417494" w:rsidRPr="00302721" w:rsidRDefault="00417494" w:rsidP="0013369E">
            <w:pPr>
              <w:pStyle w:val="TableTextS5"/>
              <w:spacing w:before="30" w:after="30"/>
              <w:rPr>
                <w:color w:val="000000"/>
              </w:rPr>
            </w:pPr>
          </w:p>
        </w:tc>
        <w:tc>
          <w:tcPr>
            <w:tcW w:w="3101" w:type="dxa"/>
            <w:tcBorders>
              <w:top w:val="single" w:sz="6" w:space="0" w:color="auto"/>
              <w:left w:val="single" w:sz="6" w:space="0" w:color="auto"/>
              <w:bottom w:val="single" w:sz="4" w:space="0" w:color="auto"/>
              <w:right w:val="nil"/>
            </w:tcBorders>
            <w:hideMark/>
          </w:tcPr>
          <w:p w:rsidR="00417494" w:rsidRPr="00302721" w:rsidRDefault="00417494" w:rsidP="0013369E">
            <w:pPr>
              <w:pStyle w:val="TableTextS5"/>
              <w:spacing w:before="30" w:after="30"/>
              <w:rPr>
                <w:rStyle w:val="Tablefreq"/>
                <w:color w:val="000000"/>
              </w:rPr>
            </w:pPr>
            <w:r w:rsidRPr="00302721">
              <w:rPr>
                <w:rStyle w:val="Tablefreq"/>
                <w:color w:val="000000"/>
              </w:rPr>
              <w:t>12.7-12.75</w:t>
            </w:r>
          </w:p>
          <w:p w:rsidR="00417494" w:rsidRPr="00302721" w:rsidRDefault="00417494" w:rsidP="0013369E">
            <w:pPr>
              <w:pStyle w:val="TableTextS5"/>
              <w:spacing w:before="30" w:after="30"/>
            </w:pPr>
            <w:r w:rsidRPr="00302721">
              <w:rPr>
                <w:color w:val="000000"/>
              </w:rPr>
              <w:t>FIXED</w:t>
            </w:r>
          </w:p>
          <w:p w:rsidR="00417494" w:rsidRPr="00302721" w:rsidRDefault="00417494" w:rsidP="0013369E">
            <w:pPr>
              <w:pStyle w:val="TableTextS5"/>
              <w:spacing w:before="30" w:after="30"/>
              <w:ind w:left="170" w:hanging="170"/>
              <w:rPr>
                <w:color w:val="000000"/>
              </w:rPr>
            </w:pPr>
            <w:r w:rsidRPr="00302721">
              <w:rPr>
                <w:color w:val="000000"/>
              </w:rPr>
              <w:t>FIXED-SATELLITE</w:t>
            </w:r>
            <w:r w:rsidRPr="00302721">
              <w:rPr>
                <w:color w:val="000000"/>
              </w:rPr>
              <w:br/>
              <w:t xml:space="preserve">(Earth-to-space) </w:t>
            </w:r>
          </w:p>
          <w:p w:rsidR="00417494" w:rsidRPr="00302721" w:rsidRDefault="00417494" w:rsidP="0013369E">
            <w:pPr>
              <w:pStyle w:val="TableTextS5"/>
              <w:spacing w:before="30" w:after="30"/>
              <w:ind w:left="170" w:hanging="170"/>
              <w:rPr>
                <w:color w:val="000000"/>
              </w:rPr>
            </w:pPr>
            <w:r w:rsidRPr="00302721">
              <w:rPr>
                <w:color w:val="000000"/>
              </w:rPr>
              <w:t>MOBILE except aeronautical</w:t>
            </w:r>
            <w:r w:rsidRPr="00302721">
              <w:rPr>
                <w:color w:val="000000"/>
              </w:rPr>
              <w:br/>
              <w:t>mobile</w:t>
            </w:r>
          </w:p>
        </w:tc>
        <w:tc>
          <w:tcPr>
            <w:tcW w:w="3101" w:type="dxa"/>
            <w:vMerge/>
            <w:tcBorders>
              <w:left w:val="single" w:sz="6" w:space="0" w:color="auto"/>
              <w:bottom w:val="single" w:sz="4" w:space="0" w:color="auto"/>
              <w:right w:val="single" w:sz="4" w:space="0" w:color="auto"/>
            </w:tcBorders>
            <w:hideMark/>
          </w:tcPr>
          <w:p w:rsidR="00417494" w:rsidRPr="00302721" w:rsidRDefault="00417494" w:rsidP="0013369E">
            <w:pPr>
              <w:pStyle w:val="TableTextS5"/>
              <w:spacing w:before="30" w:after="30"/>
              <w:ind w:left="170" w:hanging="170"/>
              <w:rPr>
                <w:color w:val="000000"/>
              </w:rPr>
            </w:pPr>
          </w:p>
        </w:tc>
      </w:tr>
    </w:tbl>
    <w:p w:rsidR="00417494" w:rsidRDefault="00417494" w:rsidP="00417494">
      <w:pPr>
        <w:pStyle w:val="Reasons"/>
      </w:pPr>
    </w:p>
    <w:p w:rsidR="00417494" w:rsidRDefault="00417494" w:rsidP="00417494">
      <w:pPr>
        <w:pStyle w:val="Reasons"/>
      </w:pPr>
    </w:p>
    <w:p w:rsidR="00417494" w:rsidRDefault="00417494" w:rsidP="00D867D8">
      <w:pPr>
        <w:pStyle w:val="Proposal"/>
      </w:pPr>
      <w:r>
        <w:lastRenderedPageBreak/>
        <w:t>MOD</w:t>
      </w:r>
      <w:r>
        <w:rPr>
          <w:vanish/>
          <w:color w:val="7F7F7F" w:themeColor="text1" w:themeTint="80"/>
          <w:vertAlign w:val="superscript"/>
        </w:rPr>
        <w:t>#35335</w:t>
      </w:r>
    </w:p>
    <w:p w:rsidR="00417494" w:rsidRPr="00302721" w:rsidRDefault="00417494" w:rsidP="00417494">
      <w:pPr>
        <w:pStyle w:val="Tabletitle"/>
      </w:pPr>
      <w:r w:rsidRPr="00302721">
        <w:t>14-15.4 GHz</w:t>
      </w:r>
    </w:p>
    <w:tbl>
      <w:tblPr>
        <w:tblW w:w="0" w:type="auto"/>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417494" w:rsidRPr="00302721"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Allocation to services</w:t>
            </w:r>
          </w:p>
        </w:tc>
      </w:tr>
      <w:tr w:rsidR="00417494" w:rsidRPr="00302721" w:rsidTr="0013369E">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Region 1</w:t>
            </w:r>
          </w:p>
        </w:tc>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Region 2</w:t>
            </w:r>
          </w:p>
        </w:tc>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head"/>
            </w:pPr>
            <w:r w:rsidRPr="00302721">
              <w:t>Region 3</w:t>
            </w:r>
          </w:p>
        </w:tc>
      </w:tr>
      <w:tr w:rsidR="00417494" w:rsidRPr="00302721"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TextS5"/>
              <w:keepNext/>
              <w:tabs>
                <w:tab w:val="clear" w:pos="170"/>
                <w:tab w:val="clear" w:pos="567"/>
                <w:tab w:val="clear" w:pos="737"/>
              </w:tabs>
              <w:spacing w:before="30" w:after="30" w:line="210" w:lineRule="exact"/>
              <w:ind w:left="3266" w:hanging="3266"/>
              <w:rPr>
                <w:color w:val="000000"/>
              </w:rPr>
            </w:pPr>
            <w:r w:rsidRPr="00302721">
              <w:rPr>
                <w:rStyle w:val="Tablefreq"/>
              </w:rPr>
              <w:t>14-14.25</w:t>
            </w:r>
            <w:r w:rsidRPr="00302721">
              <w:rPr>
                <w:color w:val="000000"/>
              </w:rPr>
              <w:tab/>
              <w:t xml:space="preserve">FIXED-SATELLITE (Earth-to-space)  </w:t>
            </w:r>
            <w:r w:rsidRPr="00302721">
              <w:rPr>
                <w:rStyle w:val="Artref"/>
                <w:color w:val="000000"/>
              </w:rPr>
              <w:t>5.457A</w:t>
            </w:r>
            <w:r w:rsidRPr="00302721">
              <w:rPr>
                <w:color w:val="000000"/>
              </w:rPr>
              <w:t xml:space="preserve">  </w:t>
            </w:r>
            <w:r w:rsidRPr="00302721">
              <w:rPr>
                <w:rStyle w:val="Artref"/>
                <w:color w:val="000000"/>
              </w:rPr>
              <w:t>5.457B</w:t>
            </w:r>
            <w:r w:rsidRPr="00302721">
              <w:rPr>
                <w:color w:val="000000"/>
              </w:rPr>
              <w:t xml:space="preserve">  </w:t>
            </w:r>
            <w:r w:rsidRPr="00302721">
              <w:rPr>
                <w:rStyle w:val="Artref"/>
                <w:color w:val="000000"/>
              </w:rPr>
              <w:t>5.484A  5.506</w:t>
            </w:r>
            <w:r w:rsidRPr="00302721">
              <w:rPr>
                <w:color w:val="000000"/>
              </w:rPr>
              <w:t>  </w:t>
            </w:r>
            <w:r w:rsidRPr="00302721">
              <w:rPr>
                <w:rStyle w:val="Artref"/>
                <w:color w:val="000000"/>
              </w:rPr>
              <w:t xml:space="preserve">5.506B </w:t>
            </w:r>
            <w:r w:rsidRPr="0013369E">
              <w:rPr>
                <w:rStyle w:val="Artref"/>
                <w:color w:val="000000"/>
                <w:highlight w:val="lightGray"/>
              </w:rPr>
              <w:t>ADD 5.A15</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ab/>
              <w:t xml:space="preserve">RADIONAVIGATION  </w:t>
            </w:r>
            <w:r w:rsidRPr="00302721">
              <w:rPr>
                <w:rStyle w:val="Artref"/>
                <w:color w:val="000000"/>
              </w:rPr>
              <w:t>5.504</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ab/>
              <w:t xml:space="preserve">Mobile-satellite (Earth-to-space)  5.504B  </w:t>
            </w:r>
            <w:r w:rsidRPr="00302721">
              <w:rPr>
                <w:rStyle w:val="Artref"/>
                <w:color w:val="000000"/>
              </w:rPr>
              <w:t>5.504C</w:t>
            </w:r>
            <w:r w:rsidRPr="00302721">
              <w:rPr>
                <w:color w:val="000000"/>
              </w:rPr>
              <w:t xml:space="preserve">  </w:t>
            </w:r>
            <w:r w:rsidRPr="00302721">
              <w:rPr>
                <w:rStyle w:val="Artref"/>
                <w:color w:val="000000"/>
              </w:rPr>
              <w:t>5.506A</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ab/>
              <w:t>Space research</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ab/>
            </w:r>
            <w:r w:rsidRPr="00302721">
              <w:rPr>
                <w:rStyle w:val="Artref"/>
                <w:color w:val="000000"/>
              </w:rPr>
              <w:t>5.504A</w:t>
            </w:r>
            <w:r w:rsidRPr="00302721">
              <w:rPr>
                <w:color w:val="000000"/>
              </w:rPr>
              <w:t xml:space="preserve">  </w:t>
            </w:r>
            <w:r w:rsidRPr="00302721">
              <w:rPr>
                <w:rStyle w:val="Artref"/>
                <w:color w:val="000000"/>
              </w:rPr>
              <w:t>5.505</w:t>
            </w:r>
          </w:p>
        </w:tc>
      </w:tr>
      <w:tr w:rsidR="00417494" w:rsidRPr="00302721"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TextS5"/>
              <w:tabs>
                <w:tab w:val="clear" w:pos="170"/>
                <w:tab w:val="clear" w:pos="567"/>
                <w:tab w:val="clear" w:pos="737"/>
              </w:tabs>
              <w:spacing w:before="30" w:after="30" w:line="210" w:lineRule="exact"/>
              <w:ind w:left="3266" w:hanging="3266"/>
              <w:rPr>
                <w:color w:val="000000"/>
              </w:rPr>
            </w:pPr>
            <w:r w:rsidRPr="00302721">
              <w:rPr>
                <w:rStyle w:val="Tablefreq"/>
              </w:rPr>
              <w:t>14.25-14.3</w:t>
            </w:r>
            <w:r w:rsidRPr="00302721">
              <w:rPr>
                <w:b/>
                <w:color w:val="000000"/>
              </w:rPr>
              <w:tab/>
            </w:r>
            <w:r w:rsidRPr="00302721">
              <w:rPr>
                <w:color w:val="000000"/>
              </w:rPr>
              <w:t xml:space="preserve">FIXED-SATELLITE (Earth-to-space)  </w:t>
            </w:r>
            <w:r w:rsidRPr="00302721">
              <w:rPr>
                <w:rStyle w:val="Artref"/>
                <w:color w:val="000000"/>
              </w:rPr>
              <w:t>5.457A</w:t>
            </w:r>
            <w:r w:rsidRPr="00302721">
              <w:rPr>
                <w:color w:val="000000"/>
              </w:rPr>
              <w:t xml:space="preserve">  </w:t>
            </w:r>
            <w:r w:rsidRPr="00302721">
              <w:rPr>
                <w:rStyle w:val="Artref"/>
                <w:color w:val="000000"/>
              </w:rPr>
              <w:t>5.457B</w:t>
            </w:r>
            <w:r w:rsidRPr="00302721">
              <w:rPr>
                <w:color w:val="000000"/>
              </w:rPr>
              <w:t xml:space="preserve">  </w:t>
            </w:r>
            <w:r w:rsidRPr="00302721">
              <w:rPr>
                <w:rStyle w:val="Artref"/>
                <w:color w:val="000000"/>
              </w:rPr>
              <w:t>5.484A  5.506</w:t>
            </w:r>
            <w:r w:rsidRPr="00302721">
              <w:rPr>
                <w:color w:val="000000"/>
              </w:rPr>
              <w:t>  </w:t>
            </w:r>
            <w:r w:rsidRPr="00302721">
              <w:rPr>
                <w:rStyle w:val="Artref"/>
                <w:color w:val="000000"/>
              </w:rPr>
              <w:t xml:space="preserve">5.506B </w:t>
            </w:r>
            <w:r w:rsidRPr="0013369E">
              <w:rPr>
                <w:rStyle w:val="Artref"/>
                <w:color w:val="000000"/>
                <w:highlight w:val="lightGray"/>
              </w:rPr>
              <w:t>ADD 5.A15</w:t>
            </w:r>
          </w:p>
          <w:p w:rsidR="00417494" w:rsidRPr="00302721" w:rsidRDefault="00417494" w:rsidP="0013369E">
            <w:pPr>
              <w:pStyle w:val="TableTextS5"/>
              <w:keepNext/>
              <w:keepLines/>
              <w:tabs>
                <w:tab w:val="clear" w:pos="170"/>
                <w:tab w:val="clear" w:pos="567"/>
                <w:tab w:val="clear" w:pos="737"/>
              </w:tabs>
              <w:spacing w:before="30" w:after="30" w:line="210" w:lineRule="exact"/>
              <w:ind w:left="3062" w:hanging="3062"/>
              <w:rPr>
                <w:color w:val="000000"/>
              </w:rPr>
            </w:pPr>
            <w:r w:rsidRPr="00302721">
              <w:rPr>
                <w:color w:val="000000"/>
              </w:rPr>
              <w:tab/>
              <w:t xml:space="preserve">RADIONAVIGATION  </w:t>
            </w:r>
            <w:r w:rsidRPr="00302721">
              <w:rPr>
                <w:rStyle w:val="Artref"/>
                <w:color w:val="000000"/>
              </w:rPr>
              <w:t>5.504</w:t>
            </w:r>
          </w:p>
          <w:p w:rsidR="00417494" w:rsidRPr="00302721" w:rsidRDefault="00417494" w:rsidP="0013369E">
            <w:pPr>
              <w:pStyle w:val="TableTextS5"/>
              <w:keepNext/>
              <w:keepLines/>
              <w:tabs>
                <w:tab w:val="clear" w:pos="170"/>
                <w:tab w:val="clear" w:pos="567"/>
                <w:tab w:val="clear" w:pos="737"/>
              </w:tabs>
              <w:spacing w:before="30" w:after="30" w:line="210" w:lineRule="exact"/>
              <w:ind w:left="3062" w:hanging="3062"/>
              <w:rPr>
                <w:color w:val="000000"/>
              </w:rPr>
            </w:pPr>
            <w:r w:rsidRPr="00302721">
              <w:rPr>
                <w:color w:val="000000"/>
              </w:rPr>
              <w:tab/>
              <w:t xml:space="preserve">Mobile-satellite (Earth-to-space)  5.504B  </w:t>
            </w:r>
            <w:r w:rsidRPr="00302721">
              <w:rPr>
                <w:rStyle w:val="Artref"/>
                <w:color w:val="000000"/>
              </w:rPr>
              <w:t>5.506A</w:t>
            </w:r>
            <w:r w:rsidRPr="00302721">
              <w:rPr>
                <w:color w:val="000000"/>
              </w:rPr>
              <w:t xml:space="preserve">  </w:t>
            </w:r>
            <w:r w:rsidRPr="00302721">
              <w:rPr>
                <w:rStyle w:val="Artref"/>
                <w:color w:val="000000"/>
              </w:rPr>
              <w:t>5.508A</w:t>
            </w:r>
          </w:p>
          <w:p w:rsidR="00417494" w:rsidRPr="00302721" w:rsidRDefault="00417494" w:rsidP="0013369E">
            <w:pPr>
              <w:pStyle w:val="TableTextS5"/>
              <w:keepNext/>
              <w:keepLines/>
              <w:tabs>
                <w:tab w:val="clear" w:pos="170"/>
                <w:tab w:val="clear" w:pos="567"/>
                <w:tab w:val="clear" w:pos="737"/>
              </w:tabs>
              <w:spacing w:before="30" w:after="30" w:line="210" w:lineRule="exact"/>
              <w:ind w:left="3062" w:hanging="3062"/>
              <w:rPr>
                <w:color w:val="000000"/>
              </w:rPr>
            </w:pPr>
            <w:r w:rsidRPr="00302721">
              <w:rPr>
                <w:color w:val="000000"/>
              </w:rPr>
              <w:tab/>
              <w:t>Space research</w:t>
            </w:r>
          </w:p>
          <w:p w:rsidR="00417494" w:rsidRPr="00302721" w:rsidRDefault="00417494" w:rsidP="0013369E">
            <w:pPr>
              <w:pStyle w:val="TableTextS5"/>
              <w:keepNext/>
              <w:keepLines/>
              <w:tabs>
                <w:tab w:val="clear" w:pos="170"/>
                <w:tab w:val="clear" w:pos="567"/>
                <w:tab w:val="clear" w:pos="737"/>
              </w:tabs>
              <w:spacing w:before="30" w:after="30" w:line="210" w:lineRule="exact"/>
              <w:ind w:left="3062" w:hanging="3062"/>
              <w:rPr>
                <w:color w:val="000000"/>
              </w:rPr>
            </w:pPr>
            <w:r w:rsidRPr="00302721">
              <w:rPr>
                <w:color w:val="000000"/>
              </w:rPr>
              <w:tab/>
            </w:r>
            <w:r w:rsidRPr="00302721">
              <w:rPr>
                <w:rStyle w:val="Artref"/>
                <w:color w:val="000000"/>
              </w:rPr>
              <w:t>5.504A</w:t>
            </w:r>
            <w:r w:rsidRPr="00302721">
              <w:rPr>
                <w:color w:val="000000"/>
              </w:rPr>
              <w:t xml:space="preserve">  </w:t>
            </w:r>
            <w:r w:rsidRPr="00302721">
              <w:rPr>
                <w:rStyle w:val="Artref"/>
                <w:color w:val="000000"/>
              </w:rPr>
              <w:t>5.505</w:t>
            </w:r>
            <w:r w:rsidRPr="00302721">
              <w:rPr>
                <w:color w:val="000000"/>
              </w:rPr>
              <w:t xml:space="preserve">  </w:t>
            </w:r>
            <w:r w:rsidRPr="00302721">
              <w:rPr>
                <w:rStyle w:val="Artref"/>
                <w:color w:val="000000"/>
              </w:rPr>
              <w:t>5.508</w:t>
            </w:r>
          </w:p>
        </w:tc>
      </w:tr>
      <w:tr w:rsidR="00417494" w:rsidRPr="00302721" w:rsidTr="0013369E">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TextS5"/>
              <w:tabs>
                <w:tab w:val="clear" w:pos="170"/>
                <w:tab w:val="clear" w:pos="567"/>
                <w:tab w:val="clear" w:pos="737"/>
              </w:tabs>
              <w:spacing w:before="30" w:after="30" w:line="210" w:lineRule="exact"/>
              <w:rPr>
                <w:rStyle w:val="Tablefreq"/>
                <w:color w:val="000000"/>
              </w:rPr>
            </w:pPr>
            <w:r w:rsidRPr="00302721">
              <w:rPr>
                <w:rStyle w:val="Tablefreq"/>
                <w:color w:val="000000"/>
              </w:rPr>
              <w:t>14.3-14.4</w:t>
            </w:r>
          </w:p>
          <w:p w:rsidR="00417494" w:rsidRPr="00302721" w:rsidRDefault="00417494" w:rsidP="0013369E">
            <w:pPr>
              <w:pStyle w:val="TableTextS5"/>
              <w:keepNext/>
              <w:keepLines/>
              <w:tabs>
                <w:tab w:val="clear" w:pos="170"/>
                <w:tab w:val="clear" w:pos="567"/>
                <w:tab w:val="clear" w:pos="737"/>
              </w:tabs>
              <w:spacing w:before="30" w:after="30" w:line="210" w:lineRule="exact"/>
            </w:pPr>
            <w:r w:rsidRPr="00302721">
              <w:rPr>
                <w:color w:val="000000"/>
              </w:rPr>
              <w:t>FIXED</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FIXED-SATELLITE</w:t>
            </w:r>
            <w:r w:rsidRPr="00302721">
              <w:rPr>
                <w:color w:val="000000"/>
              </w:rPr>
              <w:br/>
              <w:t xml:space="preserve">(Earth-to-space)  </w:t>
            </w:r>
            <w:r w:rsidRPr="00302721">
              <w:rPr>
                <w:rStyle w:val="Artref"/>
                <w:color w:val="000000"/>
              </w:rPr>
              <w:t>5.457A</w:t>
            </w:r>
            <w:r w:rsidRPr="00302721">
              <w:rPr>
                <w:rStyle w:val="Artref"/>
                <w:color w:val="000000"/>
              </w:rPr>
              <w:br/>
              <w:t>5.457B</w:t>
            </w:r>
            <w:r w:rsidRPr="00302721">
              <w:rPr>
                <w:color w:val="000000"/>
              </w:rPr>
              <w:t xml:space="preserve">  </w:t>
            </w:r>
            <w:r w:rsidRPr="00302721">
              <w:rPr>
                <w:rStyle w:val="Artref"/>
                <w:color w:val="000000"/>
              </w:rPr>
              <w:t>5.484A</w:t>
            </w:r>
            <w:r w:rsidRPr="00302721">
              <w:rPr>
                <w:color w:val="000000"/>
              </w:rPr>
              <w:t xml:space="preserve">  </w:t>
            </w:r>
            <w:r w:rsidRPr="00302721">
              <w:rPr>
                <w:rStyle w:val="Artref"/>
                <w:color w:val="000000"/>
              </w:rPr>
              <w:t>5.506</w:t>
            </w:r>
            <w:r w:rsidRPr="00302721">
              <w:rPr>
                <w:color w:val="000000"/>
              </w:rPr>
              <w:t xml:space="preserve">  </w:t>
            </w:r>
            <w:r w:rsidRPr="00302721">
              <w:rPr>
                <w:rStyle w:val="Artref"/>
                <w:color w:val="000000"/>
              </w:rPr>
              <w:t xml:space="preserve">5.506B </w:t>
            </w:r>
            <w:r w:rsidRPr="0013369E">
              <w:rPr>
                <w:rStyle w:val="Artref"/>
                <w:color w:val="000000"/>
                <w:highlight w:val="lightGray"/>
              </w:rPr>
              <w:t>ADD 5.A15</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MOBILE except aeronautical</w:t>
            </w:r>
            <w:r w:rsidRPr="00302721">
              <w:rPr>
                <w:color w:val="000000"/>
              </w:rPr>
              <w:br/>
              <w:t>mobile</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 xml:space="preserve">Mobile-satellite (Earth-to-space)  5.504B  </w:t>
            </w:r>
            <w:r w:rsidRPr="00302721">
              <w:rPr>
                <w:rStyle w:val="Artref"/>
                <w:color w:val="000000"/>
              </w:rPr>
              <w:t>5.506A</w:t>
            </w:r>
            <w:r w:rsidRPr="00302721">
              <w:rPr>
                <w:color w:val="000000"/>
              </w:rPr>
              <w:t xml:space="preserve">  </w:t>
            </w:r>
            <w:r w:rsidRPr="00302721">
              <w:rPr>
                <w:rStyle w:val="Artref"/>
                <w:color w:val="000000"/>
              </w:rPr>
              <w:t>5.509A</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Radionavigation-satellite</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rStyle w:val="Artref"/>
                <w:color w:val="000000"/>
              </w:rPr>
              <w:t>5.504A</w:t>
            </w:r>
          </w:p>
        </w:tc>
        <w:tc>
          <w:tcPr>
            <w:tcW w:w="3101" w:type="dxa"/>
            <w:tcBorders>
              <w:top w:val="single" w:sz="4" w:space="0" w:color="auto"/>
              <w:left w:val="single" w:sz="4" w:space="0" w:color="auto"/>
              <w:bottom w:val="single" w:sz="4" w:space="0" w:color="auto"/>
              <w:right w:val="single" w:sz="4" w:space="0" w:color="auto"/>
            </w:tcBorders>
          </w:tcPr>
          <w:p w:rsidR="00417494" w:rsidRPr="00302721" w:rsidRDefault="00417494" w:rsidP="0013369E">
            <w:pPr>
              <w:pStyle w:val="TableTextS5"/>
              <w:keepNext/>
              <w:keepLines/>
              <w:tabs>
                <w:tab w:val="clear" w:pos="170"/>
                <w:tab w:val="clear" w:pos="567"/>
                <w:tab w:val="clear" w:pos="737"/>
              </w:tabs>
              <w:spacing w:before="30" w:after="30" w:line="210" w:lineRule="exact"/>
              <w:rPr>
                <w:rStyle w:val="Tablefreq"/>
              </w:rPr>
            </w:pPr>
            <w:r w:rsidRPr="00302721">
              <w:rPr>
                <w:rStyle w:val="Tablefreq"/>
              </w:rPr>
              <w:t>14.3-14.4</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FIXED-SATELLITE</w:t>
            </w:r>
            <w:r w:rsidRPr="00302721">
              <w:rPr>
                <w:color w:val="000000"/>
              </w:rPr>
              <w:br/>
              <w:t xml:space="preserve">(Earth-to-space)  </w:t>
            </w:r>
            <w:r w:rsidRPr="00302721">
              <w:rPr>
                <w:rStyle w:val="Artref"/>
                <w:color w:val="000000"/>
              </w:rPr>
              <w:t>5.457A</w:t>
            </w:r>
            <w:r w:rsidRPr="00302721">
              <w:rPr>
                <w:rStyle w:val="Artref"/>
                <w:color w:val="000000"/>
              </w:rPr>
              <w:br/>
              <w:t xml:space="preserve">5.484A </w:t>
            </w:r>
            <w:r w:rsidRPr="00302721">
              <w:rPr>
                <w:color w:val="000000"/>
              </w:rPr>
              <w:t xml:space="preserve"> </w:t>
            </w:r>
            <w:r w:rsidRPr="00302721">
              <w:rPr>
                <w:rStyle w:val="Artref"/>
                <w:color w:val="000000"/>
              </w:rPr>
              <w:t>5.506</w:t>
            </w:r>
            <w:r w:rsidRPr="00302721">
              <w:t xml:space="preserve">  </w:t>
            </w:r>
            <w:r w:rsidRPr="00302721">
              <w:rPr>
                <w:color w:val="000000"/>
              </w:rPr>
              <w:t xml:space="preserve">5.506B </w:t>
            </w:r>
            <w:r w:rsidRPr="0013369E">
              <w:rPr>
                <w:color w:val="000000"/>
                <w:highlight w:val="lightGray"/>
              </w:rPr>
              <w:t>ADD</w:t>
            </w:r>
            <w:r w:rsidRPr="0013369E">
              <w:rPr>
                <w:rStyle w:val="Artref"/>
                <w:color w:val="000000"/>
                <w:highlight w:val="lightGray"/>
              </w:rPr>
              <w:t> </w:t>
            </w:r>
            <w:r w:rsidRPr="0013369E">
              <w:rPr>
                <w:color w:val="000000"/>
                <w:highlight w:val="lightGray"/>
              </w:rPr>
              <w:t>5.A15</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 xml:space="preserve">Mobile-satellite (Earth-to-space)  </w:t>
            </w:r>
            <w:r w:rsidRPr="00302721">
              <w:rPr>
                <w:rStyle w:val="Artref"/>
                <w:color w:val="000000"/>
              </w:rPr>
              <w:t>5.506A</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Radionavigation-satellite</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rStyle w:val="Artref"/>
                <w:color w:val="000000"/>
              </w:rPr>
              <w:t>5.504A</w:t>
            </w:r>
          </w:p>
        </w:tc>
        <w:tc>
          <w:tcPr>
            <w:tcW w:w="3101" w:type="dxa"/>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TextS5"/>
              <w:keepNext/>
              <w:keepLines/>
              <w:tabs>
                <w:tab w:val="clear" w:pos="170"/>
                <w:tab w:val="clear" w:pos="567"/>
                <w:tab w:val="clear" w:pos="737"/>
              </w:tabs>
              <w:spacing w:before="30" w:after="30" w:line="210" w:lineRule="exact"/>
              <w:rPr>
                <w:rStyle w:val="Tablefreq"/>
              </w:rPr>
            </w:pPr>
            <w:r w:rsidRPr="00302721">
              <w:rPr>
                <w:rStyle w:val="Tablefreq"/>
              </w:rPr>
              <w:t>14.3-14.4</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FIXED</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FIXED-SATELLITE</w:t>
            </w:r>
            <w:r w:rsidRPr="00302721">
              <w:rPr>
                <w:color w:val="000000"/>
              </w:rPr>
              <w:br/>
              <w:t xml:space="preserve">(Earth-to-space)  </w:t>
            </w:r>
            <w:r w:rsidRPr="00302721">
              <w:rPr>
                <w:rStyle w:val="Artref"/>
                <w:color w:val="000000"/>
              </w:rPr>
              <w:t>5.457A</w:t>
            </w:r>
            <w:r w:rsidRPr="00302721">
              <w:rPr>
                <w:rStyle w:val="Artref"/>
                <w:color w:val="000000"/>
              </w:rPr>
              <w:br/>
              <w:t>5.484A</w:t>
            </w:r>
            <w:r w:rsidRPr="00302721">
              <w:rPr>
                <w:color w:val="000000"/>
              </w:rPr>
              <w:t xml:space="preserve">  </w:t>
            </w:r>
            <w:r w:rsidRPr="00302721">
              <w:rPr>
                <w:rStyle w:val="Artref"/>
                <w:color w:val="000000"/>
              </w:rPr>
              <w:t xml:space="preserve">5.506  </w:t>
            </w:r>
            <w:r w:rsidRPr="00302721">
              <w:rPr>
                <w:color w:val="000000"/>
              </w:rPr>
              <w:t xml:space="preserve">5.506B </w:t>
            </w:r>
            <w:r w:rsidRPr="0013369E">
              <w:rPr>
                <w:color w:val="000000"/>
                <w:highlight w:val="lightGray"/>
              </w:rPr>
              <w:t>ADD 5.A15</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MOBILE except aeronautical</w:t>
            </w:r>
            <w:r w:rsidRPr="00302721">
              <w:rPr>
                <w:color w:val="000000"/>
              </w:rPr>
              <w:br/>
              <w:t>mobile</w:t>
            </w:r>
          </w:p>
          <w:p w:rsidR="00417494" w:rsidRPr="00302721" w:rsidRDefault="00417494" w:rsidP="0013369E">
            <w:pPr>
              <w:pStyle w:val="TableTextS5"/>
              <w:keepNext/>
              <w:keepLines/>
              <w:tabs>
                <w:tab w:val="clear" w:pos="170"/>
                <w:tab w:val="clear" w:pos="567"/>
                <w:tab w:val="clear" w:pos="737"/>
              </w:tabs>
              <w:spacing w:before="30" w:after="30" w:line="210" w:lineRule="exact"/>
              <w:ind w:left="170" w:hanging="170"/>
              <w:rPr>
                <w:color w:val="000000"/>
              </w:rPr>
            </w:pPr>
            <w:r w:rsidRPr="00302721">
              <w:rPr>
                <w:color w:val="000000"/>
              </w:rPr>
              <w:t xml:space="preserve">Mobile-satellite (Earth-to-space)  5.504B  </w:t>
            </w:r>
            <w:r w:rsidRPr="00302721">
              <w:rPr>
                <w:rStyle w:val="Artref"/>
                <w:color w:val="000000"/>
              </w:rPr>
              <w:t>5.506A</w:t>
            </w:r>
            <w:r w:rsidRPr="00302721">
              <w:rPr>
                <w:color w:val="000000"/>
              </w:rPr>
              <w:t xml:space="preserve">  </w:t>
            </w:r>
            <w:r w:rsidRPr="00302721">
              <w:rPr>
                <w:rStyle w:val="Artref"/>
                <w:color w:val="000000"/>
              </w:rPr>
              <w:t>5.509A</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Radionavigation-satellite</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rStyle w:val="Artref"/>
                <w:color w:val="000000"/>
              </w:rPr>
              <w:t>5.504A</w:t>
            </w:r>
          </w:p>
        </w:tc>
      </w:tr>
      <w:tr w:rsidR="00417494" w:rsidRPr="00302721"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rStyle w:val="Tablefreq"/>
              </w:rPr>
              <w:t>14.4-14.47</w:t>
            </w:r>
            <w:r w:rsidRPr="00302721">
              <w:rPr>
                <w:color w:val="000000"/>
              </w:rPr>
              <w:tab/>
              <w:t>FIXED</w:t>
            </w:r>
          </w:p>
          <w:p w:rsidR="00417494" w:rsidRPr="00302721" w:rsidRDefault="00417494" w:rsidP="0013369E">
            <w:pPr>
              <w:pStyle w:val="TableTextS5"/>
              <w:keepNext/>
              <w:keepLines/>
              <w:tabs>
                <w:tab w:val="clear" w:pos="170"/>
                <w:tab w:val="clear" w:pos="567"/>
                <w:tab w:val="clear" w:pos="737"/>
              </w:tabs>
              <w:spacing w:before="30" w:after="30" w:line="210" w:lineRule="exact"/>
              <w:ind w:left="3266" w:hanging="3266"/>
              <w:rPr>
                <w:color w:val="000000"/>
              </w:rPr>
            </w:pPr>
            <w:r w:rsidRPr="00302721">
              <w:rPr>
                <w:color w:val="000000"/>
              </w:rPr>
              <w:tab/>
              <w:t xml:space="preserve">FIXED-SATELLITE (Earth-to-space)  </w:t>
            </w:r>
            <w:r w:rsidRPr="00302721">
              <w:rPr>
                <w:rStyle w:val="Artref"/>
                <w:color w:val="000000"/>
              </w:rPr>
              <w:t>5.457A</w:t>
            </w:r>
            <w:r w:rsidRPr="00302721">
              <w:rPr>
                <w:color w:val="000000"/>
              </w:rPr>
              <w:t xml:space="preserve">  </w:t>
            </w:r>
            <w:r w:rsidRPr="00302721">
              <w:rPr>
                <w:rStyle w:val="Artref"/>
                <w:color w:val="000000"/>
              </w:rPr>
              <w:t>5.457B</w:t>
            </w:r>
            <w:r w:rsidRPr="00302721">
              <w:rPr>
                <w:color w:val="000000"/>
              </w:rPr>
              <w:t xml:space="preserve">  </w:t>
            </w:r>
            <w:r w:rsidRPr="00302721">
              <w:rPr>
                <w:rStyle w:val="Artref"/>
                <w:color w:val="000000"/>
              </w:rPr>
              <w:t>5.484A  5.506</w:t>
            </w:r>
            <w:r w:rsidRPr="00302721">
              <w:rPr>
                <w:color w:val="000000"/>
              </w:rPr>
              <w:t>  </w:t>
            </w:r>
            <w:r w:rsidRPr="00302721">
              <w:rPr>
                <w:rStyle w:val="Artref"/>
                <w:color w:val="000000"/>
              </w:rPr>
              <w:t xml:space="preserve">5.506B </w:t>
            </w:r>
            <w:r w:rsidRPr="0013369E">
              <w:rPr>
                <w:rStyle w:val="Artref"/>
                <w:color w:val="000000"/>
                <w:highlight w:val="lightGray"/>
              </w:rPr>
              <w:t>ADD 5.A15</w:t>
            </w:r>
          </w:p>
          <w:p w:rsidR="00417494" w:rsidRPr="00302721" w:rsidRDefault="00417494" w:rsidP="0013369E">
            <w:pPr>
              <w:pStyle w:val="TableTextS5"/>
              <w:keepNext/>
              <w:keepLines/>
              <w:tabs>
                <w:tab w:val="clear" w:pos="170"/>
                <w:tab w:val="clear" w:pos="567"/>
                <w:tab w:val="clear" w:pos="737"/>
              </w:tabs>
              <w:spacing w:before="30" w:after="30" w:line="210" w:lineRule="exact"/>
              <w:ind w:left="3005" w:hanging="3005"/>
              <w:rPr>
                <w:color w:val="000000"/>
              </w:rPr>
            </w:pPr>
            <w:r w:rsidRPr="00302721">
              <w:rPr>
                <w:color w:val="000000"/>
              </w:rPr>
              <w:tab/>
              <w:t>MOBILE except aeronautical mobile</w:t>
            </w:r>
          </w:p>
          <w:p w:rsidR="00417494" w:rsidRPr="00302721" w:rsidRDefault="00417494" w:rsidP="0013369E">
            <w:pPr>
              <w:pStyle w:val="TableTextS5"/>
              <w:keepNext/>
              <w:keepLines/>
              <w:tabs>
                <w:tab w:val="clear" w:pos="170"/>
                <w:tab w:val="clear" w:pos="567"/>
                <w:tab w:val="clear" w:pos="737"/>
              </w:tabs>
              <w:spacing w:before="30" w:after="30" w:line="210" w:lineRule="exact"/>
              <w:ind w:left="3005" w:hanging="3005"/>
              <w:rPr>
                <w:color w:val="000000"/>
              </w:rPr>
            </w:pPr>
            <w:r w:rsidRPr="00302721">
              <w:rPr>
                <w:color w:val="000000"/>
              </w:rPr>
              <w:tab/>
              <w:t xml:space="preserve">Mobile-satellite (Earth-to-space)  5.504B  </w:t>
            </w:r>
            <w:r w:rsidRPr="00302721">
              <w:rPr>
                <w:rStyle w:val="Artref"/>
                <w:color w:val="000000"/>
              </w:rPr>
              <w:t>5.506A</w:t>
            </w:r>
            <w:r w:rsidRPr="00302721">
              <w:rPr>
                <w:color w:val="000000"/>
              </w:rPr>
              <w:t xml:space="preserve">  </w:t>
            </w:r>
            <w:r w:rsidRPr="00302721">
              <w:rPr>
                <w:rStyle w:val="Artref"/>
                <w:color w:val="000000"/>
              </w:rPr>
              <w:t>5.509A</w:t>
            </w:r>
          </w:p>
          <w:p w:rsidR="00417494" w:rsidRPr="00302721" w:rsidRDefault="00417494" w:rsidP="0013369E">
            <w:pPr>
              <w:pStyle w:val="TableTextS5"/>
              <w:keepNext/>
              <w:keepLines/>
              <w:tabs>
                <w:tab w:val="clear" w:pos="170"/>
                <w:tab w:val="clear" w:pos="567"/>
                <w:tab w:val="clear" w:pos="737"/>
              </w:tabs>
              <w:spacing w:before="30" w:after="30" w:line="210" w:lineRule="exact"/>
              <w:ind w:left="3005" w:hanging="3005"/>
              <w:rPr>
                <w:color w:val="000000"/>
              </w:rPr>
            </w:pPr>
            <w:r w:rsidRPr="00302721">
              <w:rPr>
                <w:color w:val="000000"/>
              </w:rPr>
              <w:tab/>
              <w:t>Space research (space-to-Earth)</w:t>
            </w:r>
          </w:p>
          <w:p w:rsidR="00417494" w:rsidRPr="00302721" w:rsidRDefault="00417494" w:rsidP="0013369E">
            <w:pPr>
              <w:pStyle w:val="TableTextS5"/>
              <w:keepNext/>
              <w:keepLines/>
              <w:tabs>
                <w:tab w:val="clear" w:pos="170"/>
                <w:tab w:val="clear" w:pos="567"/>
                <w:tab w:val="clear" w:pos="737"/>
              </w:tabs>
              <w:spacing w:before="30" w:after="30" w:line="210" w:lineRule="exact"/>
              <w:rPr>
                <w:color w:val="000000"/>
              </w:rPr>
            </w:pPr>
            <w:r w:rsidRPr="00302721">
              <w:rPr>
                <w:color w:val="000000"/>
              </w:rPr>
              <w:tab/>
            </w:r>
            <w:r w:rsidRPr="00302721">
              <w:rPr>
                <w:rStyle w:val="Artref"/>
                <w:color w:val="000000"/>
              </w:rPr>
              <w:t>5.504A</w:t>
            </w:r>
          </w:p>
        </w:tc>
      </w:tr>
    </w:tbl>
    <w:p w:rsidR="00417494" w:rsidRDefault="00417494" w:rsidP="00417494">
      <w:pPr>
        <w:pStyle w:val="Reasons"/>
      </w:pPr>
    </w:p>
    <w:p w:rsidR="00417494" w:rsidRDefault="00417494" w:rsidP="00417494">
      <w:pPr>
        <w:pStyle w:val="Proposal"/>
      </w:pPr>
    </w:p>
    <w:p w:rsidR="00417494" w:rsidRDefault="00417494" w:rsidP="00417494">
      <w:pPr>
        <w:autoSpaceDE/>
        <w:autoSpaceDN/>
        <w:adjustRightInd/>
        <w:spacing w:after="200" w:line="276" w:lineRule="auto"/>
        <w:rPr>
          <w:rFonts w:hAnsi="Times New Roman Bold"/>
          <w:b/>
        </w:rPr>
      </w:pPr>
      <w:r>
        <w:br w:type="page"/>
      </w:r>
    </w:p>
    <w:p w:rsidR="00417494" w:rsidRPr="003670EB" w:rsidRDefault="00417494" w:rsidP="00D867D8">
      <w:pPr>
        <w:pStyle w:val="Proposal"/>
      </w:pPr>
      <w:r w:rsidRPr="003670EB">
        <w:lastRenderedPageBreak/>
        <w:t>MOD</w:t>
      </w:r>
      <w:r w:rsidRPr="003670EB">
        <w:rPr>
          <w:vanish/>
          <w:color w:val="7F7F7F" w:themeColor="text1" w:themeTint="80"/>
          <w:vertAlign w:val="superscript"/>
        </w:rPr>
        <w:t>#33320</w:t>
      </w:r>
    </w:p>
    <w:p w:rsidR="00417494" w:rsidRPr="003670EB" w:rsidRDefault="00417494" w:rsidP="00417494">
      <w:pPr>
        <w:pStyle w:val="Tabletitle"/>
      </w:pPr>
      <w:r w:rsidRPr="003670EB">
        <w:t>18.4-22 GHz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417494" w:rsidRPr="003670EB"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pStyle w:val="Tablehead"/>
            </w:pPr>
            <w:r w:rsidRPr="003670EB">
              <w:t>Allocation to services</w:t>
            </w:r>
          </w:p>
        </w:tc>
      </w:tr>
      <w:tr w:rsidR="00417494" w:rsidRPr="003670EB" w:rsidTr="0013369E">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417494" w:rsidRPr="003670EB" w:rsidRDefault="00417494" w:rsidP="0013369E">
            <w:pPr>
              <w:pStyle w:val="Tablehead"/>
            </w:pPr>
            <w:r w:rsidRPr="003670EB">
              <w:t>Region 1</w:t>
            </w:r>
          </w:p>
        </w:tc>
        <w:tc>
          <w:tcPr>
            <w:tcW w:w="3101" w:type="dxa"/>
            <w:tcBorders>
              <w:top w:val="single" w:sz="4" w:space="0" w:color="auto"/>
              <w:left w:val="single" w:sz="6" w:space="0" w:color="auto"/>
              <w:bottom w:val="single" w:sz="6" w:space="0" w:color="auto"/>
              <w:right w:val="single" w:sz="6" w:space="0" w:color="auto"/>
            </w:tcBorders>
            <w:hideMark/>
          </w:tcPr>
          <w:p w:rsidR="00417494" w:rsidRPr="003670EB" w:rsidRDefault="00417494" w:rsidP="0013369E">
            <w:pPr>
              <w:pStyle w:val="Tablehead"/>
            </w:pPr>
            <w:r w:rsidRPr="003670EB">
              <w:t>Region 2</w:t>
            </w:r>
          </w:p>
        </w:tc>
        <w:tc>
          <w:tcPr>
            <w:tcW w:w="3101" w:type="dxa"/>
            <w:tcBorders>
              <w:top w:val="single" w:sz="4" w:space="0" w:color="auto"/>
              <w:left w:val="single" w:sz="6" w:space="0" w:color="auto"/>
              <w:bottom w:val="single" w:sz="6" w:space="0" w:color="auto"/>
              <w:right w:val="single" w:sz="6" w:space="0" w:color="auto"/>
            </w:tcBorders>
            <w:hideMark/>
          </w:tcPr>
          <w:p w:rsidR="00417494" w:rsidRPr="003670EB" w:rsidRDefault="00417494" w:rsidP="0013369E">
            <w:pPr>
              <w:pStyle w:val="Tablehead"/>
            </w:pPr>
            <w:r w:rsidRPr="003670EB">
              <w:t>Region 3</w:t>
            </w:r>
          </w:p>
        </w:tc>
      </w:tr>
      <w:tr w:rsidR="00417494" w:rsidRPr="003670EB" w:rsidTr="0013369E">
        <w:trPr>
          <w:cantSplit/>
          <w:jc w:val="center"/>
        </w:trPr>
        <w:tc>
          <w:tcPr>
            <w:tcW w:w="3101" w:type="dxa"/>
            <w:tcBorders>
              <w:top w:val="single" w:sz="4" w:space="0" w:color="auto"/>
              <w:left w:val="single" w:sz="6" w:space="0" w:color="auto"/>
              <w:bottom w:val="nil"/>
              <w:right w:val="single" w:sz="6" w:space="0" w:color="auto"/>
            </w:tcBorders>
            <w:hideMark/>
          </w:tcPr>
          <w:p w:rsidR="00417494" w:rsidRPr="003670EB" w:rsidRDefault="00417494" w:rsidP="0013369E">
            <w:pPr>
              <w:pStyle w:val="TableTextS5"/>
              <w:spacing w:before="30" w:after="30"/>
              <w:rPr>
                <w:rStyle w:val="Tablefreq"/>
              </w:rPr>
            </w:pPr>
            <w:r w:rsidRPr="003670EB">
              <w:rPr>
                <w:rStyle w:val="Tablefreq"/>
              </w:rPr>
              <w:t>19.7-20.1</w:t>
            </w:r>
          </w:p>
          <w:p w:rsidR="00417494" w:rsidRPr="003670EB" w:rsidRDefault="00417494" w:rsidP="0013369E">
            <w:pPr>
              <w:pStyle w:val="TableTextS5"/>
              <w:spacing w:before="30" w:after="30"/>
              <w:ind w:left="170" w:hanging="170"/>
              <w:rPr>
                <w:color w:val="000000"/>
              </w:rPr>
            </w:pPr>
            <w:r w:rsidRPr="003670EB">
              <w:rPr>
                <w:color w:val="000000"/>
              </w:rPr>
              <w:t>FIXED-SATELLITE</w:t>
            </w:r>
            <w:r w:rsidRPr="003670EB">
              <w:rPr>
                <w:color w:val="000000"/>
              </w:rPr>
              <w:br/>
              <w:t xml:space="preserve">(space-to-Earth)  </w:t>
            </w:r>
            <w:r w:rsidRPr="003670EB">
              <w:rPr>
                <w:rStyle w:val="Artref"/>
                <w:color w:val="000000"/>
              </w:rPr>
              <w:t>5.484A</w:t>
            </w:r>
            <w:r w:rsidRPr="003670EB">
              <w:rPr>
                <w:color w:val="000000"/>
              </w:rPr>
              <w:t xml:space="preserve">  </w:t>
            </w:r>
            <w:r w:rsidRPr="003670EB">
              <w:rPr>
                <w:rStyle w:val="Artref"/>
                <w:color w:val="000000"/>
              </w:rPr>
              <w:t xml:space="preserve">5.516B </w:t>
            </w:r>
            <w:r w:rsidRPr="003670EB">
              <w:t>ADD</w:t>
            </w:r>
            <w:r w:rsidRPr="003670EB">
              <w:rPr>
                <w:rStyle w:val="Artref"/>
                <w:color w:val="000000"/>
              </w:rPr>
              <w:t xml:space="preserve"> 5.5X</w:t>
            </w:r>
            <w:r>
              <w:t xml:space="preserve">  </w:t>
            </w:r>
            <w:r w:rsidRPr="0013369E">
              <w:rPr>
                <w:highlight w:val="lightGray"/>
              </w:rPr>
              <w:t>ADD</w:t>
            </w:r>
            <w:r w:rsidRPr="0013369E">
              <w:rPr>
                <w:rStyle w:val="Artref"/>
                <w:color w:val="000000"/>
                <w:highlight w:val="lightGray"/>
              </w:rPr>
              <w:t xml:space="preserve"> 5.A15</w:t>
            </w:r>
          </w:p>
          <w:p w:rsidR="00417494" w:rsidRPr="003670EB" w:rsidRDefault="00417494" w:rsidP="0013369E">
            <w:pPr>
              <w:pStyle w:val="TableTextS5"/>
              <w:spacing w:before="30" w:after="30"/>
              <w:rPr>
                <w:color w:val="000000"/>
              </w:rPr>
            </w:pPr>
            <w:r w:rsidRPr="003670EB">
              <w:rPr>
                <w:color w:val="000000"/>
              </w:rPr>
              <w:t>Mobile-satellite (space-to-Earth)</w:t>
            </w:r>
          </w:p>
        </w:tc>
        <w:tc>
          <w:tcPr>
            <w:tcW w:w="3101" w:type="dxa"/>
            <w:tcBorders>
              <w:top w:val="single" w:sz="4" w:space="0" w:color="auto"/>
              <w:left w:val="single" w:sz="6" w:space="0" w:color="auto"/>
              <w:bottom w:val="nil"/>
              <w:right w:val="single" w:sz="6" w:space="0" w:color="auto"/>
            </w:tcBorders>
            <w:hideMark/>
          </w:tcPr>
          <w:p w:rsidR="00417494" w:rsidRPr="003670EB" w:rsidRDefault="00417494" w:rsidP="0013369E">
            <w:pPr>
              <w:pStyle w:val="TableTextS5"/>
              <w:spacing w:before="30" w:after="30"/>
              <w:rPr>
                <w:rStyle w:val="Tablefreq"/>
              </w:rPr>
            </w:pPr>
            <w:r w:rsidRPr="003670EB">
              <w:rPr>
                <w:rStyle w:val="Tablefreq"/>
              </w:rPr>
              <w:t>19.7-20.1</w:t>
            </w:r>
          </w:p>
          <w:p w:rsidR="00417494" w:rsidRPr="003670EB" w:rsidRDefault="00417494" w:rsidP="0013369E">
            <w:pPr>
              <w:pStyle w:val="TableTextS5"/>
              <w:spacing w:before="30" w:after="30"/>
              <w:ind w:left="170" w:hanging="170"/>
              <w:rPr>
                <w:color w:val="000000"/>
              </w:rPr>
            </w:pPr>
            <w:r w:rsidRPr="003670EB">
              <w:rPr>
                <w:color w:val="000000"/>
              </w:rPr>
              <w:t>FIXED-SATELLITE</w:t>
            </w:r>
            <w:r w:rsidRPr="003670EB">
              <w:rPr>
                <w:color w:val="000000"/>
              </w:rPr>
              <w:br/>
              <w:t xml:space="preserve">(space-to-Earth)  </w:t>
            </w:r>
            <w:r w:rsidRPr="003670EB">
              <w:rPr>
                <w:rStyle w:val="Artref"/>
                <w:color w:val="000000"/>
              </w:rPr>
              <w:t>5.484A</w:t>
            </w:r>
            <w:r w:rsidRPr="003670EB">
              <w:rPr>
                <w:color w:val="000000"/>
              </w:rPr>
              <w:t xml:space="preserve">  </w:t>
            </w:r>
            <w:r w:rsidRPr="003670EB">
              <w:rPr>
                <w:rStyle w:val="Artref"/>
                <w:color w:val="000000"/>
              </w:rPr>
              <w:t xml:space="preserve">5.516B </w:t>
            </w:r>
            <w:r w:rsidRPr="003670EB">
              <w:t xml:space="preserve">ADD </w:t>
            </w:r>
            <w:r w:rsidRPr="003670EB">
              <w:rPr>
                <w:rStyle w:val="Artref"/>
                <w:color w:val="000000"/>
              </w:rPr>
              <w:t>5.5X</w:t>
            </w:r>
            <w:r>
              <w:t xml:space="preserve">  </w:t>
            </w:r>
            <w:r w:rsidRPr="0013369E">
              <w:rPr>
                <w:highlight w:val="lightGray"/>
              </w:rPr>
              <w:t>ADD</w:t>
            </w:r>
            <w:r w:rsidRPr="0013369E">
              <w:rPr>
                <w:rStyle w:val="Artref"/>
                <w:color w:val="000000"/>
                <w:highlight w:val="lightGray"/>
              </w:rPr>
              <w:t xml:space="preserve"> 5.A15</w:t>
            </w:r>
          </w:p>
          <w:p w:rsidR="00417494" w:rsidRPr="003670EB" w:rsidRDefault="00417494" w:rsidP="0013369E">
            <w:pPr>
              <w:pStyle w:val="TableTextS5"/>
              <w:spacing w:before="30" w:after="30"/>
              <w:ind w:left="170" w:hanging="170"/>
              <w:rPr>
                <w:color w:val="000000"/>
              </w:rPr>
            </w:pPr>
            <w:r w:rsidRPr="003670EB">
              <w:rPr>
                <w:color w:val="000000"/>
              </w:rPr>
              <w:t>MOBILE-SATELLITE</w:t>
            </w:r>
            <w:r w:rsidRPr="003670EB">
              <w:rPr>
                <w:color w:val="000000"/>
              </w:rPr>
              <w:br/>
              <w:t>(space-to-Earth)</w:t>
            </w:r>
          </w:p>
        </w:tc>
        <w:tc>
          <w:tcPr>
            <w:tcW w:w="3101" w:type="dxa"/>
            <w:tcBorders>
              <w:top w:val="single" w:sz="4" w:space="0" w:color="auto"/>
              <w:left w:val="single" w:sz="6" w:space="0" w:color="auto"/>
              <w:bottom w:val="nil"/>
              <w:right w:val="single" w:sz="6" w:space="0" w:color="auto"/>
            </w:tcBorders>
            <w:hideMark/>
          </w:tcPr>
          <w:p w:rsidR="00417494" w:rsidRPr="003670EB" w:rsidRDefault="00417494" w:rsidP="0013369E">
            <w:pPr>
              <w:pStyle w:val="TableTextS5"/>
              <w:spacing w:before="30" w:after="30"/>
              <w:rPr>
                <w:rStyle w:val="Tablefreq"/>
              </w:rPr>
            </w:pPr>
            <w:r w:rsidRPr="003670EB">
              <w:rPr>
                <w:rStyle w:val="Tablefreq"/>
              </w:rPr>
              <w:t>19.7-20.1</w:t>
            </w:r>
          </w:p>
          <w:p w:rsidR="00417494" w:rsidRPr="003670EB" w:rsidRDefault="00417494" w:rsidP="0013369E">
            <w:pPr>
              <w:pStyle w:val="TableTextS5"/>
              <w:spacing w:before="30" w:after="30"/>
              <w:ind w:left="170" w:hanging="170"/>
              <w:rPr>
                <w:color w:val="000000"/>
              </w:rPr>
            </w:pPr>
            <w:r w:rsidRPr="003670EB">
              <w:rPr>
                <w:color w:val="000000"/>
              </w:rPr>
              <w:t>FIXED-SATELLITE</w:t>
            </w:r>
            <w:r w:rsidRPr="003670EB">
              <w:rPr>
                <w:color w:val="000000"/>
              </w:rPr>
              <w:br/>
              <w:t xml:space="preserve">(space-to-Earth)  </w:t>
            </w:r>
            <w:r w:rsidRPr="003670EB">
              <w:rPr>
                <w:rStyle w:val="Artref"/>
                <w:color w:val="000000"/>
              </w:rPr>
              <w:t>5.484A</w:t>
            </w:r>
            <w:r w:rsidRPr="003670EB">
              <w:rPr>
                <w:color w:val="000000"/>
              </w:rPr>
              <w:t xml:space="preserve">  </w:t>
            </w:r>
            <w:r w:rsidRPr="003670EB">
              <w:rPr>
                <w:rStyle w:val="Artref"/>
                <w:color w:val="000000"/>
              </w:rPr>
              <w:t xml:space="preserve">5.516B </w:t>
            </w:r>
            <w:r w:rsidRPr="003670EB">
              <w:t xml:space="preserve">ADD </w:t>
            </w:r>
            <w:r w:rsidRPr="003670EB">
              <w:rPr>
                <w:rStyle w:val="Artref"/>
                <w:color w:val="000000"/>
              </w:rPr>
              <w:t>5.5X</w:t>
            </w:r>
            <w:r>
              <w:t xml:space="preserve">  </w:t>
            </w:r>
            <w:r w:rsidRPr="0013369E">
              <w:rPr>
                <w:highlight w:val="lightGray"/>
              </w:rPr>
              <w:t>ADD</w:t>
            </w:r>
            <w:r w:rsidRPr="0013369E">
              <w:rPr>
                <w:rStyle w:val="Artref"/>
                <w:color w:val="000000"/>
                <w:highlight w:val="lightGray"/>
              </w:rPr>
              <w:t xml:space="preserve"> 5.A15</w:t>
            </w:r>
          </w:p>
          <w:p w:rsidR="00417494" w:rsidRPr="003670EB" w:rsidRDefault="00417494" w:rsidP="0013369E">
            <w:pPr>
              <w:pStyle w:val="TableTextS5"/>
              <w:spacing w:before="30" w:after="30"/>
              <w:rPr>
                <w:color w:val="000000"/>
              </w:rPr>
            </w:pPr>
            <w:r w:rsidRPr="003670EB">
              <w:rPr>
                <w:color w:val="000000"/>
              </w:rPr>
              <w:t>Mobile-satellite (space-to-Earth)</w:t>
            </w:r>
          </w:p>
        </w:tc>
      </w:tr>
      <w:tr w:rsidR="00417494" w:rsidRPr="003670EB" w:rsidTr="0013369E">
        <w:trPr>
          <w:cantSplit/>
          <w:jc w:val="center"/>
        </w:trPr>
        <w:tc>
          <w:tcPr>
            <w:tcW w:w="3101" w:type="dxa"/>
            <w:tcBorders>
              <w:top w:val="nil"/>
              <w:left w:val="single" w:sz="6" w:space="0" w:color="auto"/>
              <w:bottom w:val="single" w:sz="6" w:space="0" w:color="auto"/>
              <w:right w:val="single" w:sz="6" w:space="0" w:color="auto"/>
            </w:tcBorders>
            <w:hideMark/>
          </w:tcPr>
          <w:p w:rsidR="00417494" w:rsidRPr="003670EB" w:rsidRDefault="00417494" w:rsidP="0013369E">
            <w:pPr>
              <w:pStyle w:val="TableTextS5"/>
              <w:spacing w:before="30" w:after="30"/>
              <w:rPr>
                <w:color w:val="000000"/>
              </w:rPr>
            </w:pPr>
            <w:r w:rsidRPr="003670EB">
              <w:rPr>
                <w:color w:val="000000"/>
              </w:rPr>
              <w:br/>
            </w:r>
            <w:r w:rsidRPr="003670EB">
              <w:rPr>
                <w:rStyle w:val="Artref"/>
                <w:color w:val="000000"/>
              </w:rPr>
              <w:t>5.524</w:t>
            </w:r>
          </w:p>
        </w:tc>
        <w:tc>
          <w:tcPr>
            <w:tcW w:w="3101" w:type="dxa"/>
            <w:tcBorders>
              <w:top w:val="nil"/>
              <w:left w:val="single" w:sz="6" w:space="0" w:color="auto"/>
              <w:bottom w:val="single" w:sz="6" w:space="0" w:color="auto"/>
              <w:right w:val="single" w:sz="6" w:space="0" w:color="auto"/>
            </w:tcBorders>
            <w:hideMark/>
          </w:tcPr>
          <w:p w:rsidR="00417494" w:rsidRPr="003670EB" w:rsidRDefault="00417494" w:rsidP="0013369E">
            <w:pPr>
              <w:pStyle w:val="TableTextS5"/>
              <w:spacing w:before="30" w:after="30"/>
              <w:rPr>
                <w:color w:val="000000"/>
              </w:rPr>
            </w:pPr>
            <w:r w:rsidRPr="003670EB">
              <w:rPr>
                <w:rStyle w:val="Artref"/>
                <w:color w:val="000000"/>
              </w:rPr>
              <w:t>5.524</w:t>
            </w:r>
            <w:r w:rsidRPr="003670EB">
              <w:rPr>
                <w:color w:val="000000"/>
              </w:rPr>
              <w:t xml:space="preserve">  </w:t>
            </w:r>
            <w:r w:rsidRPr="003670EB">
              <w:rPr>
                <w:rStyle w:val="Artref"/>
                <w:color w:val="000000"/>
              </w:rPr>
              <w:t>5.525</w:t>
            </w:r>
            <w:r w:rsidRPr="003670EB">
              <w:rPr>
                <w:color w:val="000000"/>
              </w:rPr>
              <w:t xml:space="preserve">  </w:t>
            </w:r>
            <w:r w:rsidRPr="003670EB">
              <w:rPr>
                <w:rStyle w:val="Artref"/>
                <w:color w:val="000000"/>
              </w:rPr>
              <w:t>5.526</w:t>
            </w:r>
            <w:r w:rsidRPr="003670EB">
              <w:rPr>
                <w:color w:val="000000"/>
              </w:rPr>
              <w:t xml:space="preserve">  </w:t>
            </w:r>
            <w:r w:rsidRPr="003670EB">
              <w:rPr>
                <w:rStyle w:val="Artref"/>
                <w:color w:val="000000"/>
              </w:rPr>
              <w:t>5.527</w:t>
            </w:r>
            <w:r w:rsidRPr="003670EB">
              <w:rPr>
                <w:color w:val="000000"/>
              </w:rPr>
              <w:t xml:space="preserve">  </w:t>
            </w:r>
            <w:r w:rsidRPr="003670EB">
              <w:rPr>
                <w:rStyle w:val="Artref"/>
                <w:color w:val="000000"/>
              </w:rPr>
              <w:t>5.528</w:t>
            </w:r>
            <w:r w:rsidRPr="003670EB">
              <w:rPr>
                <w:color w:val="000000"/>
              </w:rPr>
              <w:t xml:space="preserve">  </w:t>
            </w:r>
            <w:r w:rsidRPr="003670EB">
              <w:rPr>
                <w:rStyle w:val="Artref"/>
                <w:color w:val="000000"/>
              </w:rPr>
              <w:t>5.529</w:t>
            </w:r>
          </w:p>
        </w:tc>
        <w:tc>
          <w:tcPr>
            <w:tcW w:w="3101" w:type="dxa"/>
            <w:tcBorders>
              <w:top w:val="nil"/>
              <w:left w:val="single" w:sz="6" w:space="0" w:color="auto"/>
              <w:bottom w:val="single" w:sz="6" w:space="0" w:color="auto"/>
              <w:right w:val="single" w:sz="6" w:space="0" w:color="auto"/>
            </w:tcBorders>
            <w:hideMark/>
          </w:tcPr>
          <w:p w:rsidR="00417494" w:rsidRPr="003670EB" w:rsidRDefault="00417494" w:rsidP="0013369E">
            <w:pPr>
              <w:pStyle w:val="TableTextS5"/>
              <w:spacing w:before="30" w:after="30"/>
              <w:rPr>
                <w:color w:val="000000"/>
              </w:rPr>
            </w:pPr>
            <w:r w:rsidRPr="003670EB">
              <w:rPr>
                <w:color w:val="000000"/>
              </w:rPr>
              <w:br/>
            </w:r>
            <w:r w:rsidRPr="003670EB">
              <w:rPr>
                <w:rStyle w:val="Artref"/>
                <w:color w:val="000000"/>
              </w:rPr>
              <w:t>5.524</w:t>
            </w:r>
          </w:p>
        </w:tc>
      </w:tr>
      <w:tr w:rsidR="00417494" w:rsidRPr="003670EB" w:rsidTr="0013369E">
        <w:trPr>
          <w:cantSplit/>
          <w:jc w:val="center"/>
        </w:trPr>
        <w:tc>
          <w:tcPr>
            <w:tcW w:w="9303" w:type="dxa"/>
            <w:gridSpan w:val="3"/>
            <w:tcBorders>
              <w:top w:val="single" w:sz="6" w:space="0" w:color="auto"/>
              <w:left w:val="single" w:sz="6" w:space="0" w:color="auto"/>
              <w:bottom w:val="single" w:sz="4" w:space="0" w:color="auto"/>
              <w:right w:val="single" w:sz="6" w:space="0" w:color="auto"/>
            </w:tcBorders>
            <w:hideMark/>
          </w:tcPr>
          <w:p w:rsidR="00417494" w:rsidRPr="003670EB" w:rsidRDefault="00417494" w:rsidP="0013369E">
            <w:pPr>
              <w:pStyle w:val="TableTextS5"/>
              <w:spacing w:before="30" w:after="30"/>
              <w:rPr>
                <w:color w:val="000000"/>
              </w:rPr>
            </w:pPr>
            <w:r w:rsidRPr="003670EB">
              <w:rPr>
                <w:rStyle w:val="Tablefreq"/>
              </w:rPr>
              <w:t>20.1-20.2</w:t>
            </w:r>
            <w:r w:rsidRPr="003670EB">
              <w:rPr>
                <w:b/>
                <w:color w:val="000000"/>
              </w:rPr>
              <w:tab/>
            </w:r>
            <w:r w:rsidRPr="003670EB">
              <w:rPr>
                <w:color w:val="000000"/>
              </w:rPr>
              <w:t xml:space="preserve">FIXED-SATELLITE (space-to-Earth)  </w:t>
            </w:r>
            <w:r w:rsidRPr="003670EB">
              <w:rPr>
                <w:rStyle w:val="Artref"/>
                <w:color w:val="000000"/>
              </w:rPr>
              <w:t>5.484A</w:t>
            </w:r>
            <w:r w:rsidRPr="003670EB">
              <w:rPr>
                <w:color w:val="000000"/>
              </w:rPr>
              <w:t xml:space="preserve">  </w:t>
            </w:r>
            <w:r w:rsidRPr="003670EB">
              <w:rPr>
                <w:rStyle w:val="Artref"/>
                <w:color w:val="000000"/>
              </w:rPr>
              <w:t xml:space="preserve">5.516B </w:t>
            </w:r>
            <w:r w:rsidRPr="003670EB">
              <w:t>ADD</w:t>
            </w:r>
            <w:r w:rsidRPr="003670EB">
              <w:rPr>
                <w:rStyle w:val="Artref"/>
                <w:color w:val="000000"/>
              </w:rPr>
              <w:t xml:space="preserve"> 5.5X</w:t>
            </w:r>
            <w:r>
              <w:t xml:space="preserve">  </w:t>
            </w:r>
            <w:r>
              <w:br/>
            </w:r>
            <w:r>
              <w:tab/>
            </w:r>
            <w:r>
              <w:tab/>
            </w:r>
            <w:r>
              <w:tab/>
            </w:r>
            <w:r>
              <w:tab/>
            </w:r>
            <w:r w:rsidRPr="00D867D8">
              <w:rPr>
                <w:highlight w:val="lightGray"/>
              </w:rPr>
              <w:t>ADD</w:t>
            </w:r>
            <w:r w:rsidRPr="00D867D8">
              <w:rPr>
                <w:rStyle w:val="Artref"/>
                <w:color w:val="000000"/>
                <w:highlight w:val="lightGray"/>
              </w:rPr>
              <w:t xml:space="preserve"> 5.A15</w:t>
            </w:r>
          </w:p>
          <w:p w:rsidR="00417494" w:rsidRPr="003670EB" w:rsidRDefault="00417494" w:rsidP="0013369E">
            <w:pPr>
              <w:pStyle w:val="TableTextS5"/>
              <w:spacing w:before="30" w:after="30"/>
              <w:rPr>
                <w:color w:val="000000"/>
              </w:rPr>
            </w:pPr>
            <w:r w:rsidRPr="003670EB">
              <w:rPr>
                <w:color w:val="000000"/>
              </w:rPr>
              <w:tab/>
            </w:r>
            <w:r w:rsidRPr="003670EB">
              <w:rPr>
                <w:color w:val="000000"/>
              </w:rPr>
              <w:tab/>
            </w:r>
            <w:r w:rsidRPr="003670EB">
              <w:rPr>
                <w:color w:val="000000"/>
              </w:rPr>
              <w:tab/>
            </w:r>
            <w:r w:rsidRPr="003670EB">
              <w:rPr>
                <w:color w:val="000000"/>
              </w:rPr>
              <w:tab/>
              <w:t>MOBILE-SATELLITE (space-to-Earth)</w:t>
            </w:r>
          </w:p>
          <w:p w:rsidR="00417494" w:rsidRPr="003670EB" w:rsidRDefault="00417494" w:rsidP="0013369E">
            <w:pPr>
              <w:pStyle w:val="TableTextS5"/>
              <w:spacing w:before="30" w:after="30"/>
              <w:rPr>
                <w:color w:val="000000"/>
              </w:rPr>
            </w:pPr>
            <w:r w:rsidRPr="003670EB">
              <w:rPr>
                <w:color w:val="000000"/>
              </w:rPr>
              <w:tab/>
            </w:r>
            <w:r w:rsidRPr="003670EB">
              <w:rPr>
                <w:color w:val="000000"/>
              </w:rPr>
              <w:tab/>
            </w:r>
            <w:r w:rsidRPr="003670EB">
              <w:rPr>
                <w:color w:val="000000"/>
              </w:rPr>
              <w:tab/>
            </w:r>
            <w:r w:rsidRPr="003670EB">
              <w:rPr>
                <w:color w:val="000000"/>
              </w:rPr>
              <w:tab/>
            </w:r>
            <w:r w:rsidRPr="003670EB">
              <w:rPr>
                <w:rStyle w:val="Artref"/>
                <w:color w:val="000000"/>
              </w:rPr>
              <w:t>5.524</w:t>
            </w:r>
            <w:r w:rsidRPr="003670EB">
              <w:rPr>
                <w:color w:val="000000"/>
              </w:rPr>
              <w:t xml:space="preserve">  </w:t>
            </w:r>
            <w:r w:rsidRPr="003670EB">
              <w:rPr>
                <w:rStyle w:val="Artref"/>
                <w:color w:val="000000"/>
              </w:rPr>
              <w:t>5.525</w:t>
            </w:r>
            <w:r w:rsidRPr="003670EB">
              <w:rPr>
                <w:color w:val="000000"/>
              </w:rPr>
              <w:t xml:space="preserve">  </w:t>
            </w:r>
            <w:r w:rsidRPr="003670EB">
              <w:rPr>
                <w:rStyle w:val="Artref"/>
                <w:color w:val="000000"/>
              </w:rPr>
              <w:t>5.526</w:t>
            </w:r>
            <w:r w:rsidRPr="003670EB">
              <w:rPr>
                <w:color w:val="000000"/>
              </w:rPr>
              <w:t xml:space="preserve">  </w:t>
            </w:r>
            <w:r w:rsidRPr="003670EB">
              <w:rPr>
                <w:rStyle w:val="Artref"/>
                <w:color w:val="000000"/>
              </w:rPr>
              <w:t>5.527</w:t>
            </w:r>
            <w:r w:rsidRPr="003670EB">
              <w:rPr>
                <w:color w:val="000000"/>
              </w:rPr>
              <w:t xml:space="preserve">  </w:t>
            </w:r>
            <w:r w:rsidRPr="003670EB">
              <w:rPr>
                <w:rStyle w:val="Artref"/>
                <w:color w:val="000000"/>
              </w:rPr>
              <w:t>5.528</w:t>
            </w:r>
          </w:p>
        </w:tc>
      </w:tr>
    </w:tbl>
    <w:p w:rsidR="00417494" w:rsidRDefault="00417494" w:rsidP="00417494">
      <w:pPr>
        <w:pStyle w:val="Reasons"/>
      </w:pPr>
    </w:p>
    <w:p w:rsidR="00417494" w:rsidRPr="003670EB" w:rsidRDefault="00417494" w:rsidP="00D867D8">
      <w:pPr>
        <w:pStyle w:val="Proposal"/>
      </w:pPr>
      <w:r w:rsidRPr="003670EB">
        <w:t>MOD</w:t>
      </w:r>
      <w:r w:rsidRPr="003670EB">
        <w:rPr>
          <w:vanish/>
          <w:color w:val="7F7F7F" w:themeColor="text1" w:themeTint="80"/>
          <w:vertAlign w:val="superscript"/>
        </w:rPr>
        <w:t>#33321</w:t>
      </w:r>
    </w:p>
    <w:p w:rsidR="00417494" w:rsidRPr="003670EB" w:rsidRDefault="00417494" w:rsidP="00417494">
      <w:pPr>
        <w:pStyle w:val="Tabletitle"/>
      </w:pPr>
      <w:r w:rsidRPr="003670EB">
        <w:t>24.75-29.9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417494" w:rsidRPr="003670EB" w:rsidTr="0013369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pStyle w:val="Tablehead"/>
            </w:pPr>
            <w:r w:rsidRPr="003670EB">
              <w:t>Allocation to services</w:t>
            </w:r>
          </w:p>
        </w:tc>
      </w:tr>
      <w:tr w:rsidR="00417494" w:rsidRPr="003670EB" w:rsidTr="0013369E">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pStyle w:val="Tablehead"/>
            </w:pPr>
            <w:r w:rsidRPr="003670EB">
              <w:t>Region 1</w:t>
            </w:r>
          </w:p>
        </w:tc>
        <w:tc>
          <w:tcPr>
            <w:tcW w:w="3101" w:type="dxa"/>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pStyle w:val="Tablehead"/>
            </w:pPr>
            <w:r w:rsidRPr="003670EB">
              <w:t>Region 2</w:t>
            </w:r>
          </w:p>
        </w:tc>
        <w:tc>
          <w:tcPr>
            <w:tcW w:w="3102" w:type="dxa"/>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pStyle w:val="Tablehead"/>
            </w:pPr>
            <w:r w:rsidRPr="003670EB">
              <w:t>Region 3</w:t>
            </w:r>
          </w:p>
        </w:tc>
      </w:tr>
      <w:tr w:rsidR="00417494" w:rsidRPr="003670EB" w:rsidTr="0013369E">
        <w:trPr>
          <w:cantSplit/>
          <w:jc w:val="center"/>
        </w:trPr>
        <w:tc>
          <w:tcPr>
            <w:tcW w:w="3101" w:type="dxa"/>
            <w:tcBorders>
              <w:top w:val="single" w:sz="4" w:space="0" w:color="auto"/>
              <w:left w:val="single" w:sz="4" w:space="0" w:color="auto"/>
              <w:bottom w:val="nil"/>
              <w:right w:val="single" w:sz="4" w:space="0" w:color="auto"/>
            </w:tcBorders>
            <w:hideMark/>
          </w:tcPr>
          <w:p w:rsidR="00417494" w:rsidRPr="003670EB" w:rsidRDefault="00417494" w:rsidP="0013369E">
            <w:pPr>
              <w:pStyle w:val="TableTextS5"/>
              <w:ind w:left="170" w:hanging="170"/>
              <w:rPr>
                <w:rStyle w:val="Tablefreq"/>
              </w:rPr>
            </w:pPr>
            <w:r w:rsidRPr="003670EB">
              <w:rPr>
                <w:rStyle w:val="Tablefreq"/>
              </w:rPr>
              <w:t>29.5-29.9</w:t>
            </w:r>
          </w:p>
          <w:p w:rsidR="00417494" w:rsidRPr="003670EB" w:rsidRDefault="00417494" w:rsidP="0013369E">
            <w:pPr>
              <w:pStyle w:val="TableTextS5"/>
              <w:ind w:left="170" w:hanging="170"/>
              <w:rPr>
                <w:color w:val="000000"/>
              </w:rPr>
            </w:pPr>
            <w:r w:rsidRPr="003670EB">
              <w:rPr>
                <w:color w:val="000000"/>
              </w:rPr>
              <w:t>FIXED-SATELLITE</w:t>
            </w:r>
            <w:r w:rsidRPr="003670EB">
              <w:rPr>
                <w:color w:val="000000"/>
              </w:rPr>
              <w:br/>
              <w:t xml:space="preserve">(Earth-to-space)  </w:t>
            </w:r>
            <w:r w:rsidRPr="003670EB">
              <w:rPr>
                <w:rStyle w:val="Artref"/>
              </w:rPr>
              <w:t>5.484A</w:t>
            </w:r>
            <w:r w:rsidRPr="003670EB">
              <w:rPr>
                <w:color w:val="000000"/>
              </w:rPr>
              <w:t xml:space="preserve">  </w:t>
            </w:r>
            <w:r w:rsidRPr="003670EB">
              <w:rPr>
                <w:rStyle w:val="Artref"/>
              </w:rPr>
              <w:t>5.516B</w:t>
            </w:r>
            <w:r w:rsidRPr="003670EB">
              <w:rPr>
                <w:color w:val="000000"/>
              </w:rPr>
              <w:t xml:space="preserve">  </w:t>
            </w:r>
            <w:r w:rsidRPr="003670EB">
              <w:rPr>
                <w:rStyle w:val="Artref"/>
              </w:rPr>
              <w:t>5.539</w:t>
            </w:r>
            <w:r w:rsidRPr="003670EB">
              <w:rPr>
                <w:color w:val="000000"/>
              </w:rPr>
              <w:t xml:space="preserve"> ADD </w:t>
            </w:r>
            <w:r w:rsidRPr="003670EB">
              <w:rPr>
                <w:rStyle w:val="Artref"/>
              </w:rPr>
              <w:t>5.5X</w:t>
            </w:r>
            <w:r>
              <w:t xml:space="preserve">  </w:t>
            </w:r>
            <w:r w:rsidRPr="00D867D8">
              <w:rPr>
                <w:highlight w:val="lightGray"/>
              </w:rPr>
              <w:t>ADD</w:t>
            </w:r>
            <w:r w:rsidRPr="00D867D8">
              <w:rPr>
                <w:rStyle w:val="Artref"/>
                <w:color w:val="000000"/>
                <w:highlight w:val="lightGray"/>
              </w:rPr>
              <w:t xml:space="preserve"> 5.A15</w:t>
            </w:r>
          </w:p>
          <w:p w:rsidR="00417494" w:rsidRPr="003670EB" w:rsidRDefault="00417494" w:rsidP="0013369E">
            <w:pPr>
              <w:pStyle w:val="TableTextS5"/>
              <w:ind w:left="170" w:hanging="170"/>
              <w:rPr>
                <w:color w:val="000000"/>
              </w:rPr>
            </w:pPr>
            <w:r w:rsidRPr="003670EB">
              <w:rPr>
                <w:color w:val="000000"/>
              </w:rPr>
              <w:t>Earth exploration-satellite</w:t>
            </w:r>
            <w:r w:rsidRPr="003670EB">
              <w:rPr>
                <w:color w:val="000000"/>
              </w:rPr>
              <w:br/>
              <w:t xml:space="preserve">(Earth-to-space)  </w:t>
            </w:r>
            <w:r w:rsidRPr="003670EB">
              <w:rPr>
                <w:rStyle w:val="Artref"/>
              </w:rPr>
              <w:t>5.541</w:t>
            </w:r>
          </w:p>
          <w:p w:rsidR="00417494" w:rsidRPr="003670EB" w:rsidRDefault="00417494" w:rsidP="0013369E">
            <w:pPr>
              <w:pStyle w:val="TableTextS5"/>
              <w:ind w:left="170" w:hanging="170"/>
              <w:rPr>
                <w:color w:val="000000"/>
              </w:rPr>
            </w:pPr>
            <w:r w:rsidRPr="003670EB">
              <w:rPr>
                <w:color w:val="000000"/>
              </w:rPr>
              <w:t>Mobile-satellite (Earth-to-space)</w:t>
            </w:r>
          </w:p>
        </w:tc>
        <w:tc>
          <w:tcPr>
            <w:tcW w:w="3101" w:type="dxa"/>
            <w:tcBorders>
              <w:top w:val="single" w:sz="4" w:space="0" w:color="auto"/>
              <w:left w:val="single" w:sz="4" w:space="0" w:color="auto"/>
              <w:bottom w:val="nil"/>
              <w:right w:val="single" w:sz="4" w:space="0" w:color="auto"/>
            </w:tcBorders>
            <w:hideMark/>
          </w:tcPr>
          <w:p w:rsidR="00417494" w:rsidRPr="003670EB" w:rsidRDefault="00417494" w:rsidP="0013369E">
            <w:pPr>
              <w:pStyle w:val="TableTextS5"/>
              <w:ind w:left="170" w:hanging="170"/>
              <w:rPr>
                <w:rStyle w:val="Tablefreq"/>
              </w:rPr>
            </w:pPr>
            <w:r w:rsidRPr="003670EB">
              <w:rPr>
                <w:rStyle w:val="Tablefreq"/>
              </w:rPr>
              <w:t>29.5-29.9</w:t>
            </w:r>
          </w:p>
          <w:p w:rsidR="00417494" w:rsidRPr="003670EB" w:rsidRDefault="00417494" w:rsidP="0013369E">
            <w:pPr>
              <w:pStyle w:val="TableTextS5"/>
              <w:ind w:left="170" w:hanging="170"/>
              <w:rPr>
                <w:color w:val="000000"/>
              </w:rPr>
            </w:pPr>
            <w:r w:rsidRPr="003670EB">
              <w:rPr>
                <w:color w:val="000000"/>
              </w:rPr>
              <w:t>FIXED-SATELLITE</w:t>
            </w:r>
            <w:r w:rsidRPr="003670EB">
              <w:rPr>
                <w:color w:val="000000"/>
              </w:rPr>
              <w:br/>
              <w:t xml:space="preserve">(Earth-to-space)  </w:t>
            </w:r>
            <w:r w:rsidRPr="003670EB">
              <w:rPr>
                <w:rStyle w:val="Artref"/>
              </w:rPr>
              <w:t>5.484A</w:t>
            </w:r>
            <w:r w:rsidRPr="003670EB">
              <w:rPr>
                <w:color w:val="000000"/>
              </w:rPr>
              <w:t xml:space="preserve">  </w:t>
            </w:r>
            <w:r w:rsidRPr="003670EB">
              <w:rPr>
                <w:rStyle w:val="Artref"/>
              </w:rPr>
              <w:t>5.516B</w:t>
            </w:r>
            <w:r w:rsidRPr="003670EB">
              <w:rPr>
                <w:color w:val="000000"/>
              </w:rPr>
              <w:t xml:space="preserve">  </w:t>
            </w:r>
            <w:r w:rsidRPr="003670EB">
              <w:rPr>
                <w:rStyle w:val="Artref"/>
              </w:rPr>
              <w:t>5.539</w:t>
            </w:r>
            <w:r w:rsidRPr="003670EB">
              <w:rPr>
                <w:color w:val="000000"/>
              </w:rPr>
              <w:t xml:space="preserve"> ADD </w:t>
            </w:r>
            <w:r w:rsidRPr="003670EB">
              <w:rPr>
                <w:rStyle w:val="Artref"/>
              </w:rPr>
              <w:t>5.5X</w:t>
            </w:r>
            <w:r>
              <w:t xml:space="preserve">  </w:t>
            </w:r>
            <w:r w:rsidRPr="00D867D8">
              <w:rPr>
                <w:highlight w:val="lightGray"/>
              </w:rPr>
              <w:t>ADD</w:t>
            </w:r>
            <w:r w:rsidRPr="00D867D8">
              <w:rPr>
                <w:rStyle w:val="Artref"/>
                <w:color w:val="000000"/>
                <w:highlight w:val="lightGray"/>
              </w:rPr>
              <w:t xml:space="preserve"> 5.A15</w:t>
            </w:r>
          </w:p>
          <w:p w:rsidR="00417494" w:rsidRPr="003670EB" w:rsidRDefault="00417494" w:rsidP="0013369E">
            <w:pPr>
              <w:pStyle w:val="TableTextS5"/>
              <w:ind w:left="170" w:hanging="170"/>
              <w:rPr>
                <w:color w:val="000000"/>
              </w:rPr>
            </w:pPr>
            <w:r w:rsidRPr="003670EB">
              <w:rPr>
                <w:color w:val="000000"/>
              </w:rPr>
              <w:t>MOBILE-SATELLITE</w:t>
            </w:r>
            <w:r w:rsidRPr="003670EB">
              <w:rPr>
                <w:color w:val="000000"/>
              </w:rPr>
              <w:br/>
              <w:t>(Earth-to-space)</w:t>
            </w:r>
          </w:p>
          <w:p w:rsidR="00417494" w:rsidRPr="003670EB" w:rsidRDefault="00417494" w:rsidP="0013369E">
            <w:pPr>
              <w:pStyle w:val="TableTextS5"/>
              <w:ind w:left="170" w:hanging="170"/>
              <w:rPr>
                <w:color w:val="000000"/>
              </w:rPr>
            </w:pPr>
            <w:r w:rsidRPr="003670EB">
              <w:rPr>
                <w:color w:val="000000"/>
              </w:rPr>
              <w:t>Earth exploration-satellite</w:t>
            </w:r>
            <w:r w:rsidRPr="003670EB">
              <w:rPr>
                <w:color w:val="000000"/>
              </w:rPr>
              <w:br/>
              <w:t xml:space="preserve">(Earth-to-space)  </w:t>
            </w:r>
            <w:r w:rsidRPr="003670EB">
              <w:rPr>
                <w:rStyle w:val="Artref"/>
              </w:rPr>
              <w:t>5.541</w:t>
            </w:r>
          </w:p>
        </w:tc>
        <w:tc>
          <w:tcPr>
            <w:tcW w:w="3102" w:type="dxa"/>
            <w:tcBorders>
              <w:top w:val="single" w:sz="4" w:space="0" w:color="auto"/>
              <w:left w:val="single" w:sz="4" w:space="0" w:color="auto"/>
              <w:bottom w:val="nil"/>
              <w:right w:val="single" w:sz="4" w:space="0" w:color="auto"/>
            </w:tcBorders>
            <w:hideMark/>
          </w:tcPr>
          <w:p w:rsidR="00417494" w:rsidRPr="003670EB" w:rsidRDefault="00417494" w:rsidP="0013369E">
            <w:pPr>
              <w:pStyle w:val="TableTextS5"/>
              <w:ind w:left="170" w:hanging="170"/>
              <w:rPr>
                <w:rStyle w:val="Tablefreq"/>
              </w:rPr>
            </w:pPr>
            <w:r w:rsidRPr="003670EB">
              <w:rPr>
                <w:rStyle w:val="Tablefreq"/>
              </w:rPr>
              <w:t>29.5-29.9</w:t>
            </w:r>
          </w:p>
          <w:p w:rsidR="00417494" w:rsidRPr="003670EB" w:rsidRDefault="00417494" w:rsidP="0013369E">
            <w:pPr>
              <w:pStyle w:val="TableTextS5"/>
              <w:ind w:left="170" w:hanging="170"/>
              <w:rPr>
                <w:color w:val="000000"/>
              </w:rPr>
            </w:pPr>
            <w:r w:rsidRPr="003670EB">
              <w:rPr>
                <w:color w:val="000000"/>
              </w:rPr>
              <w:t>FIXED-SATELLITE</w:t>
            </w:r>
            <w:r w:rsidRPr="003670EB">
              <w:rPr>
                <w:color w:val="000000"/>
              </w:rPr>
              <w:br/>
              <w:t xml:space="preserve">(Earth-to-space)  </w:t>
            </w:r>
            <w:r w:rsidRPr="003670EB">
              <w:rPr>
                <w:rStyle w:val="Artref"/>
              </w:rPr>
              <w:t>5.484A</w:t>
            </w:r>
            <w:r w:rsidRPr="003670EB">
              <w:rPr>
                <w:color w:val="000000"/>
              </w:rPr>
              <w:t xml:space="preserve">  </w:t>
            </w:r>
            <w:r w:rsidRPr="003670EB">
              <w:rPr>
                <w:rStyle w:val="Artref"/>
              </w:rPr>
              <w:t>5.516B</w:t>
            </w:r>
            <w:r w:rsidRPr="003670EB">
              <w:rPr>
                <w:color w:val="000000"/>
              </w:rPr>
              <w:t xml:space="preserve">  </w:t>
            </w:r>
            <w:r w:rsidRPr="003670EB">
              <w:rPr>
                <w:rStyle w:val="Artref"/>
              </w:rPr>
              <w:t>5.539</w:t>
            </w:r>
            <w:r w:rsidRPr="003670EB">
              <w:rPr>
                <w:color w:val="000000"/>
              </w:rPr>
              <w:t xml:space="preserve"> ADD </w:t>
            </w:r>
            <w:r w:rsidRPr="003670EB">
              <w:rPr>
                <w:rStyle w:val="Artref"/>
              </w:rPr>
              <w:t>5.5X</w:t>
            </w:r>
            <w:r>
              <w:t xml:space="preserve">  </w:t>
            </w:r>
            <w:r w:rsidRPr="00D867D8">
              <w:rPr>
                <w:highlight w:val="lightGray"/>
              </w:rPr>
              <w:t>ADD</w:t>
            </w:r>
            <w:r w:rsidRPr="00D867D8">
              <w:rPr>
                <w:rStyle w:val="Artref"/>
                <w:color w:val="000000"/>
                <w:highlight w:val="lightGray"/>
              </w:rPr>
              <w:t xml:space="preserve"> 5.A15</w:t>
            </w:r>
          </w:p>
          <w:p w:rsidR="00417494" w:rsidRPr="003670EB" w:rsidRDefault="00417494" w:rsidP="0013369E">
            <w:pPr>
              <w:pStyle w:val="TableTextS5"/>
              <w:ind w:left="170" w:hanging="170"/>
              <w:rPr>
                <w:color w:val="000000"/>
              </w:rPr>
            </w:pPr>
            <w:r w:rsidRPr="003670EB">
              <w:rPr>
                <w:color w:val="000000"/>
              </w:rPr>
              <w:t>Earth exploration-satellite</w:t>
            </w:r>
            <w:r w:rsidRPr="003670EB">
              <w:rPr>
                <w:color w:val="000000"/>
              </w:rPr>
              <w:br/>
              <w:t xml:space="preserve">(Earth-to-space)  </w:t>
            </w:r>
            <w:r w:rsidRPr="003670EB">
              <w:rPr>
                <w:rStyle w:val="Artref"/>
              </w:rPr>
              <w:t>5.541</w:t>
            </w:r>
          </w:p>
          <w:p w:rsidR="00417494" w:rsidRPr="003670EB" w:rsidRDefault="00417494" w:rsidP="0013369E">
            <w:pPr>
              <w:pStyle w:val="TableTextS5"/>
              <w:ind w:left="170" w:hanging="170"/>
              <w:rPr>
                <w:color w:val="000000"/>
              </w:rPr>
            </w:pPr>
            <w:r w:rsidRPr="003670EB">
              <w:rPr>
                <w:color w:val="000000"/>
              </w:rPr>
              <w:t xml:space="preserve">Mobile-satellite (Earth-to-space) </w:t>
            </w:r>
          </w:p>
        </w:tc>
      </w:tr>
      <w:tr w:rsidR="00417494" w:rsidRPr="003670EB" w:rsidTr="0013369E">
        <w:trPr>
          <w:cantSplit/>
          <w:jc w:val="center"/>
        </w:trPr>
        <w:tc>
          <w:tcPr>
            <w:tcW w:w="3101" w:type="dxa"/>
            <w:tcBorders>
              <w:top w:val="nil"/>
              <w:left w:val="single" w:sz="4" w:space="0" w:color="auto"/>
              <w:bottom w:val="single" w:sz="4" w:space="0" w:color="auto"/>
              <w:right w:val="single" w:sz="4" w:space="0" w:color="auto"/>
            </w:tcBorders>
            <w:hideMark/>
          </w:tcPr>
          <w:p w:rsidR="00417494" w:rsidRPr="003670EB" w:rsidRDefault="00417494" w:rsidP="0013369E">
            <w:pPr>
              <w:pStyle w:val="TableTextS5"/>
              <w:spacing w:before="30" w:after="30"/>
              <w:rPr>
                <w:rStyle w:val="Artref"/>
                <w:color w:val="000000"/>
              </w:rPr>
            </w:pPr>
            <w:r w:rsidRPr="003670EB">
              <w:rPr>
                <w:rStyle w:val="Artref"/>
              </w:rPr>
              <w:br/>
            </w:r>
            <w:r w:rsidRPr="003670EB">
              <w:rPr>
                <w:rStyle w:val="Artref"/>
                <w:color w:val="000000"/>
              </w:rPr>
              <w:t>5.540</w:t>
            </w:r>
            <w:r w:rsidRPr="003670EB">
              <w:rPr>
                <w:rStyle w:val="Artref"/>
              </w:rPr>
              <w:t xml:space="preserve">  </w:t>
            </w:r>
            <w:r w:rsidRPr="003670EB">
              <w:rPr>
                <w:rStyle w:val="Artref"/>
                <w:color w:val="000000"/>
              </w:rPr>
              <w:t>5.542</w:t>
            </w:r>
          </w:p>
        </w:tc>
        <w:tc>
          <w:tcPr>
            <w:tcW w:w="3101" w:type="dxa"/>
            <w:tcBorders>
              <w:top w:val="nil"/>
              <w:left w:val="single" w:sz="4" w:space="0" w:color="auto"/>
              <w:bottom w:val="single" w:sz="4" w:space="0" w:color="auto"/>
              <w:right w:val="single" w:sz="4" w:space="0" w:color="auto"/>
            </w:tcBorders>
            <w:hideMark/>
          </w:tcPr>
          <w:p w:rsidR="00417494" w:rsidRPr="003670EB" w:rsidRDefault="00417494" w:rsidP="0013369E">
            <w:pPr>
              <w:pStyle w:val="TableTextS5"/>
              <w:spacing w:before="30" w:after="30"/>
              <w:rPr>
                <w:rStyle w:val="Artref"/>
                <w:color w:val="000000"/>
              </w:rPr>
            </w:pPr>
            <w:r w:rsidRPr="003670EB">
              <w:rPr>
                <w:rStyle w:val="Artref"/>
              </w:rPr>
              <w:br/>
            </w:r>
            <w:r w:rsidRPr="003670EB">
              <w:rPr>
                <w:rStyle w:val="Artref"/>
                <w:color w:val="000000"/>
              </w:rPr>
              <w:t>5.525</w:t>
            </w:r>
            <w:r w:rsidRPr="003670EB">
              <w:rPr>
                <w:rStyle w:val="Artref"/>
              </w:rPr>
              <w:t xml:space="preserve">  </w:t>
            </w:r>
            <w:r w:rsidRPr="003670EB">
              <w:rPr>
                <w:rStyle w:val="Artref"/>
                <w:color w:val="000000"/>
              </w:rPr>
              <w:t>5.526</w:t>
            </w:r>
            <w:r w:rsidRPr="003670EB">
              <w:rPr>
                <w:rStyle w:val="Artref"/>
              </w:rPr>
              <w:t xml:space="preserve">  </w:t>
            </w:r>
            <w:r w:rsidRPr="003670EB">
              <w:rPr>
                <w:rStyle w:val="Artref"/>
                <w:color w:val="000000"/>
              </w:rPr>
              <w:t>5.527</w:t>
            </w:r>
            <w:r w:rsidRPr="003670EB">
              <w:rPr>
                <w:rStyle w:val="Artref"/>
              </w:rPr>
              <w:t xml:space="preserve">  </w:t>
            </w:r>
            <w:r w:rsidRPr="003670EB">
              <w:rPr>
                <w:rStyle w:val="Artref"/>
                <w:color w:val="000000"/>
              </w:rPr>
              <w:t>5.529</w:t>
            </w:r>
            <w:r w:rsidRPr="003670EB">
              <w:rPr>
                <w:rStyle w:val="Artref"/>
              </w:rPr>
              <w:t xml:space="preserve">  </w:t>
            </w:r>
            <w:r w:rsidRPr="003670EB">
              <w:rPr>
                <w:rStyle w:val="Artref"/>
                <w:color w:val="000000"/>
              </w:rPr>
              <w:t xml:space="preserve">5.540 </w:t>
            </w:r>
          </w:p>
        </w:tc>
        <w:tc>
          <w:tcPr>
            <w:tcW w:w="3102" w:type="dxa"/>
            <w:tcBorders>
              <w:top w:val="nil"/>
              <w:left w:val="single" w:sz="4" w:space="0" w:color="auto"/>
              <w:bottom w:val="single" w:sz="4" w:space="0" w:color="auto"/>
              <w:right w:val="single" w:sz="4" w:space="0" w:color="auto"/>
            </w:tcBorders>
            <w:hideMark/>
          </w:tcPr>
          <w:p w:rsidR="00417494" w:rsidRPr="003670EB" w:rsidRDefault="00417494" w:rsidP="0013369E">
            <w:pPr>
              <w:pStyle w:val="TableTextS5"/>
              <w:spacing w:before="30" w:after="30"/>
              <w:rPr>
                <w:rStyle w:val="Artref"/>
                <w:color w:val="000000"/>
              </w:rPr>
            </w:pPr>
            <w:r w:rsidRPr="003670EB">
              <w:rPr>
                <w:rStyle w:val="Artref"/>
              </w:rPr>
              <w:br/>
            </w:r>
            <w:r w:rsidRPr="003670EB">
              <w:rPr>
                <w:rStyle w:val="Artref"/>
                <w:color w:val="000000"/>
              </w:rPr>
              <w:t>5.540</w:t>
            </w:r>
            <w:r w:rsidRPr="003670EB">
              <w:rPr>
                <w:rStyle w:val="Artref"/>
              </w:rPr>
              <w:t xml:space="preserve">  </w:t>
            </w:r>
            <w:r w:rsidRPr="003670EB">
              <w:rPr>
                <w:rStyle w:val="Artref"/>
                <w:color w:val="000000"/>
              </w:rPr>
              <w:t>5.542</w:t>
            </w:r>
          </w:p>
        </w:tc>
      </w:tr>
    </w:tbl>
    <w:p w:rsidR="00417494" w:rsidRPr="003670EB" w:rsidRDefault="00417494" w:rsidP="00417494">
      <w:pPr>
        <w:pStyle w:val="Reasons"/>
      </w:pPr>
    </w:p>
    <w:p w:rsidR="00417494" w:rsidRPr="003670EB" w:rsidRDefault="00417494" w:rsidP="00D867D8">
      <w:pPr>
        <w:pStyle w:val="Proposal"/>
      </w:pPr>
      <w:r w:rsidRPr="003670EB">
        <w:t>MOD</w:t>
      </w:r>
      <w:r w:rsidRPr="003670EB">
        <w:rPr>
          <w:vanish/>
          <w:color w:val="7F7F7F" w:themeColor="text1" w:themeTint="80"/>
          <w:vertAlign w:val="superscript"/>
        </w:rPr>
        <w:t>#33322</w:t>
      </w:r>
    </w:p>
    <w:p w:rsidR="00417494" w:rsidRPr="003670EB" w:rsidRDefault="00417494" w:rsidP="00417494">
      <w:pPr>
        <w:pStyle w:val="Tabletitle"/>
      </w:pPr>
      <w:r w:rsidRPr="003670EB">
        <w:t>29.9-34.2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417494" w:rsidRPr="003670EB"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keepNext/>
              <w:spacing w:before="80" w:after="80"/>
              <w:jc w:val="center"/>
              <w:rPr>
                <w:rFonts w:ascii="Times New Roman Bold" w:hAnsi="Times New Roman Bold" w:cs="Times New Roman Bold"/>
                <w:b/>
                <w:sz w:val="20"/>
              </w:rPr>
            </w:pPr>
            <w:r w:rsidRPr="003670EB">
              <w:rPr>
                <w:rFonts w:ascii="Times New Roman Bold" w:hAnsi="Times New Roman Bold" w:cs="Times New Roman Bold"/>
                <w:b/>
                <w:sz w:val="20"/>
              </w:rPr>
              <w:t>Allocation to services</w:t>
            </w:r>
          </w:p>
        </w:tc>
      </w:tr>
      <w:tr w:rsidR="00417494" w:rsidRPr="003670EB" w:rsidTr="0013369E">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keepNext/>
              <w:spacing w:before="80" w:after="80"/>
              <w:jc w:val="center"/>
              <w:rPr>
                <w:rFonts w:ascii="Times New Roman Bold" w:hAnsi="Times New Roman Bold" w:cs="Times New Roman Bold"/>
                <w:b/>
                <w:sz w:val="20"/>
              </w:rPr>
            </w:pPr>
            <w:r w:rsidRPr="003670EB">
              <w:rPr>
                <w:rFonts w:ascii="Times New Roman Bold" w:hAnsi="Times New Roman Bold" w:cs="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keepNext/>
              <w:spacing w:before="80" w:after="80"/>
              <w:jc w:val="center"/>
              <w:rPr>
                <w:rFonts w:ascii="Times New Roman Bold" w:hAnsi="Times New Roman Bold" w:cs="Times New Roman Bold"/>
                <w:b/>
                <w:sz w:val="20"/>
              </w:rPr>
            </w:pPr>
            <w:r w:rsidRPr="003670EB">
              <w:rPr>
                <w:rFonts w:ascii="Times New Roman Bold" w:hAnsi="Times New Roman Bold" w:cs="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keepNext/>
              <w:spacing w:before="80" w:after="80"/>
              <w:jc w:val="center"/>
              <w:rPr>
                <w:rFonts w:ascii="Times New Roman Bold" w:hAnsi="Times New Roman Bold" w:cs="Times New Roman Bold"/>
                <w:b/>
                <w:sz w:val="20"/>
              </w:rPr>
            </w:pPr>
            <w:r w:rsidRPr="003670EB">
              <w:rPr>
                <w:rFonts w:ascii="Times New Roman Bold" w:hAnsi="Times New Roman Bold" w:cs="Times New Roman Bold"/>
                <w:b/>
                <w:sz w:val="20"/>
              </w:rPr>
              <w:t>Region 3</w:t>
            </w:r>
          </w:p>
        </w:tc>
      </w:tr>
      <w:tr w:rsidR="00417494" w:rsidRPr="003670EB" w:rsidTr="0013369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417494" w:rsidRPr="003670EB" w:rsidRDefault="00417494" w:rsidP="0013369E">
            <w:pPr>
              <w:pStyle w:val="TableTextS5"/>
            </w:pPr>
            <w:r w:rsidRPr="003670EB">
              <w:rPr>
                <w:rStyle w:val="Tablefreq"/>
              </w:rPr>
              <w:t>29.9-30</w:t>
            </w:r>
            <w:r w:rsidRPr="003670EB">
              <w:tab/>
            </w:r>
            <w:r w:rsidRPr="003670EB">
              <w:rPr>
                <w:b/>
              </w:rPr>
              <w:tab/>
            </w:r>
            <w:r w:rsidRPr="003670EB">
              <w:t xml:space="preserve">FIXED-SATELLITE (Earth-to-space)  </w:t>
            </w:r>
            <w:r w:rsidRPr="003670EB">
              <w:rPr>
                <w:rStyle w:val="Artref"/>
              </w:rPr>
              <w:t>5.484A</w:t>
            </w:r>
            <w:r w:rsidRPr="003670EB">
              <w:t xml:space="preserve">  </w:t>
            </w:r>
            <w:r w:rsidRPr="003670EB">
              <w:rPr>
                <w:rStyle w:val="Artref"/>
              </w:rPr>
              <w:t>5.516B</w:t>
            </w:r>
            <w:r w:rsidRPr="003670EB">
              <w:t xml:space="preserve">  </w:t>
            </w:r>
            <w:r w:rsidRPr="003670EB">
              <w:rPr>
                <w:rStyle w:val="Artref"/>
              </w:rPr>
              <w:t>5.539</w:t>
            </w:r>
            <w:r w:rsidRPr="003670EB">
              <w:t xml:space="preserve"> ADD </w:t>
            </w:r>
            <w:r w:rsidRPr="003670EB">
              <w:rPr>
                <w:rStyle w:val="Artref"/>
              </w:rPr>
              <w:t>5.5X</w:t>
            </w:r>
            <w:r>
              <w:t xml:space="preserve">  </w:t>
            </w:r>
            <w:r>
              <w:tab/>
            </w:r>
            <w:r>
              <w:tab/>
            </w:r>
            <w:r>
              <w:tab/>
            </w:r>
            <w:r>
              <w:tab/>
            </w:r>
            <w:r w:rsidRPr="00D867D8">
              <w:rPr>
                <w:highlight w:val="lightGray"/>
              </w:rPr>
              <w:t>ADD</w:t>
            </w:r>
            <w:r w:rsidRPr="00D867D8">
              <w:rPr>
                <w:rStyle w:val="Artref"/>
                <w:color w:val="000000"/>
                <w:highlight w:val="lightGray"/>
              </w:rPr>
              <w:t xml:space="preserve"> 5.A15</w:t>
            </w:r>
          </w:p>
          <w:p w:rsidR="00417494" w:rsidRPr="003670EB" w:rsidRDefault="00417494" w:rsidP="0013369E">
            <w:pPr>
              <w:pStyle w:val="TableTextS5"/>
            </w:pPr>
            <w:r w:rsidRPr="003670EB">
              <w:tab/>
            </w:r>
            <w:r w:rsidRPr="003670EB">
              <w:tab/>
            </w:r>
            <w:r w:rsidRPr="003670EB">
              <w:tab/>
            </w:r>
            <w:r w:rsidRPr="003670EB">
              <w:tab/>
              <w:t>MOBILE-SATELLITE (Earth-to-space)</w:t>
            </w:r>
          </w:p>
          <w:p w:rsidR="00417494" w:rsidRPr="003670EB" w:rsidRDefault="00417494" w:rsidP="0013369E">
            <w:pPr>
              <w:pStyle w:val="TableTextS5"/>
            </w:pPr>
            <w:r w:rsidRPr="003670EB">
              <w:tab/>
            </w:r>
            <w:r w:rsidRPr="003670EB">
              <w:tab/>
            </w:r>
            <w:r w:rsidRPr="003670EB">
              <w:tab/>
            </w:r>
            <w:r w:rsidRPr="003670EB">
              <w:tab/>
              <w:t xml:space="preserve">Earth exploration-satellite (Earth-to-space)  </w:t>
            </w:r>
            <w:r w:rsidRPr="003670EB">
              <w:rPr>
                <w:rStyle w:val="Artref"/>
              </w:rPr>
              <w:t>5.541</w:t>
            </w:r>
            <w:r w:rsidRPr="003670EB">
              <w:t xml:space="preserve">  </w:t>
            </w:r>
            <w:r w:rsidRPr="003670EB">
              <w:rPr>
                <w:rStyle w:val="Artref"/>
              </w:rPr>
              <w:t>5.543</w:t>
            </w:r>
          </w:p>
          <w:p w:rsidR="00417494" w:rsidRPr="003670EB" w:rsidRDefault="00417494" w:rsidP="0013369E">
            <w:pPr>
              <w:tabs>
                <w:tab w:val="left" w:pos="170"/>
                <w:tab w:val="left" w:pos="567"/>
                <w:tab w:val="left" w:pos="737"/>
                <w:tab w:val="left" w:pos="2977"/>
                <w:tab w:val="left" w:pos="3266"/>
              </w:tabs>
              <w:spacing w:before="40" w:after="40"/>
              <w:rPr>
                <w:color w:val="000000"/>
                <w:sz w:val="20"/>
              </w:rPr>
            </w:pPr>
            <w:r w:rsidRPr="003670EB">
              <w:rPr>
                <w:color w:val="000000"/>
                <w:sz w:val="20"/>
              </w:rPr>
              <w:tab/>
            </w:r>
            <w:r w:rsidRPr="003670EB">
              <w:rPr>
                <w:color w:val="000000"/>
                <w:sz w:val="20"/>
              </w:rPr>
              <w:tab/>
            </w:r>
            <w:r w:rsidRPr="003670EB">
              <w:rPr>
                <w:color w:val="000000"/>
                <w:sz w:val="20"/>
              </w:rPr>
              <w:tab/>
            </w:r>
            <w:r w:rsidRPr="003670EB">
              <w:rPr>
                <w:color w:val="000000"/>
                <w:sz w:val="20"/>
              </w:rPr>
              <w:tab/>
            </w:r>
            <w:r w:rsidRPr="003670EB">
              <w:rPr>
                <w:rStyle w:val="Artref"/>
                <w:sz w:val="20"/>
              </w:rPr>
              <w:t>5.525</w:t>
            </w:r>
            <w:r w:rsidRPr="003670EB">
              <w:rPr>
                <w:color w:val="000000"/>
                <w:sz w:val="20"/>
              </w:rPr>
              <w:t xml:space="preserve">  </w:t>
            </w:r>
            <w:r w:rsidRPr="003670EB">
              <w:rPr>
                <w:rStyle w:val="Artref"/>
                <w:sz w:val="20"/>
              </w:rPr>
              <w:t>5.526</w:t>
            </w:r>
            <w:r w:rsidRPr="003670EB">
              <w:rPr>
                <w:color w:val="000000"/>
                <w:sz w:val="20"/>
              </w:rPr>
              <w:t xml:space="preserve">  </w:t>
            </w:r>
            <w:r w:rsidRPr="003670EB">
              <w:rPr>
                <w:rStyle w:val="Artref"/>
                <w:sz w:val="20"/>
              </w:rPr>
              <w:t>5.527</w:t>
            </w:r>
            <w:r w:rsidRPr="003670EB">
              <w:rPr>
                <w:color w:val="000000"/>
                <w:sz w:val="20"/>
              </w:rPr>
              <w:t xml:space="preserve">  </w:t>
            </w:r>
            <w:r w:rsidRPr="003670EB">
              <w:rPr>
                <w:rStyle w:val="Artref"/>
                <w:sz w:val="20"/>
              </w:rPr>
              <w:t>5.538</w:t>
            </w:r>
            <w:r w:rsidRPr="003670EB">
              <w:rPr>
                <w:color w:val="000000"/>
                <w:sz w:val="20"/>
              </w:rPr>
              <w:t xml:space="preserve">  </w:t>
            </w:r>
            <w:r w:rsidRPr="003670EB">
              <w:rPr>
                <w:rStyle w:val="Artref"/>
                <w:sz w:val="20"/>
              </w:rPr>
              <w:t>5.540</w:t>
            </w:r>
            <w:r w:rsidRPr="003670EB">
              <w:rPr>
                <w:color w:val="000000"/>
                <w:sz w:val="20"/>
              </w:rPr>
              <w:t xml:space="preserve">  </w:t>
            </w:r>
            <w:r w:rsidRPr="003670EB">
              <w:rPr>
                <w:rStyle w:val="Artref"/>
                <w:sz w:val="20"/>
              </w:rPr>
              <w:t>5.542</w:t>
            </w:r>
          </w:p>
        </w:tc>
      </w:tr>
    </w:tbl>
    <w:p w:rsidR="00D867D8" w:rsidRDefault="00417494" w:rsidP="00D867D8">
      <w:pPr>
        <w:pStyle w:val="Proposal"/>
      </w:pPr>
      <w:r>
        <w:lastRenderedPageBreak/>
        <w:t>ADD</w:t>
      </w:r>
      <w:r>
        <w:tab/>
      </w:r>
    </w:p>
    <w:p w:rsidR="00417494" w:rsidRDefault="00417494" w:rsidP="00D867D8">
      <w:pPr>
        <w:pStyle w:val="Proposal"/>
        <w:rPr>
          <w:sz w:val="16"/>
          <w:szCs w:val="12"/>
        </w:rPr>
      </w:pPr>
      <w:r w:rsidRPr="00537BD7">
        <w:rPr>
          <w:rStyle w:val="Artdef"/>
          <w:highlight w:val="lightGray"/>
        </w:rPr>
        <w:t>5.A15</w:t>
      </w:r>
      <w:r w:rsidRPr="00CD5427">
        <w:tab/>
        <w:t>Resolution</w:t>
      </w:r>
      <w:r w:rsidRPr="00CD5427">
        <w:t> </w:t>
      </w:r>
      <w:r w:rsidRPr="00CD5427">
        <w:rPr>
          <w:b w:val="0"/>
          <w:bCs/>
        </w:rPr>
        <w:t>[COM4/5] (WRC</w:t>
      </w:r>
      <w:r w:rsidRPr="00CD5427">
        <w:rPr>
          <w:b w:val="0"/>
          <w:bCs/>
        </w:rPr>
        <w:noBreakHyphen/>
        <w:t>15)</w:t>
      </w:r>
      <w:r w:rsidRPr="00CD5427">
        <w:t xml:space="preserve"> shall apply.</w:t>
      </w:r>
      <w:r w:rsidRPr="00CD5427">
        <w:rPr>
          <w:sz w:val="16"/>
          <w:szCs w:val="12"/>
        </w:rPr>
        <w:t>     </w:t>
      </w:r>
      <w:r w:rsidRPr="00CD5427">
        <w:rPr>
          <w:sz w:val="16"/>
          <w:szCs w:val="12"/>
        </w:rPr>
        <w:t>(WRC</w:t>
      </w:r>
      <w:r w:rsidRPr="00CD5427">
        <w:rPr>
          <w:sz w:val="16"/>
          <w:szCs w:val="12"/>
        </w:rPr>
        <w:noBreakHyphen/>
        <w:t>15)</w:t>
      </w:r>
    </w:p>
    <w:p w:rsidR="00417494" w:rsidRPr="00403442" w:rsidRDefault="00417494" w:rsidP="003A7B1C">
      <w:pPr>
        <w:pStyle w:val="Proposal"/>
      </w:pPr>
      <w:r w:rsidRPr="00403442">
        <w:t>ADD</w:t>
      </w:r>
      <w:r w:rsidRPr="00403442">
        <w:rPr>
          <w:vanish/>
          <w:color w:val="7F7F7F" w:themeColor="text1" w:themeTint="80"/>
          <w:vertAlign w:val="superscript"/>
        </w:rPr>
        <w:t>#35455</w:t>
      </w:r>
    </w:p>
    <w:p w:rsidR="00417494" w:rsidRPr="00403442" w:rsidRDefault="00417494" w:rsidP="00CD5427">
      <w:pPr>
        <w:pStyle w:val="ResNo"/>
        <w:spacing w:before="0"/>
      </w:pPr>
      <w:r w:rsidRPr="00CD5427">
        <w:t>RESOLUTION</w:t>
      </w:r>
      <w:r w:rsidRPr="00CD5427">
        <w:rPr>
          <w:rStyle w:val="Artdef"/>
        </w:rPr>
        <w:t xml:space="preserve"> </w:t>
      </w:r>
      <w:r w:rsidRPr="00CD5427">
        <w:t>COM4/5 (WRC-15)</w:t>
      </w:r>
    </w:p>
    <w:p w:rsidR="00417494" w:rsidRPr="00403442" w:rsidRDefault="00417494" w:rsidP="00417494">
      <w:pPr>
        <w:pStyle w:val="Restitle"/>
        <w:rPr>
          <w:lang w:eastAsia="zh-CN"/>
        </w:rPr>
      </w:pPr>
      <w:bookmarkStart w:id="23" w:name="_Toc398743024"/>
      <w:r w:rsidRPr="00403442">
        <w:rPr>
          <w:lang w:eastAsia="zh-CN"/>
        </w:rPr>
        <w:t xml:space="preserve">Regulatory provisions related to earth stations on board unmanned aircraft which operate with geostationary-satellite networks in the fixed-satellite </w:t>
      </w:r>
      <w:r w:rsidRPr="00403442">
        <w:rPr>
          <w:lang w:eastAsia="zh-CN"/>
        </w:rPr>
        <w:br/>
        <w:t xml:space="preserve">service in certain frequency bands not subject to a Plan of Appendices 30, </w:t>
      </w:r>
      <w:r w:rsidRPr="00403442">
        <w:rPr>
          <w:lang w:eastAsia="zh-CN"/>
        </w:rPr>
        <w:br/>
        <w:t xml:space="preserve">30A and 30B for the control and non-payload communications of </w:t>
      </w:r>
      <w:r w:rsidRPr="00403442">
        <w:rPr>
          <w:lang w:eastAsia="zh-CN"/>
        </w:rPr>
        <w:br/>
        <w:t>unmanned aircraft systems in non-segregated airspaces</w:t>
      </w:r>
      <w:r w:rsidRPr="00403442">
        <w:rPr>
          <w:rStyle w:val="FootnoteReference"/>
          <w:lang w:eastAsia="zh-CN"/>
        </w:rPr>
        <w:footnoteReference w:customMarkFollows="1" w:id="6"/>
        <w:t>*</w:t>
      </w:r>
    </w:p>
    <w:p w:rsidR="00417494" w:rsidRPr="001667F7" w:rsidRDefault="00417494" w:rsidP="00417494">
      <w:pPr>
        <w:pStyle w:val="Normalaftertitle"/>
        <w:keepNext/>
        <w:rPr>
          <w:sz w:val="22"/>
          <w:szCs w:val="22"/>
          <w:lang w:eastAsia="zh-CN"/>
        </w:rPr>
      </w:pPr>
      <w:r w:rsidRPr="001667F7">
        <w:rPr>
          <w:sz w:val="22"/>
          <w:szCs w:val="22"/>
          <w:lang w:eastAsia="zh-CN"/>
        </w:rPr>
        <w:t>The World Radiocommunication Conference (Geneva, 2015),</w:t>
      </w:r>
    </w:p>
    <w:p w:rsidR="00417494" w:rsidRPr="001667F7" w:rsidRDefault="00417494" w:rsidP="00417494">
      <w:pPr>
        <w:pStyle w:val="Call"/>
        <w:rPr>
          <w:sz w:val="22"/>
          <w:szCs w:val="22"/>
        </w:rPr>
      </w:pPr>
      <w:r w:rsidRPr="001667F7">
        <w:rPr>
          <w:sz w:val="22"/>
          <w:szCs w:val="22"/>
        </w:rPr>
        <w:t>considering</w:t>
      </w:r>
    </w:p>
    <w:p w:rsidR="00417494" w:rsidRPr="001667F7" w:rsidRDefault="00417494" w:rsidP="007229D8">
      <w:pPr>
        <w:spacing w:before="120" w:after="120"/>
        <w:rPr>
          <w:szCs w:val="22"/>
        </w:rPr>
      </w:pPr>
      <w:r w:rsidRPr="001667F7">
        <w:rPr>
          <w:i/>
          <w:iCs/>
          <w:szCs w:val="22"/>
        </w:rPr>
        <w:t>a)</w:t>
      </w:r>
      <w:r w:rsidRPr="001667F7">
        <w:rPr>
          <w:szCs w:val="22"/>
        </w:rPr>
        <w:tab/>
        <w:t>that the operation of unmanned aircraft systems (UAS) requires reliable control and non-payload communication (CNPC) links, in particular to relay air traffic control communications and for the remote pilot to control the flight;</w:t>
      </w:r>
    </w:p>
    <w:p w:rsidR="00417494" w:rsidRPr="001667F7" w:rsidRDefault="00417494" w:rsidP="007229D8">
      <w:pPr>
        <w:spacing w:before="120" w:after="120"/>
        <w:rPr>
          <w:szCs w:val="22"/>
        </w:rPr>
      </w:pPr>
      <w:r w:rsidRPr="001667F7">
        <w:rPr>
          <w:i/>
          <w:iCs/>
          <w:szCs w:val="22"/>
        </w:rPr>
        <w:t>b)</w:t>
      </w:r>
      <w:r w:rsidRPr="001667F7">
        <w:rPr>
          <w:szCs w:val="22"/>
        </w:rPr>
        <w:tab/>
        <w:t>that satellite networks may be used to provide CNPC links of UAS beyond the line-of-sight, as shown in Annex 1</w:t>
      </w:r>
      <w:r w:rsidRPr="001667F7">
        <w:rPr>
          <w:szCs w:val="22"/>
          <w:lang w:eastAsia="zh-CN"/>
        </w:rPr>
        <w:t>;</w:t>
      </w:r>
    </w:p>
    <w:p w:rsidR="00417494" w:rsidRPr="001667F7" w:rsidRDefault="00417494" w:rsidP="007229D8">
      <w:pPr>
        <w:spacing w:before="120" w:after="120"/>
        <w:rPr>
          <w:szCs w:val="22"/>
        </w:rPr>
      </w:pPr>
      <w:r w:rsidRPr="001667F7">
        <w:rPr>
          <w:i/>
          <w:iCs/>
          <w:szCs w:val="22"/>
        </w:rPr>
        <w:t>c)</w:t>
      </w:r>
      <w:r w:rsidRPr="001667F7">
        <w:rPr>
          <w:szCs w:val="22"/>
        </w:rPr>
        <w:tab/>
        <w:t>that CNPC links between space stations and stations on board unmanned aircraft (UA) are proposed to be operated under this resolution in the primary fixed-satellite service (FSS) in frequency bands shared with other primary services, including terrestrial services, however that would not preclude the use of other available allocations to accommodate this application,</w:t>
      </w:r>
    </w:p>
    <w:p w:rsidR="00417494" w:rsidRPr="001667F7" w:rsidRDefault="00417494" w:rsidP="00417494">
      <w:pPr>
        <w:pStyle w:val="Call"/>
        <w:rPr>
          <w:sz w:val="22"/>
          <w:szCs w:val="22"/>
        </w:rPr>
      </w:pPr>
      <w:r w:rsidRPr="001667F7">
        <w:rPr>
          <w:sz w:val="22"/>
          <w:szCs w:val="22"/>
        </w:rPr>
        <w:t>considering further</w:t>
      </w:r>
    </w:p>
    <w:p w:rsidR="00417494" w:rsidRPr="001667F7" w:rsidRDefault="00417494" w:rsidP="007229D8">
      <w:pPr>
        <w:spacing w:before="120" w:after="120"/>
        <w:rPr>
          <w:szCs w:val="22"/>
        </w:rPr>
      </w:pPr>
      <w:r w:rsidRPr="001667F7">
        <w:rPr>
          <w:i/>
          <w:iCs/>
          <w:szCs w:val="22"/>
        </w:rPr>
        <w:t>a)</w:t>
      </w:r>
      <w:r w:rsidRPr="001667F7">
        <w:rPr>
          <w:szCs w:val="22"/>
        </w:rPr>
        <w:tab/>
        <w:t>that UAS CNPC links relate to the safe operation of UAS and have to comply with certain technical, operational and regulatory requirements,</w:t>
      </w:r>
    </w:p>
    <w:p w:rsidR="00417494" w:rsidRPr="001667F7" w:rsidRDefault="00417494" w:rsidP="00417494">
      <w:pPr>
        <w:pStyle w:val="Call"/>
        <w:rPr>
          <w:sz w:val="22"/>
          <w:szCs w:val="22"/>
        </w:rPr>
      </w:pPr>
      <w:r w:rsidRPr="001667F7">
        <w:rPr>
          <w:sz w:val="22"/>
          <w:szCs w:val="22"/>
        </w:rPr>
        <w:t>noting</w:t>
      </w:r>
    </w:p>
    <w:p w:rsidR="00417494" w:rsidRPr="001667F7" w:rsidRDefault="00417494" w:rsidP="007229D8">
      <w:pPr>
        <w:spacing w:before="120" w:after="120"/>
        <w:rPr>
          <w:szCs w:val="22"/>
        </w:rPr>
      </w:pPr>
      <w:r w:rsidRPr="001667F7">
        <w:rPr>
          <w:i/>
          <w:szCs w:val="22"/>
        </w:rPr>
        <w:t>a)</w:t>
      </w:r>
      <w:r w:rsidRPr="001667F7">
        <w:rPr>
          <w:szCs w:val="22"/>
        </w:rPr>
        <w:tab/>
        <w:t>that this conference has adopted Resolution </w:t>
      </w:r>
      <w:r w:rsidRPr="001667F7">
        <w:rPr>
          <w:b/>
          <w:szCs w:val="22"/>
        </w:rPr>
        <w:t>COM5/2</w:t>
      </w:r>
      <w:r w:rsidRPr="001667F7">
        <w:rPr>
          <w:szCs w:val="22"/>
        </w:rPr>
        <w:t xml:space="preserve"> on the use of earth stations in motion communicating with geostationary FSS space stations in the frequency bands 19.7-20.2 GHz and 29.5-30.0 GHz;</w:t>
      </w:r>
    </w:p>
    <w:p w:rsidR="00417494" w:rsidRPr="001667F7" w:rsidRDefault="00417494" w:rsidP="007229D8">
      <w:pPr>
        <w:spacing w:before="120" w:after="120"/>
        <w:rPr>
          <w:i/>
          <w:szCs w:val="22"/>
        </w:rPr>
      </w:pPr>
      <w:r w:rsidRPr="001667F7">
        <w:rPr>
          <w:i/>
          <w:szCs w:val="22"/>
        </w:rPr>
        <w:t>b)</w:t>
      </w:r>
      <w:r w:rsidRPr="001667F7">
        <w:rPr>
          <w:szCs w:val="22"/>
        </w:rPr>
        <w:tab/>
        <w:t>that Report ITU</w:t>
      </w:r>
      <w:r w:rsidRPr="001667F7">
        <w:rPr>
          <w:szCs w:val="22"/>
        </w:rPr>
        <w:noBreakHyphen/>
        <w:t>R M.2171 provides information on characteristics of UAS and spectrum requirements to support their safe operation in non-segregated airspace,</w:t>
      </w:r>
    </w:p>
    <w:p w:rsidR="00417494" w:rsidRPr="001667F7" w:rsidRDefault="00417494" w:rsidP="00417494">
      <w:pPr>
        <w:pStyle w:val="Call"/>
        <w:rPr>
          <w:sz w:val="22"/>
          <w:szCs w:val="22"/>
        </w:rPr>
      </w:pPr>
      <w:r w:rsidRPr="001667F7">
        <w:rPr>
          <w:sz w:val="22"/>
          <w:szCs w:val="22"/>
        </w:rPr>
        <w:t>recognizing</w:t>
      </w:r>
    </w:p>
    <w:p w:rsidR="00417494" w:rsidRPr="001667F7" w:rsidRDefault="00417494" w:rsidP="007229D8">
      <w:pPr>
        <w:spacing w:before="120" w:after="120"/>
        <w:rPr>
          <w:szCs w:val="22"/>
        </w:rPr>
      </w:pPr>
      <w:r w:rsidRPr="001667F7">
        <w:rPr>
          <w:i/>
          <w:iCs/>
          <w:szCs w:val="22"/>
        </w:rPr>
        <w:t>a)</w:t>
      </w:r>
      <w:r w:rsidRPr="001667F7">
        <w:rPr>
          <w:szCs w:val="22"/>
        </w:rPr>
        <w:tab/>
        <w:t>that the UAS CNPC links will operate in accordance with international standards and recommended practices and procedures established in accordance with the Convention on International Civil Aviation;</w:t>
      </w:r>
    </w:p>
    <w:p w:rsidR="00417494" w:rsidRPr="001667F7" w:rsidRDefault="00417494" w:rsidP="007229D8">
      <w:pPr>
        <w:spacing w:before="120" w:after="120"/>
        <w:rPr>
          <w:szCs w:val="22"/>
        </w:rPr>
      </w:pPr>
      <w:r w:rsidRPr="001667F7">
        <w:rPr>
          <w:i/>
          <w:iCs/>
          <w:szCs w:val="22"/>
        </w:rPr>
        <w:t>b)</w:t>
      </w:r>
      <w:r w:rsidRPr="001667F7">
        <w:rPr>
          <w:szCs w:val="22"/>
        </w:rPr>
        <w:tab/>
        <w:t>that, in this resolution, conditions are provided for operations of CNPC links without prejudging whether the International Civil Aviation Organization (ICAO) would be able to develop standards and recommended practices to ensure safe operation of UAS under these conditions,</w:t>
      </w:r>
    </w:p>
    <w:p w:rsidR="00417494" w:rsidRPr="001667F7" w:rsidRDefault="00417494" w:rsidP="00417494">
      <w:pPr>
        <w:pStyle w:val="Call"/>
        <w:rPr>
          <w:sz w:val="22"/>
          <w:szCs w:val="22"/>
        </w:rPr>
      </w:pPr>
      <w:r w:rsidRPr="001667F7">
        <w:rPr>
          <w:sz w:val="22"/>
          <w:szCs w:val="22"/>
        </w:rPr>
        <w:lastRenderedPageBreak/>
        <w:t>resolves</w:t>
      </w:r>
    </w:p>
    <w:p w:rsidR="00417494" w:rsidRPr="001667F7" w:rsidRDefault="00417494" w:rsidP="007229D8">
      <w:pPr>
        <w:spacing w:before="120" w:after="120"/>
        <w:rPr>
          <w:szCs w:val="22"/>
        </w:rPr>
      </w:pPr>
      <w:r w:rsidRPr="001667F7">
        <w:rPr>
          <w:szCs w:val="22"/>
        </w:rPr>
        <w:t>1</w:t>
      </w:r>
      <w:r w:rsidRPr="001667F7">
        <w:rPr>
          <w:szCs w:val="22"/>
        </w:rPr>
        <w:tab/>
        <w:t>that assignments to stations of geostationary FSS satellite networks operating 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may be used for UAS CNPC links in non-segregated airspace</w:t>
      </w:r>
      <w:r w:rsidRPr="001667F7">
        <w:rPr>
          <w:rStyle w:val="FootnoteReference"/>
          <w:szCs w:val="22"/>
        </w:rPr>
        <w:footnoteReference w:customMarkFollows="1" w:id="7"/>
        <w:t>*</w:t>
      </w:r>
      <w:r w:rsidRPr="001667F7">
        <w:rPr>
          <w:szCs w:val="22"/>
        </w:rPr>
        <w:t xml:space="preserve">, provided that the conditions specified in </w:t>
      </w:r>
      <w:r w:rsidRPr="001667F7">
        <w:rPr>
          <w:i/>
          <w:szCs w:val="22"/>
        </w:rPr>
        <w:t xml:space="preserve">resolves </w:t>
      </w:r>
      <w:r w:rsidRPr="001667F7">
        <w:rPr>
          <w:szCs w:val="22"/>
        </w:rPr>
        <w:t>below are met;</w:t>
      </w:r>
    </w:p>
    <w:p w:rsidR="00417494" w:rsidRPr="001667F7" w:rsidRDefault="00417494" w:rsidP="007229D8">
      <w:pPr>
        <w:spacing w:before="120" w:after="120"/>
        <w:rPr>
          <w:szCs w:val="22"/>
        </w:rPr>
      </w:pPr>
      <w:r w:rsidRPr="001667F7">
        <w:rPr>
          <w:szCs w:val="22"/>
        </w:rPr>
        <w:t>2</w:t>
      </w:r>
      <w:r w:rsidRPr="001667F7">
        <w:rPr>
          <w:szCs w:val="22"/>
        </w:rPr>
        <w:tab/>
        <w:t xml:space="preserve">that earth stations in motion on board UA may communicate with the space station of a geostationary FSS satellite network operating in the frequency bands listed in </w:t>
      </w:r>
      <w:r w:rsidRPr="001667F7">
        <w:rPr>
          <w:i/>
          <w:szCs w:val="22"/>
        </w:rPr>
        <w:t>resolves</w:t>
      </w:r>
      <w:r w:rsidRPr="001667F7">
        <w:rPr>
          <w:szCs w:val="22"/>
        </w:rPr>
        <w:t xml:space="preserve"> 1 above, provided that the class of the earth station in motion on board UA is matched with the class of the space station and that other conditions of this resolution are met (see also </w:t>
      </w:r>
      <w:r w:rsidRPr="001667F7">
        <w:rPr>
          <w:i/>
          <w:szCs w:val="22"/>
        </w:rPr>
        <w:t>instructs the Director of the Radiocommunication Bureau</w:t>
      </w:r>
      <w:r w:rsidRPr="001667F7">
        <w:rPr>
          <w:szCs w:val="22"/>
        </w:rPr>
        <w:t> 3</w:t>
      </w:r>
      <w:r w:rsidRPr="001667F7">
        <w:rPr>
          <w:i/>
          <w:szCs w:val="22"/>
        </w:rPr>
        <w:t xml:space="preserve"> </w:t>
      </w:r>
      <w:r w:rsidRPr="001667F7">
        <w:rPr>
          <w:szCs w:val="22"/>
        </w:rPr>
        <w:t>below);</w:t>
      </w:r>
    </w:p>
    <w:p w:rsidR="00417494" w:rsidRPr="001667F7" w:rsidRDefault="00417494" w:rsidP="007229D8">
      <w:pPr>
        <w:spacing w:before="120" w:after="120"/>
        <w:rPr>
          <w:szCs w:val="22"/>
        </w:rPr>
      </w:pPr>
      <w:r w:rsidRPr="001667F7">
        <w:rPr>
          <w:szCs w:val="22"/>
        </w:rPr>
        <w:t>3</w:t>
      </w:r>
      <w:r w:rsidRPr="001667F7">
        <w:rPr>
          <w:szCs w:val="22"/>
        </w:rPr>
        <w:tab/>
        <w:t xml:space="preserve">that the frequency bands specified in </w:t>
      </w:r>
      <w:r w:rsidRPr="001667F7">
        <w:rPr>
          <w:i/>
          <w:szCs w:val="22"/>
        </w:rPr>
        <w:t>resolves </w:t>
      </w:r>
      <w:r w:rsidRPr="001667F7">
        <w:rPr>
          <w:iCs/>
          <w:szCs w:val="22"/>
        </w:rPr>
        <w:t>1</w:t>
      </w:r>
      <w:r w:rsidRPr="001667F7">
        <w:rPr>
          <w:szCs w:val="22"/>
        </w:rPr>
        <w:t xml:space="preserve"> shall not be used for the UAS CNPC links before the adoption of the relevant international aeronautical standards and recommended practices (SARPs) consistent with Article 37 of the Convention on International Civil Aviation, taking into account </w:t>
      </w:r>
      <w:r w:rsidRPr="001667F7">
        <w:rPr>
          <w:i/>
          <w:szCs w:val="22"/>
        </w:rPr>
        <w:t>instructs the Director of the Radiocommunication Bureau </w:t>
      </w:r>
      <w:r w:rsidRPr="001667F7">
        <w:rPr>
          <w:szCs w:val="22"/>
        </w:rPr>
        <w:t>4;</w:t>
      </w:r>
    </w:p>
    <w:p w:rsidR="00417494" w:rsidRPr="001667F7" w:rsidRDefault="00417494" w:rsidP="007229D8">
      <w:pPr>
        <w:spacing w:before="120" w:after="120"/>
        <w:rPr>
          <w:szCs w:val="22"/>
        </w:rPr>
      </w:pPr>
      <w:r w:rsidRPr="001667F7">
        <w:rPr>
          <w:szCs w:val="22"/>
        </w:rPr>
        <w:t>4</w:t>
      </w:r>
      <w:r w:rsidRPr="001667F7">
        <w:rPr>
          <w:szCs w:val="22"/>
        </w:rPr>
        <w:tab/>
        <w:t>that administrations responsible for an FSS network providing UA CNPC links shall apply the relevant provisions of Articles </w:t>
      </w:r>
      <w:r w:rsidRPr="001667F7">
        <w:rPr>
          <w:b/>
          <w:bCs/>
          <w:szCs w:val="22"/>
        </w:rPr>
        <w:t>9</w:t>
      </w:r>
      <w:r w:rsidRPr="001667F7">
        <w:rPr>
          <w:szCs w:val="22"/>
        </w:rPr>
        <w:t xml:space="preserve"> (necessary provisions need to be identified or developed) and </w:t>
      </w:r>
      <w:r w:rsidRPr="001667F7">
        <w:rPr>
          <w:b/>
          <w:bCs/>
          <w:szCs w:val="22"/>
        </w:rPr>
        <w:t>11</w:t>
      </w:r>
      <w:r w:rsidRPr="001667F7">
        <w:rPr>
          <w:szCs w:val="22"/>
        </w:rPr>
        <w:t xml:space="preserve"> for the relevant assignments, including, as appropriate, assignments to the corresponding space station, specific and typical earth station and earth station in motion on board UA, including the request for publication in BR IFIC of items referred to in </w:t>
      </w:r>
      <w:r w:rsidRPr="001667F7">
        <w:rPr>
          <w:i/>
          <w:szCs w:val="22"/>
        </w:rPr>
        <w:t>resolves</w:t>
      </w:r>
      <w:r w:rsidRPr="001667F7">
        <w:rPr>
          <w:szCs w:val="22"/>
        </w:rPr>
        <w:t> 2 and the course of actions identified in that</w:t>
      </w:r>
      <w:r w:rsidRPr="001667F7">
        <w:rPr>
          <w:i/>
          <w:szCs w:val="22"/>
        </w:rPr>
        <w:t xml:space="preserve"> resolves</w:t>
      </w:r>
      <w:r w:rsidRPr="001667F7">
        <w:rPr>
          <w:szCs w:val="22"/>
        </w:rPr>
        <w:t xml:space="preserve"> in order to obtain international rights and recognition as specified in Article </w:t>
      </w:r>
      <w:r w:rsidRPr="001667F7">
        <w:rPr>
          <w:b/>
          <w:bCs/>
          <w:szCs w:val="22"/>
        </w:rPr>
        <w:t>8</w:t>
      </w:r>
      <w:r w:rsidRPr="001667F7">
        <w:rPr>
          <w:szCs w:val="22"/>
        </w:rPr>
        <w:t>;</w:t>
      </w:r>
    </w:p>
    <w:p w:rsidR="00417494" w:rsidRPr="001667F7" w:rsidRDefault="00417494" w:rsidP="007229D8">
      <w:pPr>
        <w:spacing w:before="120" w:after="120"/>
        <w:rPr>
          <w:szCs w:val="22"/>
        </w:rPr>
      </w:pPr>
      <w:r w:rsidRPr="001667F7">
        <w:rPr>
          <w:szCs w:val="22"/>
        </w:rPr>
        <w:t>5</w:t>
      </w:r>
      <w:r w:rsidRPr="001667F7">
        <w:rPr>
          <w:szCs w:val="22"/>
        </w:rPr>
        <w:tab/>
        <w:t>that earth stations of UAS CNPC links shall operate within the notified and recorded technical parameters of the associated satellite network, including specific or typical earth stations of the geostationary FSS satellite network(s) as published by the Radiocommunication Bureau;</w:t>
      </w:r>
    </w:p>
    <w:p w:rsidR="00417494" w:rsidRPr="001667F7" w:rsidRDefault="00417494" w:rsidP="007229D8">
      <w:pPr>
        <w:spacing w:before="120" w:after="120"/>
        <w:rPr>
          <w:szCs w:val="22"/>
        </w:rPr>
      </w:pPr>
      <w:r w:rsidRPr="001667F7">
        <w:rPr>
          <w:szCs w:val="22"/>
        </w:rPr>
        <w:t>6</w:t>
      </w:r>
      <w:r w:rsidRPr="001667F7">
        <w:rPr>
          <w:szCs w:val="22"/>
        </w:rPr>
        <w:tab/>
        <w:t xml:space="preserve">that earth stations of UAS CNPC links shall not cause more interference to, or claim more protection from, other satellite networks and systems than specific or typical earth stations as indicated in </w:t>
      </w:r>
      <w:r w:rsidRPr="001667F7">
        <w:rPr>
          <w:i/>
          <w:szCs w:val="22"/>
        </w:rPr>
        <w:t>resolves</w:t>
      </w:r>
      <w:r w:rsidRPr="001667F7">
        <w:rPr>
          <w:szCs w:val="22"/>
        </w:rPr>
        <w:t> 5 as published by the Bureau;</w:t>
      </w:r>
    </w:p>
    <w:p w:rsidR="00417494" w:rsidRPr="001667F7" w:rsidRDefault="00417494" w:rsidP="007229D8">
      <w:pPr>
        <w:spacing w:before="120" w:after="120"/>
        <w:rPr>
          <w:szCs w:val="22"/>
        </w:rPr>
      </w:pPr>
      <w:r w:rsidRPr="001667F7">
        <w:rPr>
          <w:szCs w:val="22"/>
        </w:rPr>
        <w:t>7</w:t>
      </w:r>
      <w:r w:rsidRPr="001667F7">
        <w:rPr>
          <w:szCs w:val="22"/>
        </w:rPr>
        <w:tab/>
        <w:t xml:space="preserve">that, in order to apply </w:t>
      </w:r>
      <w:r w:rsidRPr="001667F7">
        <w:rPr>
          <w:i/>
          <w:iCs/>
          <w:szCs w:val="22"/>
        </w:rPr>
        <w:t>resolves</w:t>
      </w:r>
      <w:r w:rsidRPr="001667F7">
        <w:rPr>
          <w:szCs w:val="22"/>
        </w:rPr>
        <w: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t>
      </w:r>
    </w:p>
    <w:p w:rsidR="00417494" w:rsidRPr="001667F7" w:rsidRDefault="00417494" w:rsidP="007229D8">
      <w:pPr>
        <w:spacing w:before="120" w:after="120"/>
        <w:rPr>
          <w:szCs w:val="22"/>
        </w:rPr>
      </w:pPr>
      <w:r w:rsidRPr="001667F7">
        <w:rPr>
          <w:szCs w:val="22"/>
        </w:rPr>
        <w:t>8</w:t>
      </w:r>
      <w:r w:rsidRPr="001667F7">
        <w:rPr>
          <w:szCs w:val="22"/>
        </w:rPr>
        <w:tab/>
        <w:t xml:space="preserve">that earth stations of UAS CNPC links of a particular FSS network shall not cause more interference to, or claim more protection from, stations of terrestrial services than specific or typical earth stations of that FSS network as indicated in </w:t>
      </w:r>
      <w:r w:rsidRPr="001667F7">
        <w:rPr>
          <w:i/>
          <w:szCs w:val="22"/>
        </w:rPr>
        <w:t>resolves</w:t>
      </w:r>
      <w:r w:rsidRPr="001667F7">
        <w:rPr>
          <w:szCs w:val="22"/>
        </w:rPr>
        <w:t> 5 that have been previously coordinated and/or notified under relevant provisions of Articles </w:t>
      </w:r>
      <w:r w:rsidRPr="001667F7">
        <w:rPr>
          <w:b/>
          <w:bCs/>
          <w:szCs w:val="22"/>
        </w:rPr>
        <w:t>9</w:t>
      </w:r>
      <w:r w:rsidRPr="001667F7">
        <w:rPr>
          <w:szCs w:val="22"/>
        </w:rPr>
        <w:t xml:space="preserve"> and </w:t>
      </w:r>
      <w:r w:rsidRPr="001667F7">
        <w:rPr>
          <w:b/>
          <w:bCs/>
          <w:szCs w:val="22"/>
        </w:rPr>
        <w:t>11</w:t>
      </w:r>
      <w:r w:rsidRPr="001667F7">
        <w:rPr>
          <w:szCs w:val="22"/>
        </w:rPr>
        <w:t>;</w:t>
      </w:r>
    </w:p>
    <w:p w:rsidR="00417494" w:rsidRPr="001667F7" w:rsidRDefault="00417494" w:rsidP="007229D8">
      <w:pPr>
        <w:spacing w:before="120" w:after="120"/>
        <w:rPr>
          <w:szCs w:val="22"/>
        </w:rPr>
      </w:pPr>
      <w:r w:rsidRPr="001667F7">
        <w:rPr>
          <w:szCs w:val="22"/>
        </w:rPr>
        <w:t>9</w:t>
      </w:r>
      <w:r w:rsidRPr="001667F7">
        <w:rPr>
          <w:szCs w:val="22"/>
        </w:rPr>
        <w:tab/>
        <w:t>that the use of assignments of a FSS satellite network for UAS CNPC links shall not constrain other FSS satellite networks during the application of the provisions of Articles </w:t>
      </w:r>
      <w:r w:rsidRPr="001667F7">
        <w:rPr>
          <w:b/>
          <w:bCs/>
          <w:szCs w:val="22"/>
        </w:rPr>
        <w:t>9</w:t>
      </w:r>
      <w:r w:rsidRPr="001667F7">
        <w:rPr>
          <w:szCs w:val="22"/>
        </w:rPr>
        <w:t xml:space="preserve"> and </w:t>
      </w:r>
      <w:r w:rsidRPr="001667F7">
        <w:rPr>
          <w:b/>
          <w:bCs/>
          <w:szCs w:val="22"/>
        </w:rPr>
        <w:t>11</w:t>
      </w:r>
      <w:r w:rsidRPr="001667F7">
        <w:rPr>
          <w:szCs w:val="22"/>
        </w:rPr>
        <w:t>;</w:t>
      </w:r>
    </w:p>
    <w:p w:rsidR="00417494" w:rsidRPr="001667F7" w:rsidRDefault="00417494" w:rsidP="007229D8">
      <w:pPr>
        <w:spacing w:before="120" w:after="120"/>
        <w:rPr>
          <w:szCs w:val="22"/>
        </w:rPr>
      </w:pPr>
      <w:r w:rsidRPr="001667F7">
        <w:rPr>
          <w:szCs w:val="22"/>
        </w:rPr>
        <w:t>10</w:t>
      </w:r>
      <w:r w:rsidRPr="001667F7">
        <w:rPr>
          <w:szCs w:val="22"/>
        </w:rPr>
        <w:tab/>
        <w:t>that the introduction of UAS CNPC links shall not result in additional coordination constraints on terrestrial services under Articles</w:t>
      </w:r>
      <w:r w:rsidRPr="001667F7">
        <w:rPr>
          <w:b/>
          <w:bCs/>
          <w:szCs w:val="22"/>
        </w:rPr>
        <w:t> 9</w:t>
      </w:r>
      <w:r w:rsidRPr="001667F7">
        <w:rPr>
          <w:szCs w:val="22"/>
        </w:rPr>
        <w:t xml:space="preserve"> and </w:t>
      </w:r>
      <w:r w:rsidRPr="001667F7">
        <w:rPr>
          <w:b/>
          <w:bCs/>
          <w:szCs w:val="22"/>
        </w:rPr>
        <w:t>11</w:t>
      </w:r>
      <w:r w:rsidRPr="001667F7">
        <w:rPr>
          <w:szCs w:val="22"/>
        </w:rPr>
        <w:t>;</w:t>
      </w:r>
    </w:p>
    <w:p w:rsidR="00417494" w:rsidRPr="001667F7" w:rsidRDefault="00417494" w:rsidP="007229D8">
      <w:pPr>
        <w:spacing w:before="120" w:after="120"/>
        <w:rPr>
          <w:szCs w:val="22"/>
        </w:rPr>
      </w:pPr>
      <w:r w:rsidRPr="001667F7">
        <w:rPr>
          <w:szCs w:val="22"/>
        </w:rPr>
        <w:t>11</w:t>
      </w:r>
      <w:r w:rsidRPr="001667F7">
        <w:rPr>
          <w:szCs w:val="22"/>
        </w:rPr>
        <w:tab/>
        <w:t>that earth stations on board UA shall be designed and operated so as to be able to accept the interference caused by terrestrial services operating in conformity with the Radio Regulations</w:t>
      </w:r>
      <w:r w:rsidRPr="001667F7">
        <w:rPr>
          <w:i/>
          <w:szCs w:val="22"/>
        </w:rPr>
        <w:t xml:space="preserve"> </w:t>
      </w:r>
      <w:r w:rsidRPr="001667F7">
        <w:rPr>
          <w:szCs w:val="22"/>
        </w:rPr>
        <w:t xml:space="preserve">in the frequency bands listed in </w:t>
      </w:r>
      <w:r w:rsidRPr="001667F7">
        <w:rPr>
          <w:i/>
          <w:szCs w:val="22"/>
        </w:rPr>
        <w:t>resolves </w:t>
      </w:r>
      <w:r w:rsidRPr="001667F7">
        <w:rPr>
          <w:szCs w:val="22"/>
        </w:rPr>
        <w:t>1</w:t>
      </w:r>
      <w:r w:rsidRPr="001667F7">
        <w:rPr>
          <w:i/>
          <w:szCs w:val="22"/>
        </w:rPr>
        <w:t xml:space="preserve"> </w:t>
      </w:r>
      <w:r w:rsidRPr="001667F7">
        <w:rPr>
          <w:szCs w:val="22"/>
        </w:rPr>
        <w:t>without complaints under Article </w:t>
      </w:r>
      <w:r w:rsidRPr="001667F7">
        <w:rPr>
          <w:b/>
          <w:bCs/>
          <w:szCs w:val="22"/>
        </w:rPr>
        <w:t>15</w:t>
      </w:r>
      <w:r w:rsidRPr="001667F7">
        <w:rPr>
          <w:szCs w:val="22"/>
        </w:rPr>
        <w:t>;</w:t>
      </w:r>
    </w:p>
    <w:p w:rsidR="00417494" w:rsidRPr="001667F7" w:rsidRDefault="00417494" w:rsidP="007229D8">
      <w:pPr>
        <w:spacing w:before="120" w:after="120"/>
        <w:rPr>
          <w:szCs w:val="22"/>
        </w:rPr>
      </w:pPr>
      <w:r w:rsidRPr="001667F7">
        <w:rPr>
          <w:szCs w:val="22"/>
        </w:rPr>
        <w:lastRenderedPageBreak/>
        <w:t>12</w:t>
      </w:r>
      <w:r w:rsidRPr="001667F7">
        <w:rPr>
          <w:szCs w:val="22"/>
        </w:rPr>
        <w:tab/>
        <w:t>that earth stations on board UA shall be designed and operated so as to be able to operate with interference caused by other satellite networks resulting from application of Articles </w:t>
      </w:r>
      <w:r w:rsidRPr="001667F7">
        <w:rPr>
          <w:b/>
          <w:bCs/>
          <w:szCs w:val="22"/>
        </w:rPr>
        <w:t>9</w:t>
      </w:r>
      <w:r w:rsidRPr="001667F7">
        <w:rPr>
          <w:szCs w:val="22"/>
        </w:rPr>
        <w:t xml:space="preserve"> and </w:t>
      </w:r>
      <w:r w:rsidRPr="001667F7">
        <w:rPr>
          <w:b/>
          <w:bCs/>
          <w:szCs w:val="22"/>
        </w:rPr>
        <w:t>11</w:t>
      </w:r>
      <w:r w:rsidRPr="001667F7">
        <w:rPr>
          <w:szCs w:val="22"/>
        </w:rPr>
        <w:t>;</w:t>
      </w:r>
    </w:p>
    <w:p w:rsidR="00417494" w:rsidRPr="001667F7" w:rsidRDefault="00417494" w:rsidP="007229D8">
      <w:pPr>
        <w:keepNext/>
        <w:spacing w:before="120" w:after="120"/>
        <w:rPr>
          <w:szCs w:val="22"/>
        </w:rPr>
      </w:pPr>
      <w:r w:rsidRPr="001667F7">
        <w:rPr>
          <w:szCs w:val="22"/>
        </w:rPr>
        <w:t>13</w:t>
      </w:r>
      <w:r w:rsidRPr="001667F7">
        <w:rPr>
          <w:szCs w:val="22"/>
        </w:rPr>
        <w:tab/>
      </w:r>
      <w:r w:rsidRPr="001667F7">
        <w:rPr>
          <w:rFonts w:eastAsia="Calibri"/>
          <w:szCs w:val="22"/>
        </w:rPr>
        <w:t xml:space="preserve">that, in order to ensure safety-of-flight operation of UAS, administrations responsible for </w:t>
      </w:r>
      <w:r w:rsidRPr="001667F7">
        <w:rPr>
          <w:szCs w:val="22"/>
        </w:rPr>
        <w:t>operating UAS</w:t>
      </w:r>
      <w:r w:rsidRPr="001667F7">
        <w:rPr>
          <w:rFonts w:eastAsia="Calibri"/>
          <w:szCs w:val="22"/>
        </w:rPr>
        <w:t xml:space="preserve"> </w:t>
      </w:r>
      <w:r w:rsidRPr="001667F7">
        <w:rPr>
          <w:szCs w:val="22"/>
        </w:rPr>
        <w:t xml:space="preserve">CNPC links </w:t>
      </w:r>
      <w:r w:rsidRPr="001667F7">
        <w:rPr>
          <w:rFonts w:eastAsia="Calibri"/>
          <w:szCs w:val="22"/>
        </w:rPr>
        <w:t>shall:</w:t>
      </w:r>
    </w:p>
    <w:p w:rsidR="00417494" w:rsidRPr="001667F7" w:rsidRDefault="00417494" w:rsidP="00103F08">
      <w:pPr>
        <w:pStyle w:val="enumlev1"/>
        <w:jc w:val="both"/>
        <w:rPr>
          <w:sz w:val="22"/>
          <w:szCs w:val="22"/>
        </w:rPr>
      </w:pPr>
      <w:r w:rsidRPr="001667F7">
        <w:rPr>
          <w:sz w:val="22"/>
          <w:szCs w:val="22"/>
        </w:rPr>
        <w:t>–</w:t>
      </w:r>
      <w:r w:rsidRPr="001667F7">
        <w:rPr>
          <w:sz w:val="22"/>
          <w:szCs w:val="22"/>
        </w:rPr>
        <w:tab/>
        <w:t>ensure that the use of UAS CNPC links be in accordance with the international standards and recommended practices (SARPs) consistent with Article 37 of the Convention on International Civil Aviation;</w:t>
      </w:r>
    </w:p>
    <w:p w:rsidR="00417494" w:rsidRPr="001667F7" w:rsidRDefault="00417494" w:rsidP="00103F08">
      <w:pPr>
        <w:pStyle w:val="enumlev1"/>
        <w:jc w:val="both"/>
        <w:rPr>
          <w:sz w:val="22"/>
          <w:szCs w:val="22"/>
        </w:rPr>
      </w:pPr>
      <w:r w:rsidRPr="001667F7">
        <w:rPr>
          <w:sz w:val="22"/>
          <w:szCs w:val="22"/>
          <w:lang w:eastAsia="zh-CN"/>
        </w:rPr>
        <w:t>–</w:t>
      </w:r>
      <w:r w:rsidRPr="001667F7">
        <w:rPr>
          <w:sz w:val="22"/>
          <w:szCs w:val="22"/>
          <w:lang w:eastAsia="zh-CN"/>
        </w:rPr>
        <w:tab/>
        <w:t>take the required measures, consistent with No. </w:t>
      </w:r>
      <w:r w:rsidRPr="001667F7">
        <w:rPr>
          <w:b/>
          <w:bCs/>
          <w:sz w:val="22"/>
          <w:szCs w:val="22"/>
          <w:lang w:eastAsia="zh-CN"/>
        </w:rPr>
        <w:t>4.10</w:t>
      </w:r>
      <w:r w:rsidRPr="001667F7">
        <w:rPr>
          <w:sz w:val="22"/>
          <w:szCs w:val="22"/>
          <w:lang w:eastAsia="zh-CN"/>
        </w:rPr>
        <w:t>, to ensure freedom from harmful interference to earth stations on board UA operated in accordance with this resolution</w:t>
      </w:r>
      <w:r w:rsidRPr="001667F7">
        <w:rPr>
          <w:sz w:val="22"/>
          <w:szCs w:val="22"/>
        </w:rPr>
        <w:t>;</w:t>
      </w:r>
    </w:p>
    <w:p w:rsidR="00417494" w:rsidRPr="001667F7" w:rsidRDefault="00417494" w:rsidP="00103F08">
      <w:pPr>
        <w:pStyle w:val="enumlev1"/>
        <w:jc w:val="both"/>
        <w:rPr>
          <w:sz w:val="22"/>
          <w:szCs w:val="22"/>
        </w:rPr>
      </w:pPr>
      <w:r w:rsidRPr="001667F7">
        <w:rPr>
          <w:sz w:val="22"/>
          <w:szCs w:val="22"/>
          <w:lang w:eastAsia="zh-CN"/>
        </w:rPr>
        <w:t>–</w:t>
      </w:r>
      <w:r w:rsidRPr="001667F7">
        <w:rPr>
          <w:sz w:val="22"/>
          <w:szCs w:val="22"/>
          <w:lang w:eastAsia="zh-CN"/>
        </w:rPr>
        <w:tab/>
        <w:t xml:space="preserve">act immediately when their attention is drawn to any such harmful interference, as </w:t>
      </w:r>
      <w:r w:rsidRPr="001667F7">
        <w:rPr>
          <w:sz w:val="22"/>
          <w:szCs w:val="22"/>
        </w:rPr>
        <w:t xml:space="preserve">freedom from harmful interference to UAS CNPC links is imperative to ensure their safe operation, taking into account </w:t>
      </w:r>
      <w:r w:rsidRPr="001667F7">
        <w:rPr>
          <w:i/>
          <w:iCs/>
          <w:sz w:val="22"/>
          <w:szCs w:val="22"/>
        </w:rPr>
        <w:t>resolves</w:t>
      </w:r>
      <w:r w:rsidRPr="001667F7">
        <w:rPr>
          <w:sz w:val="22"/>
          <w:szCs w:val="22"/>
        </w:rPr>
        <w:t> 11;</w:t>
      </w:r>
    </w:p>
    <w:p w:rsidR="00417494" w:rsidRPr="001667F7" w:rsidRDefault="00417494" w:rsidP="00103F08">
      <w:pPr>
        <w:pStyle w:val="enumlev1"/>
        <w:jc w:val="both"/>
        <w:rPr>
          <w:sz w:val="22"/>
          <w:szCs w:val="22"/>
        </w:rPr>
      </w:pPr>
      <w:r w:rsidRPr="001667F7">
        <w:rPr>
          <w:sz w:val="22"/>
          <w:szCs w:val="22"/>
          <w:lang w:eastAsia="zh-CN"/>
        </w:rPr>
        <w:t>–</w:t>
      </w:r>
      <w:r w:rsidRPr="001667F7">
        <w:rPr>
          <w:sz w:val="22"/>
          <w:szCs w:val="22"/>
          <w:lang w:eastAsia="zh-CN"/>
        </w:rPr>
        <w:tab/>
        <w:t xml:space="preserve">use assignments associated with the FSS networks for UAS CNPC links (see Figure 1 in Annex 1), including assignments to space stations, specific or typical earth stations and earth stations on board UA (see </w:t>
      </w:r>
      <w:r w:rsidRPr="001667F7">
        <w:rPr>
          <w:i/>
          <w:sz w:val="22"/>
          <w:szCs w:val="22"/>
          <w:lang w:eastAsia="zh-CN"/>
        </w:rPr>
        <w:t>resolves</w:t>
      </w:r>
      <w:r w:rsidRPr="001667F7">
        <w:rPr>
          <w:sz w:val="22"/>
          <w:szCs w:val="22"/>
          <w:lang w:eastAsia="zh-CN"/>
        </w:rPr>
        <w:t> 2), that have been successfully coordinated under Article </w:t>
      </w:r>
      <w:r w:rsidRPr="001667F7">
        <w:rPr>
          <w:b/>
          <w:bCs/>
          <w:sz w:val="22"/>
          <w:szCs w:val="22"/>
          <w:lang w:eastAsia="zh-CN"/>
        </w:rPr>
        <w:t>9</w:t>
      </w:r>
      <w:r w:rsidRPr="001667F7">
        <w:rPr>
          <w:sz w:val="22"/>
          <w:szCs w:val="22"/>
          <w:lang w:eastAsia="zh-CN"/>
        </w:rPr>
        <w:t xml:space="preserve"> (including provisions identified in </w:t>
      </w:r>
      <w:r w:rsidRPr="001667F7">
        <w:rPr>
          <w:i/>
          <w:sz w:val="22"/>
          <w:szCs w:val="22"/>
          <w:lang w:eastAsia="zh-CN"/>
        </w:rPr>
        <w:t>resolves</w:t>
      </w:r>
      <w:r w:rsidRPr="001667F7">
        <w:rPr>
          <w:sz w:val="22"/>
          <w:szCs w:val="22"/>
          <w:lang w:eastAsia="zh-CN"/>
        </w:rPr>
        <w:t> 4) and recorded in the Master International Frequency Register (MIFR) with a favourable finding under Article </w:t>
      </w:r>
      <w:r w:rsidRPr="001667F7">
        <w:rPr>
          <w:b/>
          <w:bCs/>
          <w:sz w:val="22"/>
          <w:szCs w:val="22"/>
        </w:rPr>
        <w:t>11</w:t>
      </w:r>
      <w:r w:rsidRPr="001667F7">
        <w:rPr>
          <w:sz w:val="22"/>
          <w:szCs w:val="22"/>
          <w:lang w:eastAsia="zh-CN"/>
        </w:rPr>
        <w:t>, including Nos. </w:t>
      </w:r>
      <w:r w:rsidRPr="001667F7">
        <w:rPr>
          <w:b/>
          <w:bCs/>
          <w:sz w:val="22"/>
          <w:szCs w:val="22"/>
          <w:lang w:eastAsia="zh-CN"/>
        </w:rPr>
        <w:t>11.31</w:t>
      </w:r>
      <w:r w:rsidRPr="001667F7">
        <w:rPr>
          <w:sz w:val="22"/>
          <w:szCs w:val="22"/>
          <w:lang w:eastAsia="zh-CN"/>
        </w:rPr>
        <w:t xml:space="preserve">, </w:t>
      </w:r>
      <w:r w:rsidRPr="001667F7">
        <w:rPr>
          <w:b/>
          <w:bCs/>
          <w:sz w:val="22"/>
          <w:szCs w:val="22"/>
          <w:lang w:eastAsia="zh-CN"/>
        </w:rPr>
        <w:t xml:space="preserve">11.32 </w:t>
      </w:r>
      <w:r w:rsidRPr="001667F7">
        <w:rPr>
          <w:sz w:val="22"/>
          <w:szCs w:val="22"/>
          <w:lang w:eastAsia="zh-CN"/>
        </w:rPr>
        <w:t xml:space="preserve">or </w:t>
      </w:r>
      <w:r w:rsidRPr="001667F7">
        <w:rPr>
          <w:b/>
          <w:bCs/>
          <w:sz w:val="22"/>
          <w:szCs w:val="22"/>
          <w:lang w:eastAsia="zh-CN"/>
        </w:rPr>
        <w:t xml:space="preserve">11.32A </w:t>
      </w:r>
      <w:r w:rsidRPr="001667F7">
        <w:rPr>
          <w:sz w:val="22"/>
          <w:szCs w:val="22"/>
          <w:lang w:eastAsia="zh-CN"/>
        </w:rPr>
        <w:t>where applicable, and except those assignments that have not successfully completed coordination procedures under No. </w:t>
      </w:r>
      <w:r w:rsidRPr="001667F7">
        <w:rPr>
          <w:b/>
          <w:bCs/>
          <w:sz w:val="22"/>
          <w:szCs w:val="22"/>
          <w:lang w:eastAsia="zh-CN"/>
        </w:rPr>
        <w:t>11.32</w:t>
      </w:r>
      <w:r w:rsidRPr="001667F7">
        <w:rPr>
          <w:sz w:val="22"/>
          <w:szCs w:val="22"/>
          <w:lang w:eastAsia="zh-CN"/>
        </w:rPr>
        <w:t xml:space="preserve"> by applying Appendix </w:t>
      </w:r>
      <w:r w:rsidRPr="001667F7">
        <w:rPr>
          <w:b/>
          <w:bCs/>
          <w:sz w:val="22"/>
          <w:szCs w:val="22"/>
          <w:lang w:eastAsia="zh-CN"/>
        </w:rPr>
        <w:t>5</w:t>
      </w:r>
      <w:r w:rsidRPr="001667F7">
        <w:rPr>
          <w:sz w:val="22"/>
          <w:szCs w:val="22"/>
          <w:lang w:eastAsia="zh-CN"/>
        </w:rPr>
        <w:t xml:space="preserve"> § 6.d.i</w:t>
      </w:r>
      <w:r w:rsidRPr="001667F7">
        <w:rPr>
          <w:sz w:val="22"/>
          <w:szCs w:val="22"/>
        </w:rPr>
        <w:t>;</w:t>
      </w:r>
    </w:p>
    <w:p w:rsidR="00417494" w:rsidRPr="001667F7" w:rsidRDefault="00417494" w:rsidP="00103F08">
      <w:pPr>
        <w:pStyle w:val="enumlev1"/>
        <w:jc w:val="both"/>
        <w:rPr>
          <w:sz w:val="22"/>
          <w:szCs w:val="22"/>
        </w:rPr>
      </w:pPr>
      <w:r w:rsidRPr="001667F7">
        <w:rPr>
          <w:sz w:val="22"/>
          <w:szCs w:val="22"/>
          <w:lang w:eastAsia="zh-CN"/>
        </w:rPr>
        <w:t>–</w:t>
      </w:r>
      <w:r w:rsidRPr="001667F7">
        <w:rPr>
          <w:sz w:val="22"/>
          <w:szCs w:val="22"/>
          <w:lang w:eastAsia="zh-CN"/>
        </w:rPr>
        <w:tab/>
        <w:t>ensure that real-time interference monitoring, estimation and prediction of interference risks and planning solutions for potential interference scenarios are addressed by FSS operators and UAS operators with guidance from aviation authorities;</w:t>
      </w:r>
    </w:p>
    <w:p w:rsidR="00417494" w:rsidRPr="001667F7" w:rsidRDefault="00417494" w:rsidP="007229D8">
      <w:pPr>
        <w:spacing w:before="120" w:after="120"/>
        <w:rPr>
          <w:szCs w:val="22"/>
        </w:rPr>
      </w:pPr>
      <w:r w:rsidRPr="001667F7">
        <w:rPr>
          <w:bCs/>
          <w:szCs w:val="22"/>
        </w:rPr>
        <w:t>14</w:t>
      </w:r>
      <w:r w:rsidRPr="001667F7">
        <w:rPr>
          <w:bCs/>
          <w:szCs w:val="22"/>
        </w:rPr>
        <w:tab/>
        <w:t xml:space="preserve">that, </w:t>
      </w:r>
      <w:r w:rsidRPr="001667F7">
        <w:rPr>
          <w:szCs w:val="22"/>
        </w:rPr>
        <w:t>unless otherwise agreed between the administrations concerned,</w:t>
      </w:r>
      <w:r w:rsidRPr="001667F7">
        <w:rPr>
          <w:bCs/>
          <w:szCs w:val="22"/>
        </w:rPr>
        <w:t xml:space="preserve"> UA CNPC earth stations shall not cause harmful interference to terrestrial services of other administrations (see also Annex 2); </w:t>
      </w:r>
    </w:p>
    <w:p w:rsidR="00417494" w:rsidRPr="001667F7" w:rsidRDefault="00417494" w:rsidP="007229D8">
      <w:pPr>
        <w:spacing w:before="120" w:after="120"/>
        <w:rPr>
          <w:szCs w:val="22"/>
        </w:rPr>
      </w:pPr>
      <w:r w:rsidRPr="001667F7">
        <w:rPr>
          <w:szCs w:val="22"/>
        </w:rPr>
        <w:t>15</w:t>
      </w:r>
      <w:r w:rsidRPr="001667F7">
        <w:rPr>
          <w:szCs w:val="22"/>
        </w:rPr>
        <w:tab/>
        <w:t xml:space="preserve">that, in order to implement </w:t>
      </w:r>
      <w:r w:rsidRPr="001667F7">
        <w:rPr>
          <w:i/>
          <w:szCs w:val="22"/>
        </w:rPr>
        <w:t>resolves</w:t>
      </w:r>
      <w:r w:rsidRPr="001667F7">
        <w:rPr>
          <w:szCs w:val="22"/>
        </w:rPr>
        <w:t> 14 above, power flux-density hard limits need to be developed for UAS CNPC links; one possible example of such provisional limits to protect the fixed service is provided in Annex 2; subject to agreement between the administrations concerned, that annex may be used for the implementation of this resolution;</w:t>
      </w:r>
    </w:p>
    <w:p w:rsidR="00417494" w:rsidRPr="001667F7" w:rsidRDefault="00417494" w:rsidP="007229D8">
      <w:pPr>
        <w:spacing w:before="120" w:after="120"/>
        <w:rPr>
          <w:szCs w:val="22"/>
        </w:rPr>
      </w:pPr>
      <w:r w:rsidRPr="001667F7">
        <w:rPr>
          <w:szCs w:val="22"/>
        </w:rPr>
        <w:t>16</w:t>
      </w:r>
      <w:r w:rsidRPr="001667F7">
        <w:rPr>
          <w:szCs w:val="22"/>
        </w:rPr>
        <w:tab/>
        <w:t>that the power flux-density hard limits provided in Annex 2 shall be reviewed and, if necessary, revised by the next conference;</w:t>
      </w:r>
    </w:p>
    <w:p w:rsidR="00417494" w:rsidRPr="001667F7" w:rsidRDefault="00417494" w:rsidP="007229D8">
      <w:pPr>
        <w:spacing w:before="120" w:after="120"/>
        <w:rPr>
          <w:i/>
          <w:szCs w:val="22"/>
        </w:rPr>
      </w:pPr>
      <w:r w:rsidRPr="001667F7">
        <w:rPr>
          <w:szCs w:val="22"/>
        </w:rPr>
        <w:t>17</w:t>
      </w:r>
      <w:r w:rsidRPr="001667F7">
        <w:rPr>
          <w:szCs w:val="22"/>
        </w:rPr>
        <w:tab/>
        <w:t>that, in order to protect the radio astronomy service in the frequency band 14.47-14.5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t>
      </w:r>
      <w:r w:rsidRPr="001667F7">
        <w:rPr>
          <w:szCs w:val="22"/>
        </w:rPr>
        <w:noBreakHyphen/>
        <w:t>R RA.769 and ITU</w:t>
      </w:r>
      <w:r w:rsidRPr="001667F7">
        <w:rPr>
          <w:szCs w:val="22"/>
        </w:rPr>
        <w:noBreakHyphen/>
        <w:t>R RA.1513;</w:t>
      </w:r>
    </w:p>
    <w:p w:rsidR="00417494" w:rsidRPr="001667F7" w:rsidRDefault="00417494" w:rsidP="007229D8">
      <w:pPr>
        <w:spacing w:before="120" w:after="120"/>
        <w:rPr>
          <w:szCs w:val="22"/>
        </w:rPr>
      </w:pPr>
      <w:r w:rsidRPr="001667F7">
        <w:rPr>
          <w:szCs w:val="22"/>
        </w:rPr>
        <w:t>18</w:t>
      </w:r>
      <w:r w:rsidRPr="001667F7">
        <w:rPr>
          <w:szCs w:val="22"/>
        </w:rPr>
        <w:tab/>
        <w:t>to consider the progress obtained by ICAO in the process of preparation of SARPs for UAS CNPC links, to review this resolution at WRC</w:t>
      </w:r>
      <w:r w:rsidRPr="001667F7">
        <w:rPr>
          <w:szCs w:val="22"/>
        </w:rPr>
        <w:noBreakHyphen/>
        <w:t>23, taking into account the results of the implementation of Resolution </w:t>
      </w:r>
      <w:r w:rsidRPr="001667F7">
        <w:rPr>
          <w:b/>
          <w:szCs w:val="22"/>
        </w:rPr>
        <w:t>COM5/2 (WRC</w:t>
      </w:r>
      <w:r w:rsidRPr="001667F7">
        <w:rPr>
          <w:b/>
          <w:szCs w:val="22"/>
        </w:rPr>
        <w:noBreakHyphen/>
        <w:t>15)</w:t>
      </w:r>
      <w:r w:rsidRPr="001667F7">
        <w:rPr>
          <w:bCs/>
          <w:szCs w:val="22"/>
        </w:rPr>
        <w:t>,</w:t>
      </w:r>
      <w:r w:rsidRPr="001667F7">
        <w:rPr>
          <w:szCs w:val="22"/>
        </w:rPr>
        <w:t xml:space="preserve"> and to take necessary actions as appropriate;</w:t>
      </w:r>
    </w:p>
    <w:p w:rsidR="00417494" w:rsidRPr="001667F7" w:rsidRDefault="00417494" w:rsidP="007229D8">
      <w:pPr>
        <w:spacing w:before="120" w:after="120"/>
        <w:rPr>
          <w:szCs w:val="22"/>
        </w:rPr>
      </w:pPr>
      <w:r w:rsidRPr="001667F7">
        <w:rPr>
          <w:szCs w:val="22"/>
        </w:rPr>
        <w:t>19</w:t>
      </w:r>
      <w:r w:rsidRPr="001667F7">
        <w:rPr>
          <w:szCs w:val="22"/>
        </w:rPr>
        <w:tab/>
        <w:t>that ITU Radiocommunication Sector (ITU</w:t>
      </w:r>
      <w:r w:rsidRPr="001667F7">
        <w:rPr>
          <w:szCs w:val="22"/>
        </w:rPr>
        <w:noBreakHyphen/>
        <w:t>R) studies on technical, operational and regulatory aspects in relation to the implementation of this resolution shall be completed, together with the adoption of relevant ITU</w:t>
      </w:r>
      <w:r w:rsidRPr="001667F7">
        <w:rPr>
          <w:szCs w:val="22"/>
        </w:rPr>
        <w:noBreakHyphen/>
        <w:t>R Recommendations defining the technical characteristics of CNPC links and conditions of sharing with other services,</w:t>
      </w:r>
    </w:p>
    <w:p w:rsidR="00417494" w:rsidRPr="001667F7" w:rsidRDefault="00417494" w:rsidP="00417494">
      <w:pPr>
        <w:pStyle w:val="Call"/>
        <w:rPr>
          <w:sz w:val="22"/>
          <w:szCs w:val="22"/>
        </w:rPr>
      </w:pPr>
      <w:r w:rsidRPr="001667F7">
        <w:rPr>
          <w:sz w:val="22"/>
          <w:szCs w:val="22"/>
        </w:rPr>
        <w:lastRenderedPageBreak/>
        <w:t>resolves to encourage administrations</w:t>
      </w:r>
    </w:p>
    <w:p w:rsidR="00417494" w:rsidRPr="001667F7" w:rsidRDefault="00417494" w:rsidP="007229D8">
      <w:pPr>
        <w:spacing w:before="120" w:after="120"/>
        <w:rPr>
          <w:szCs w:val="22"/>
        </w:rPr>
      </w:pPr>
      <w:r w:rsidRPr="001667F7">
        <w:rPr>
          <w:szCs w:val="22"/>
        </w:rPr>
        <w:t>1</w:t>
      </w:r>
      <w:r w:rsidRPr="001667F7">
        <w:rPr>
          <w:szCs w:val="22"/>
        </w:rPr>
        <w:tab/>
        <w:t xml:space="preserve">to provide the relevant information where available in order to facilitate the application of </w:t>
      </w:r>
      <w:r w:rsidRPr="001667F7">
        <w:rPr>
          <w:i/>
          <w:szCs w:val="22"/>
        </w:rPr>
        <w:t>resolves </w:t>
      </w:r>
      <w:r w:rsidRPr="001667F7">
        <w:rPr>
          <w:szCs w:val="22"/>
        </w:rPr>
        <w:t>6;</w:t>
      </w:r>
    </w:p>
    <w:p w:rsidR="00417494" w:rsidRPr="001667F7" w:rsidRDefault="00417494" w:rsidP="007229D8">
      <w:pPr>
        <w:spacing w:before="120" w:after="120"/>
        <w:rPr>
          <w:szCs w:val="22"/>
        </w:rPr>
      </w:pPr>
      <w:r w:rsidRPr="001667F7">
        <w:rPr>
          <w:szCs w:val="22"/>
        </w:rPr>
        <w:t>2</w:t>
      </w:r>
      <w:r w:rsidRPr="001667F7">
        <w:rPr>
          <w:szCs w:val="22"/>
        </w:rPr>
        <w:tab/>
        <w:t xml:space="preserve">to participate actively in the studies referred to in </w:t>
      </w:r>
      <w:r w:rsidRPr="001667F7">
        <w:rPr>
          <w:i/>
          <w:szCs w:val="22"/>
        </w:rPr>
        <w:t>invites ITU</w:t>
      </w:r>
      <w:r w:rsidRPr="001667F7">
        <w:rPr>
          <w:i/>
          <w:szCs w:val="22"/>
        </w:rPr>
        <w:noBreakHyphen/>
        <w:t>R</w:t>
      </w:r>
      <w:r w:rsidRPr="001667F7">
        <w:rPr>
          <w:szCs w:val="22"/>
        </w:rPr>
        <w:t xml:space="preserve"> by submitting contributions to ITU</w:t>
      </w:r>
      <w:r w:rsidRPr="001667F7">
        <w:rPr>
          <w:szCs w:val="22"/>
        </w:rPr>
        <w:noBreakHyphen/>
        <w:t>R,</w:t>
      </w:r>
    </w:p>
    <w:p w:rsidR="00417494" w:rsidRPr="001667F7" w:rsidRDefault="00417494" w:rsidP="00417494">
      <w:pPr>
        <w:pStyle w:val="Call"/>
        <w:rPr>
          <w:sz w:val="22"/>
          <w:szCs w:val="22"/>
        </w:rPr>
      </w:pPr>
      <w:r w:rsidRPr="001667F7">
        <w:rPr>
          <w:sz w:val="22"/>
          <w:szCs w:val="22"/>
        </w:rPr>
        <w:t>resolves further to invite the 2023 World Radiocommunication Conference</w:t>
      </w:r>
    </w:p>
    <w:p w:rsidR="00417494" w:rsidRPr="001667F7" w:rsidRDefault="00417494" w:rsidP="007229D8">
      <w:pPr>
        <w:spacing w:before="120" w:after="120"/>
        <w:rPr>
          <w:szCs w:val="22"/>
        </w:rPr>
      </w:pPr>
      <w:r w:rsidRPr="001667F7">
        <w:rPr>
          <w:szCs w:val="22"/>
        </w:rPr>
        <w:t>to consider the results of the above studies referred to in this resolution with a view to reviewing and, if necessary, revising this resolution, and take necessary actions, as appropriate,</w:t>
      </w:r>
    </w:p>
    <w:p w:rsidR="00417494" w:rsidRPr="001667F7" w:rsidRDefault="00417494" w:rsidP="00417494">
      <w:pPr>
        <w:pStyle w:val="Call"/>
        <w:rPr>
          <w:sz w:val="22"/>
          <w:szCs w:val="22"/>
        </w:rPr>
      </w:pPr>
      <w:r w:rsidRPr="001667F7">
        <w:rPr>
          <w:sz w:val="22"/>
          <w:szCs w:val="22"/>
        </w:rPr>
        <w:t>invites ITU</w:t>
      </w:r>
      <w:r w:rsidRPr="001667F7">
        <w:rPr>
          <w:sz w:val="22"/>
          <w:szCs w:val="22"/>
        </w:rPr>
        <w:noBreakHyphen/>
        <w:t>R</w:t>
      </w:r>
    </w:p>
    <w:p w:rsidR="00417494" w:rsidRPr="001667F7" w:rsidRDefault="00417494" w:rsidP="007229D8">
      <w:pPr>
        <w:spacing w:before="120" w:after="120"/>
        <w:rPr>
          <w:szCs w:val="22"/>
        </w:rPr>
      </w:pPr>
      <w:r w:rsidRPr="001667F7">
        <w:rPr>
          <w:szCs w:val="22"/>
        </w:rPr>
        <w:t>to conduct, as a matter of urgency, relevant studies of technical, operational and regulatory aspects in relation to the implementation of this resolution,</w:t>
      </w:r>
    </w:p>
    <w:p w:rsidR="00417494" w:rsidRPr="001667F7" w:rsidRDefault="00417494" w:rsidP="00417494">
      <w:pPr>
        <w:pStyle w:val="Call"/>
        <w:rPr>
          <w:sz w:val="22"/>
          <w:szCs w:val="22"/>
        </w:rPr>
      </w:pPr>
      <w:r w:rsidRPr="001667F7">
        <w:rPr>
          <w:sz w:val="22"/>
          <w:szCs w:val="22"/>
        </w:rPr>
        <w:t>instructs the Director of the Radiocommunication Bureau</w:t>
      </w:r>
    </w:p>
    <w:p w:rsidR="00417494" w:rsidRPr="001667F7" w:rsidRDefault="00417494" w:rsidP="007229D8">
      <w:pPr>
        <w:spacing w:before="120" w:after="120"/>
        <w:rPr>
          <w:szCs w:val="22"/>
        </w:rPr>
      </w:pPr>
      <w:r w:rsidRPr="001667F7">
        <w:rPr>
          <w:szCs w:val="22"/>
        </w:rPr>
        <w:t>1</w:t>
      </w:r>
      <w:r w:rsidRPr="001667F7">
        <w:rPr>
          <w:szCs w:val="22"/>
        </w:rPr>
        <w:tab/>
        <w:t>to examine the relevant part of this resolution requiring actions to be taken by administrations to implement this resolution, with a view to sending it to administrations and posting it on the ITU website;</w:t>
      </w:r>
    </w:p>
    <w:p w:rsidR="00417494" w:rsidRPr="001667F7" w:rsidRDefault="00417494" w:rsidP="007229D8">
      <w:pPr>
        <w:spacing w:before="120" w:after="120"/>
        <w:rPr>
          <w:szCs w:val="22"/>
        </w:rPr>
      </w:pPr>
      <w:r w:rsidRPr="001667F7">
        <w:rPr>
          <w:szCs w:val="22"/>
        </w:rPr>
        <w:t>2</w:t>
      </w:r>
      <w:r w:rsidRPr="001667F7">
        <w:rPr>
          <w:szCs w:val="22"/>
        </w:rPr>
        <w:tab/>
        <w:t>to present to subsequent WRCs a progress report relating to the implementation of this resolution;</w:t>
      </w:r>
    </w:p>
    <w:p w:rsidR="00417494" w:rsidRPr="001667F7" w:rsidRDefault="00417494" w:rsidP="007229D8">
      <w:pPr>
        <w:spacing w:before="120" w:after="120"/>
        <w:rPr>
          <w:szCs w:val="22"/>
        </w:rPr>
      </w:pPr>
      <w:r w:rsidRPr="001667F7">
        <w:rPr>
          <w:szCs w:val="22"/>
        </w:rPr>
        <w:t>3</w:t>
      </w:r>
      <w:r w:rsidRPr="001667F7">
        <w:rPr>
          <w:szCs w:val="22"/>
        </w:rPr>
        <w:tab/>
        <w: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in </w:t>
      </w:r>
      <w:r w:rsidRPr="001667F7">
        <w:rPr>
          <w:i/>
          <w:szCs w:val="22"/>
        </w:rPr>
        <w:t>resolves </w:t>
      </w:r>
      <w:r w:rsidRPr="001667F7">
        <w:rPr>
          <w:szCs w:val="22"/>
        </w:rPr>
        <w:t>4;</w:t>
      </w:r>
    </w:p>
    <w:p w:rsidR="00417494" w:rsidRPr="001667F7" w:rsidRDefault="00417494" w:rsidP="007229D8">
      <w:pPr>
        <w:spacing w:before="120" w:after="120"/>
        <w:rPr>
          <w:szCs w:val="22"/>
        </w:rPr>
      </w:pPr>
      <w:r w:rsidRPr="001667F7">
        <w:rPr>
          <w:szCs w:val="22"/>
        </w:rPr>
        <w:t>4</w:t>
      </w:r>
      <w:r w:rsidRPr="001667F7">
        <w:rPr>
          <w:szCs w:val="22"/>
        </w:rPr>
        <w:tab/>
        <w:t xml:space="preserve">not to process satellite network filing submissions by administrations with a new class of a station for earth stations providing UA CNPC links before </w:t>
      </w:r>
      <w:r w:rsidRPr="001667F7">
        <w:rPr>
          <w:i/>
          <w:iCs/>
          <w:szCs w:val="22"/>
        </w:rPr>
        <w:t>resolves</w:t>
      </w:r>
      <w:r w:rsidRPr="001667F7">
        <w:rPr>
          <w:szCs w:val="22"/>
        </w:rPr>
        <w:t> 1-12 and 14-19 of this resolution are implemented;</w:t>
      </w:r>
    </w:p>
    <w:p w:rsidR="00417494" w:rsidRPr="001667F7" w:rsidRDefault="00417494" w:rsidP="007229D8">
      <w:pPr>
        <w:spacing w:before="120" w:after="120"/>
        <w:rPr>
          <w:szCs w:val="22"/>
        </w:rPr>
      </w:pPr>
      <w:r w:rsidRPr="001667F7">
        <w:rPr>
          <w:szCs w:val="22"/>
        </w:rPr>
        <w:t>5</w:t>
      </w:r>
      <w:r w:rsidRPr="001667F7">
        <w:rPr>
          <w:szCs w:val="22"/>
        </w:rPr>
        <w:tab/>
        <w:t>to report to subsequent WRCs on the progress made by ICAO on the development of SARPs for UAS CNPC links,</w:t>
      </w:r>
    </w:p>
    <w:p w:rsidR="00417494" w:rsidRPr="001667F7" w:rsidRDefault="00417494" w:rsidP="00417494">
      <w:pPr>
        <w:pStyle w:val="Call"/>
        <w:rPr>
          <w:sz w:val="22"/>
          <w:szCs w:val="22"/>
        </w:rPr>
      </w:pPr>
      <w:r w:rsidRPr="001667F7">
        <w:rPr>
          <w:sz w:val="22"/>
          <w:szCs w:val="22"/>
        </w:rPr>
        <w:t>instructs the Secretary-General</w:t>
      </w:r>
    </w:p>
    <w:p w:rsidR="00417494" w:rsidRPr="001667F7" w:rsidRDefault="00417494" w:rsidP="007229D8">
      <w:pPr>
        <w:spacing w:before="120" w:after="120"/>
        <w:rPr>
          <w:szCs w:val="22"/>
          <w:lang w:eastAsia="fr-FR"/>
        </w:rPr>
      </w:pPr>
      <w:r w:rsidRPr="001667F7">
        <w:rPr>
          <w:szCs w:val="22"/>
          <w:lang w:eastAsia="fr-FR"/>
        </w:rPr>
        <w:t>to bring this resolution to the attention of the Secretary-General of ICAO,</w:t>
      </w:r>
    </w:p>
    <w:p w:rsidR="00417494" w:rsidRPr="001667F7" w:rsidRDefault="00417494" w:rsidP="00417494">
      <w:pPr>
        <w:pStyle w:val="Call"/>
        <w:rPr>
          <w:sz w:val="22"/>
          <w:szCs w:val="22"/>
        </w:rPr>
      </w:pPr>
      <w:r w:rsidRPr="001667F7">
        <w:rPr>
          <w:sz w:val="22"/>
          <w:szCs w:val="22"/>
        </w:rPr>
        <w:t>invites the International Civil Aviation Organization</w:t>
      </w:r>
    </w:p>
    <w:p w:rsidR="00417494" w:rsidRPr="001667F7" w:rsidRDefault="00417494" w:rsidP="00103F08">
      <w:pPr>
        <w:spacing w:before="120" w:after="120"/>
        <w:rPr>
          <w:szCs w:val="22"/>
        </w:rPr>
      </w:pPr>
      <w:r w:rsidRPr="001667F7">
        <w:rPr>
          <w:szCs w:val="22"/>
        </w:rPr>
        <w:t>to provide to the Director of the Radiocommunication Bureau, in time for WRC</w:t>
      </w:r>
      <w:r w:rsidR="00103F08">
        <w:rPr>
          <w:szCs w:val="22"/>
        </w:rPr>
        <w:t>-</w:t>
      </w:r>
      <w:r w:rsidRPr="001667F7">
        <w:rPr>
          <w:szCs w:val="22"/>
        </w:rPr>
        <w:t>19 and WRC</w:t>
      </w:r>
      <w:r w:rsidR="00103F08">
        <w:rPr>
          <w:szCs w:val="22"/>
        </w:rPr>
        <w:t>-</w:t>
      </w:r>
      <w:r w:rsidRPr="001667F7">
        <w:rPr>
          <w:szCs w:val="22"/>
        </w:rPr>
        <w:t>23, information on ICAO efforts regarding implementation of UAS CNPC links, including the information related to the development of SARPs for UAS CNPC links.</w:t>
      </w:r>
    </w:p>
    <w:p w:rsidR="00417494" w:rsidRPr="001667F7" w:rsidRDefault="00417494" w:rsidP="00417494">
      <w:pPr>
        <w:autoSpaceDE/>
        <w:autoSpaceDN/>
        <w:adjustRightInd/>
        <w:rPr>
          <w:caps/>
          <w:szCs w:val="22"/>
        </w:rPr>
      </w:pPr>
      <w:r w:rsidRPr="001667F7">
        <w:rPr>
          <w:szCs w:val="22"/>
        </w:rPr>
        <w:br w:type="page"/>
      </w:r>
    </w:p>
    <w:p w:rsidR="00417494" w:rsidRPr="00403442" w:rsidRDefault="00417494" w:rsidP="00417494">
      <w:pPr>
        <w:pStyle w:val="AnnexNo"/>
      </w:pPr>
      <w:r w:rsidRPr="00403442">
        <w:lastRenderedPageBreak/>
        <w:t>Annex 1 to Resolution COM4/5 (WRC</w:t>
      </w:r>
      <w:r w:rsidRPr="00403442">
        <w:noBreakHyphen/>
        <w:t>15)</w:t>
      </w:r>
      <w:bookmarkEnd w:id="23"/>
    </w:p>
    <w:p w:rsidR="00417494" w:rsidRPr="00403442" w:rsidRDefault="00417494" w:rsidP="00417494">
      <w:pPr>
        <w:pStyle w:val="Annextitle"/>
      </w:pPr>
      <w:r w:rsidRPr="00403442">
        <w:t>UAS CNPC links</w:t>
      </w:r>
    </w:p>
    <w:p w:rsidR="00417494" w:rsidRPr="00403442" w:rsidRDefault="00417494" w:rsidP="00417494">
      <w:pPr>
        <w:pStyle w:val="FigureNo"/>
        <w:rPr>
          <w:rFonts w:eastAsia="SimSun"/>
        </w:rPr>
      </w:pPr>
      <w:r w:rsidRPr="00403442">
        <w:rPr>
          <w:rFonts w:eastAsia="SimSun"/>
        </w:rPr>
        <w:t>Figure 1</w:t>
      </w:r>
    </w:p>
    <w:p w:rsidR="00417494" w:rsidRPr="00403442" w:rsidRDefault="00417494" w:rsidP="00417494">
      <w:pPr>
        <w:pStyle w:val="Figuretitle"/>
        <w:rPr>
          <w:rFonts w:eastAsia="SimSun"/>
        </w:rPr>
      </w:pPr>
      <w:r w:rsidRPr="00403442">
        <w:rPr>
          <w:rFonts w:eastAsia="SimSun"/>
        </w:rPr>
        <w:t>Elements of UAS architecture using the FSS</w:t>
      </w:r>
    </w:p>
    <w:p w:rsidR="00417494" w:rsidRPr="00403442" w:rsidRDefault="00417494" w:rsidP="00417494">
      <w:pPr>
        <w:jc w:val="center"/>
      </w:pPr>
      <w:r w:rsidRPr="00403442">
        <w:rPr>
          <w:noProof/>
          <w:lang w:eastAsia="zh-CN"/>
        </w:rPr>
        <w:drawing>
          <wp:inline distT="0" distB="0" distL="0" distR="0" wp14:anchorId="4137D981" wp14:editId="169FF6D1">
            <wp:extent cx="5086350" cy="3100705"/>
            <wp:effectExtent l="0" t="0" r="0" b="4445"/>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6350" cy="3100705"/>
                    </a:xfrm>
                    <a:prstGeom prst="rect">
                      <a:avLst/>
                    </a:prstGeom>
                    <a:noFill/>
                    <a:ln>
                      <a:noFill/>
                    </a:ln>
                  </pic:spPr>
                </pic:pic>
              </a:graphicData>
            </a:graphic>
          </wp:inline>
        </w:drawing>
      </w:r>
    </w:p>
    <w:p w:rsidR="00417494" w:rsidRPr="00403442" w:rsidRDefault="00417494" w:rsidP="00C46BBE">
      <w:pPr>
        <w:pStyle w:val="AnnexNo"/>
      </w:pPr>
      <w:r w:rsidRPr="00403442">
        <w:t>Annex 2 to Resolution com4/5 (WRC</w:t>
      </w:r>
      <w:r w:rsidR="00C46BBE">
        <w:t>-</w:t>
      </w:r>
      <w:r w:rsidRPr="00403442">
        <w:t>15)</w:t>
      </w:r>
    </w:p>
    <w:p w:rsidR="00417494" w:rsidRPr="00403442" w:rsidRDefault="00417494" w:rsidP="00417494">
      <w:pPr>
        <w:pStyle w:val="Annextitle"/>
      </w:pPr>
      <w:r w:rsidRPr="00403442">
        <w:t>Protection of the fixed service from UAS CNPC emissions</w:t>
      </w:r>
    </w:p>
    <w:p w:rsidR="00417494" w:rsidRPr="001667F7" w:rsidRDefault="00417494" w:rsidP="00417494">
      <w:pPr>
        <w:rPr>
          <w:rFonts w:eastAsia="Calibri"/>
          <w:szCs w:val="22"/>
        </w:rPr>
      </w:pPr>
      <w:r w:rsidRPr="001667F7">
        <w:rPr>
          <w:rFonts w:eastAsia="Calibri"/>
          <w:szCs w:val="22"/>
        </w:rPr>
        <w:t>The fixed service is allocated by table entries and footnotes in several countries with co-primary status with FSS. Conditions of UA using CNPC shall be such that the fixed service is protected from any harmful interference as follows:</w:t>
      </w:r>
    </w:p>
    <w:p w:rsidR="00C46BBE" w:rsidRPr="001667F7" w:rsidRDefault="00417494" w:rsidP="00C46BBE">
      <w:pPr>
        <w:tabs>
          <w:tab w:val="left" w:pos="0"/>
          <w:tab w:val="left" w:pos="2608"/>
          <w:tab w:val="left" w:pos="3345"/>
        </w:tabs>
        <w:spacing w:before="80" w:after="120"/>
        <w:rPr>
          <w:rFonts w:eastAsia="Calibri"/>
          <w:szCs w:val="22"/>
        </w:rPr>
      </w:pPr>
      <w:r w:rsidRPr="001667F7">
        <w:rPr>
          <w:rFonts w:eastAsia="Calibri"/>
          <w:szCs w:val="22"/>
        </w:rPr>
        <w:t>An earth station on board UA in the frequency band 14.0-14.47 GHz shall comply with provisional power flux-density (</w:t>
      </w:r>
      <w:proofErr w:type="spellStart"/>
      <w:r w:rsidRPr="001667F7">
        <w:rPr>
          <w:rFonts w:eastAsia="Calibri"/>
          <w:szCs w:val="22"/>
        </w:rPr>
        <w:t>pfd</w:t>
      </w:r>
      <w:proofErr w:type="spellEnd"/>
      <w:r w:rsidRPr="001667F7">
        <w:rPr>
          <w:rFonts w:eastAsia="Calibri"/>
          <w:szCs w:val="22"/>
        </w:rPr>
        <w:t>) limits described below:</w:t>
      </w:r>
    </w:p>
    <w:p w:rsidR="00417494" w:rsidRPr="001667F7" w:rsidRDefault="00417494" w:rsidP="00417494">
      <w:pPr>
        <w:pStyle w:val="enumlev1"/>
        <w:tabs>
          <w:tab w:val="clear" w:pos="1871"/>
          <w:tab w:val="clear" w:pos="2608"/>
          <w:tab w:val="left" w:pos="2880"/>
          <w:tab w:val="left" w:pos="5812"/>
          <w:tab w:val="right" w:pos="7111"/>
          <w:tab w:val="left" w:pos="7223"/>
          <w:tab w:val="left" w:pos="7517"/>
          <w:tab w:val="right" w:pos="8161"/>
        </w:tabs>
        <w:rPr>
          <w:sz w:val="22"/>
          <w:szCs w:val="22"/>
        </w:rPr>
      </w:pPr>
      <w:r w:rsidRPr="001667F7">
        <w:rPr>
          <w:sz w:val="22"/>
          <w:szCs w:val="22"/>
        </w:rPr>
        <w:tab/>
        <w:t>−132 + 0.5 · θ</w:t>
      </w:r>
      <w:r w:rsidRPr="001667F7">
        <w:rPr>
          <w:rFonts w:ascii="Symbol" w:hAnsi="Symbol"/>
          <w:sz w:val="22"/>
          <w:szCs w:val="22"/>
        </w:rPr>
        <w:tab/>
      </w:r>
      <w:r w:rsidRPr="001667F7">
        <w:rPr>
          <w:sz w:val="22"/>
          <w:szCs w:val="22"/>
        </w:rPr>
        <w:t>dB(W/(m</w:t>
      </w:r>
      <w:r w:rsidRPr="001667F7">
        <w:rPr>
          <w:sz w:val="22"/>
          <w:szCs w:val="22"/>
          <w:vertAlign w:val="superscript"/>
        </w:rPr>
        <w:t>2</w:t>
      </w:r>
      <w:r w:rsidRPr="001667F7">
        <w:rPr>
          <w:sz w:val="22"/>
          <w:szCs w:val="22"/>
        </w:rPr>
        <w:t> · MHz))</w:t>
      </w:r>
      <w:r w:rsidRPr="001667F7">
        <w:rPr>
          <w:sz w:val="22"/>
          <w:szCs w:val="22"/>
        </w:rPr>
        <w:tab/>
        <w:t>for</w:t>
      </w:r>
      <w:r w:rsidRPr="001667F7">
        <w:rPr>
          <w:sz w:val="22"/>
          <w:szCs w:val="22"/>
        </w:rPr>
        <w:tab/>
      </w:r>
      <w:r w:rsidRPr="001667F7">
        <w:rPr>
          <w:sz w:val="22"/>
          <w:szCs w:val="22"/>
        </w:rPr>
        <w:tab/>
        <w:t>θ  ≤  40°</w:t>
      </w:r>
    </w:p>
    <w:p w:rsidR="00417494" w:rsidRPr="001667F7" w:rsidRDefault="00417494" w:rsidP="00C46BBE">
      <w:pPr>
        <w:pStyle w:val="enumlev1"/>
        <w:tabs>
          <w:tab w:val="clear" w:pos="1871"/>
          <w:tab w:val="clear" w:pos="2608"/>
          <w:tab w:val="left" w:pos="2880"/>
          <w:tab w:val="left" w:pos="5812"/>
          <w:tab w:val="right" w:pos="7111"/>
          <w:tab w:val="left" w:pos="7223"/>
          <w:tab w:val="left" w:pos="7517"/>
          <w:tab w:val="right" w:pos="8161"/>
        </w:tabs>
        <w:spacing w:before="120"/>
        <w:rPr>
          <w:sz w:val="22"/>
          <w:szCs w:val="22"/>
        </w:rPr>
      </w:pPr>
      <w:r w:rsidRPr="001667F7">
        <w:rPr>
          <w:sz w:val="22"/>
          <w:szCs w:val="22"/>
        </w:rPr>
        <w:tab/>
        <w:t>−112</w:t>
      </w:r>
      <w:r w:rsidRPr="001667F7">
        <w:rPr>
          <w:sz w:val="22"/>
          <w:szCs w:val="22"/>
        </w:rPr>
        <w:tab/>
        <w:t>dB(W/(m</w:t>
      </w:r>
      <w:r w:rsidRPr="001667F7">
        <w:rPr>
          <w:sz w:val="22"/>
          <w:szCs w:val="22"/>
          <w:vertAlign w:val="superscript"/>
        </w:rPr>
        <w:t>2</w:t>
      </w:r>
      <w:r w:rsidRPr="001667F7">
        <w:rPr>
          <w:sz w:val="22"/>
          <w:szCs w:val="22"/>
        </w:rPr>
        <w:t> · MHz))</w:t>
      </w:r>
      <w:r w:rsidRPr="001667F7">
        <w:rPr>
          <w:sz w:val="22"/>
          <w:szCs w:val="22"/>
        </w:rPr>
        <w:tab/>
        <w:t>for</w:t>
      </w:r>
      <w:r w:rsidRPr="001667F7">
        <w:rPr>
          <w:sz w:val="22"/>
          <w:szCs w:val="22"/>
        </w:rPr>
        <w:tab/>
        <w:t>40 &lt;</w:t>
      </w:r>
      <w:r w:rsidRPr="001667F7">
        <w:rPr>
          <w:sz w:val="22"/>
          <w:szCs w:val="22"/>
        </w:rPr>
        <w:tab/>
        <w:t>θ  ≤  90°</w:t>
      </w:r>
    </w:p>
    <w:p w:rsidR="00C46BBE" w:rsidRPr="001667F7" w:rsidRDefault="00417494" w:rsidP="00C46BBE">
      <w:pPr>
        <w:spacing w:before="120" w:after="120"/>
        <w:rPr>
          <w:szCs w:val="22"/>
        </w:rPr>
      </w:pPr>
      <w:r w:rsidRPr="001667F7">
        <w:rPr>
          <w:szCs w:val="22"/>
        </w:rPr>
        <w:t>where θ is the angle of arrival of the radio-frequency wave (degrees above the horizontal).</w:t>
      </w:r>
    </w:p>
    <w:p w:rsidR="00417494" w:rsidRPr="00111410" w:rsidRDefault="00417494" w:rsidP="00C46BBE">
      <w:pPr>
        <w:pStyle w:val="Note"/>
        <w:ind w:firstLine="1134"/>
        <w:rPr>
          <w:szCs w:val="22"/>
        </w:rPr>
      </w:pPr>
      <w:r w:rsidRPr="00111410">
        <w:rPr>
          <w:szCs w:val="22"/>
        </w:rPr>
        <w:t xml:space="preserve"> The aforementioned limits relate to the </w:t>
      </w:r>
      <w:proofErr w:type="spellStart"/>
      <w:r w:rsidRPr="00111410">
        <w:rPr>
          <w:szCs w:val="22"/>
        </w:rPr>
        <w:t>pfd</w:t>
      </w:r>
      <w:proofErr w:type="spellEnd"/>
      <w:r w:rsidRPr="00111410">
        <w:rPr>
          <w:szCs w:val="22"/>
        </w:rPr>
        <w:t xml:space="preserve"> and angles of arrival that would be obtained under free</w:t>
      </w:r>
      <w:r w:rsidRPr="00111410">
        <w:rPr>
          <w:szCs w:val="22"/>
        </w:rPr>
        <w:noBreakHyphen/>
        <w:t>space propagation conditions.</w:t>
      </w:r>
    </w:p>
    <w:p w:rsidR="00417494" w:rsidRPr="00403442" w:rsidRDefault="00417494" w:rsidP="00417494">
      <w:pPr>
        <w:pStyle w:val="Reasons"/>
      </w:pPr>
    </w:p>
    <w:p w:rsidR="00417494" w:rsidRPr="00403442" w:rsidRDefault="00417494" w:rsidP="00417494">
      <w:pPr>
        <w:jc w:val="center"/>
      </w:pPr>
      <w:r w:rsidRPr="00403442">
        <w:t>______________</w:t>
      </w:r>
    </w:p>
    <w:p w:rsidR="007229D8" w:rsidRPr="007229D8" w:rsidRDefault="007229D8" w:rsidP="00C46BBE">
      <w:pPr>
        <w:pStyle w:val="TitleMain"/>
        <w:jc w:val="both"/>
        <w:rPr>
          <w:lang w:eastAsia="zh-CN"/>
        </w:rPr>
      </w:pPr>
      <w:r w:rsidRPr="0013369E">
        <w:lastRenderedPageBreak/>
        <w:t xml:space="preserve">WRC-15 Agenda Item </w:t>
      </w:r>
      <w:r>
        <w:t xml:space="preserve">9.1, sub-item </w:t>
      </w:r>
      <w:r w:rsidRPr="007229D8">
        <w:t>5</w:t>
      </w:r>
      <w:r w:rsidRPr="007229D8">
        <w:rPr>
          <w:lang w:val="en-CA"/>
        </w:rPr>
        <w:t xml:space="preserve"> (9.1.5): </w:t>
      </w:r>
      <w:r w:rsidRPr="007229D8">
        <w:rPr>
          <w:iCs/>
          <w:lang w:val="en-CA"/>
        </w:rPr>
        <w:t xml:space="preserve">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 (Resolution </w:t>
      </w:r>
      <w:r w:rsidRPr="007229D8">
        <w:rPr>
          <w:rFonts w:ascii="Times New Roman Bold" w:hAnsi="Times New Roman Bold" w:cs="Times New Roman Bold"/>
          <w:iCs/>
          <w:lang w:val="en-CA"/>
        </w:rPr>
        <w:t>154</w:t>
      </w:r>
      <w:r w:rsidRPr="007229D8">
        <w:rPr>
          <w:iCs/>
          <w:lang w:val="en-CA"/>
        </w:rPr>
        <w:t xml:space="preserve"> (WRC-12))</w:t>
      </w:r>
    </w:p>
    <w:p w:rsidR="00355A1F" w:rsidRDefault="00355A1F" w:rsidP="007229D8">
      <w:pPr>
        <w:pStyle w:val="Proposal"/>
      </w:pPr>
    </w:p>
    <w:p w:rsidR="000C1AFA" w:rsidRDefault="000C1AFA" w:rsidP="007229D8">
      <w:pPr>
        <w:pStyle w:val="Proposal"/>
      </w:pPr>
      <w:r>
        <w:t>MOD</w:t>
      </w:r>
      <w:r>
        <w:rPr>
          <w:vanish/>
          <w:color w:val="7F7F7F" w:themeColor="text1" w:themeTint="80"/>
          <w:vertAlign w:val="superscript"/>
        </w:rPr>
        <w:t>#32608</w:t>
      </w:r>
    </w:p>
    <w:p w:rsidR="000C1AFA" w:rsidRPr="00D92FDF" w:rsidRDefault="000C1AFA" w:rsidP="00CD5427">
      <w:pPr>
        <w:pStyle w:val="ResNo"/>
        <w:spacing w:before="0"/>
      </w:pPr>
      <w:r w:rsidRPr="00D92FDF">
        <w:t xml:space="preserve">RESOLUTION </w:t>
      </w:r>
      <w:r w:rsidRPr="00D92FDF">
        <w:rPr>
          <w:rStyle w:val="href"/>
        </w:rPr>
        <w:t>154</w:t>
      </w:r>
      <w:r w:rsidRPr="00D92FDF">
        <w:t xml:space="preserve"> (rev.WRC</w:t>
      </w:r>
      <w:r w:rsidRPr="00D92FDF">
        <w:noBreakHyphen/>
        <w:t>15)</w:t>
      </w:r>
    </w:p>
    <w:p w:rsidR="000C1AFA" w:rsidRPr="00D92FDF" w:rsidRDefault="000C1AFA" w:rsidP="000C1AFA">
      <w:pPr>
        <w:pStyle w:val="Restitle"/>
      </w:pPr>
      <w:r w:rsidRPr="00D92FDF">
        <w:t xml:space="preserve">Consideration of technical and regulatory actions in order to support existing </w:t>
      </w:r>
      <w:r w:rsidRPr="00D92FDF">
        <w:br/>
        <w:t>and future operation of fixed-satellite service earth stations within the</w:t>
      </w:r>
      <w:r w:rsidRPr="00D92FDF">
        <w:br/>
        <w:t xml:space="preserve">frequency band 3 400-4 200 MHz, as an aid to the safe operation of aircraft </w:t>
      </w:r>
      <w:r w:rsidRPr="00D92FDF">
        <w:br/>
        <w:t xml:space="preserve">and reliable distribution of meteorological information </w:t>
      </w:r>
      <w:r w:rsidRPr="00D92FDF">
        <w:br/>
        <w:t>in some countries in Region 1</w:t>
      </w:r>
    </w:p>
    <w:p w:rsidR="000C1AFA" w:rsidRPr="001667F7" w:rsidRDefault="000C1AFA" w:rsidP="000C1AFA">
      <w:pPr>
        <w:pStyle w:val="Normalaftertitle"/>
        <w:rPr>
          <w:sz w:val="22"/>
          <w:szCs w:val="22"/>
        </w:rPr>
      </w:pPr>
      <w:r w:rsidRPr="001667F7">
        <w:rPr>
          <w:sz w:val="22"/>
          <w:szCs w:val="22"/>
        </w:rPr>
        <w:t>The World Radiocommunication Conference (Geneva, 2015),</w:t>
      </w:r>
    </w:p>
    <w:p w:rsidR="000C1AFA" w:rsidRPr="001667F7" w:rsidRDefault="000C1AFA" w:rsidP="000C1AFA">
      <w:pPr>
        <w:pStyle w:val="Call"/>
        <w:rPr>
          <w:sz w:val="22"/>
          <w:szCs w:val="22"/>
        </w:rPr>
      </w:pPr>
      <w:r w:rsidRPr="001667F7">
        <w:rPr>
          <w:sz w:val="22"/>
          <w:szCs w:val="22"/>
        </w:rPr>
        <w:t>considering</w:t>
      </w:r>
    </w:p>
    <w:p w:rsidR="000C1AFA" w:rsidRPr="001667F7" w:rsidRDefault="000C1AFA" w:rsidP="007229D8">
      <w:pPr>
        <w:spacing w:before="120" w:after="120"/>
        <w:rPr>
          <w:szCs w:val="22"/>
        </w:rPr>
      </w:pPr>
      <w:r w:rsidRPr="001667F7">
        <w:rPr>
          <w:i/>
          <w:iCs/>
          <w:szCs w:val="22"/>
        </w:rPr>
        <w:t>a)</w:t>
      </w:r>
      <w:r w:rsidRPr="001667F7">
        <w:rPr>
          <w:szCs w:val="22"/>
        </w:rPr>
        <w:tab/>
        <w:t>that the frequency band 3 400-4 200 MHz is allocated worldwide to the fixed-satellite service (FSS) in the space-to-Earth direction and to the fixed service on a primary basis;</w:t>
      </w:r>
    </w:p>
    <w:p w:rsidR="000C1AFA" w:rsidRPr="001667F7" w:rsidRDefault="000C1AFA" w:rsidP="00C46BBE">
      <w:pPr>
        <w:spacing w:before="120" w:after="120"/>
        <w:rPr>
          <w:szCs w:val="22"/>
        </w:rPr>
      </w:pPr>
      <w:r w:rsidRPr="001667F7">
        <w:rPr>
          <w:i/>
          <w:szCs w:val="22"/>
        </w:rPr>
        <w:t>b)</w:t>
      </w:r>
      <w:r w:rsidRPr="001667F7">
        <w:rPr>
          <w:szCs w:val="22"/>
        </w:rPr>
        <w:tab/>
        <w:t>that the frequency band 3 400-3 600 MHz is allocated on a primary basis to the mobile, except aeronautical mobile, service and identified for International Mobile Telecommunications (IMT) in Region</w:t>
      </w:r>
      <w:r w:rsidR="00C46BBE">
        <w:rPr>
          <w:szCs w:val="22"/>
        </w:rPr>
        <w:t> </w:t>
      </w:r>
      <w:r w:rsidRPr="001667F7">
        <w:rPr>
          <w:szCs w:val="22"/>
        </w:rPr>
        <w:t>1 countries as specified in Article</w:t>
      </w:r>
      <w:r w:rsidRPr="001667F7">
        <w:rPr>
          <w:rStyle w:val="Artref"/>
          <w:b/>
          <w:bCs/>
          <w:szCs w:val="22"/>
        </w:rPr>
        <w:t xml:space="preserve"> </w:t>
      </w:r>
      <w:r w:rsidRPr="00EC4CD4">
        <w:rPr>
          <w:rStyle w:val="Artref"/>
          <w:b/>
          <w:bCs/>
          <w:szCs w:val="22"/>
        </w:rPr>
        <w:t>5</w:t>
      </w:r>
      <w:r w:rsidRPr="001667F7">
        <w:rPr>
          <w:szCs w:val="22"/>
        </w:rPr>
        <w:t xml:space="preserve"> of the Radio Regulations;</w:t>
      </w:r>
    </w:p>
    <w:p w:rsidR="000C1AFA" w:rsidRPr="001667F7" w:rsidRDefault="000C1AFA" w:rsidP="007229D8">
      <w:pPr>
        <w:spacing w:before="120" w:after="120"/>
        <w:rPr>
          <w:szCs w:val="22"/>
          <w:lang w:eastAsia="zh-CN"/>
        </w:rPr>
      </w:pPr>
      <w:r w:rsidRPr="001667F7">
        <w:rPr>
          <w:i/>
          <w:szCs w:val="22"/>
        </w:rPr>
        <w:t>c)</w:t>
      </w:r>
      <w:r w:rsidRPr="001667F7">
        <w:rPr>
          <w:szCs w:val="22"/>
        </w:rPr>
        <w:tab/>
        <w:t xml:space="preserve">that in Region 1, the allocation to the mobile, except aeronautical mobile, service in the frequency band 3 400-3 600 MHz is subject to technical and regulatory conditions </w:t>
      </w:r>
      <w:r w:rsidRPr="001667F7">
        <w:rPr>
          <w:szCs w:val="22"/>
          <w:lang w:eastAsia="zh-CN"/>
        </w:rPr>
        <w:t>aimed at ensuring compatibility with co-primary services of neighbouring countries;</w:t>
      </w:r>
    </w:p>
    <w:p w:rsidR="000C1AFA" w:rsidRPr="001667F7" w:rsidRDefault="000C1AFA" w:rsidP="00EC4CD4">
      <w:pPr>
        <w:spacing w:before="120" w:after="120"/>
        <w:rPr>
          <w:szCs w:val="22"/>
        </w:rPr>
      </w:pPr>
      <w:r w:rsidRPr="001667F7">
        <w:rPr>
          <w:i/>
          <w:szCs w:val="22"/>
        </w:rPr>
        <w:t>d)</w:t>
      </w:r>
      <w:r w:rsidRPr="001667F7">
        <w:rPr>
          <w:szCs w:val="22"/>
        </w:rPr>
        <w:tab/>
        <w:t>that a number of developing countries</w:t>
      </w:r>
      <w:r w:rsidRPr="001667F7">
        <w:rPr>
          <w:iCs/>
          <w:szCs w:val="22"/>
        </w:rPr>
        <w:t xml:space="preserve"> rely, to a great extent, on FSS </w:t>
      </w:r>
      <w:r w:rsidRPr="001667F7">
        <w:rPr>
          <w:rFonts w:eastAsia="MS Mincho"/>
          <w:szCs w:val="22"/>
          <w:lang w:eastAsia="zh-CN"/>
        </w:rPr>
        <w:t>systems using very small aperture terminals</w:t>
      </w:r>
      <w:r w:rsidRPr="001667F7">
        <w:rPr>
          <w:iCs/>
          <w:szCs w:val="22"/>
        </w:rPr>
        <w:t xml:space="preserve"> (VSAT) in the </w:t>
      </w:r>
      <w:r w:rsidRPr="001667F7">
        <w:rPr>
          <w:szCs w:val="22"/>
        </w:rPr>
        <w:t xml:space="preserve">frequency band 3 400-4 200 MHz </w:t>
      </w:r>
      <w:r w:rsidRPr="001667F7">
        <w:rPr>
          <w:iCs/>
          <w:szCs w:val="22"/>
        </w:rPr>
        <w:t xml:space="preserve">for the provision of </w:t>
      </w:r>
      <w:r w:rsidRPr="001667F7">
        <w:rPr>
          <w:szCs w:val="22"/>
        </w:rPr>
        <w:t>communications as an aid to safe operation of aircraft and reliable distribution of meteorological information;</w:t>
      </w:r>
    </w:p>
    <w:p w:rsidR="000C1AFA" w:rsidRPr="001667F7" w:rsidRDefault="000C1AFA" w:rsidP="007229D8">
      <w:pPr>
        <w:spacing w:before="120" w:after="120"/>
        <w:rPr>
          <w:i/>
          <w:iCs/>
          <w:szCs w:val="22"/>
          <w:lang w:eastAsia="zh-CN"/>
        </w:rPr>
      </w:pPr>
      <w:r w:rsidRPr="001667F7">
        <w:rPr>
          <w:i/>
          <w:szCs w:val="22"/>
        </w:rPr>
        <w:t>e)</w:t>
      </w:r>
      <w:r w:rsidRPr="001667F7">
        <w:rPr>
          <w:szCs w:val="22"/>
        </w:rPr>
        <w:tab/>
        <w:t xml:space="preserve">that, in some cases, where an adequate terrestrial communication infrastructure is not available, VSAT networks referred to in </w:t>
      </w:r>
      <w:r w:rsidRPr="001667F7">
        <w:rPr>
          <w:i/>
          <w:iCs/>
          <w:szCs w:val="22"/>
        </w:rPr>
        <w:t>considering</w:t>
      </w:r>
      <w:r w:rsidRPr="001667F7">
        <w:rPr>
          <w:szCs w:val="22"/>
        </w:rPr>
        <w:t> </w:t>
      </w:r>
      <w:r w:rsidRPr="001667F7">
        <w:rPr>
          <w:i/>
          <w:iCs/>
          <w:szCs w:val="22"/>
        </w:rPr>
        <w:t>d)</w:t>
      </w:r>
      <w:r w:rsidRPr="001667F7">
        <w:rPr>
          <w:szCs w:val="22"/>
        </w:rPr>
        <w:t xml:space="preserve"> above are the only viable option to augment the communication infrastructure in order to satisfy the overall communications infrastructure requirements of the International Civil Aviation Organization (ICAO) and to ensure distribution of meteorological information under the auspices of the World Meteorological Organization (WMO);</w:t>
      </w:r>
    </w:p>
    <w:p w:rsidR="000C1AFA" w:rsidRPr="001667F7" w:rsidRDefault="000C1AFA" w:rsidP="00AD415B">
      <w:pPr>
        <w:spacing w:before="120" w:after="120"/>
        <w:rPr>
          <w:szCs w:val="22"/>
          <w:lang w:eastAsia="zh-CN"/>
        </w:rPr>
      </w:pPr>
      <w:r w:rsidRPr="001667F7">
        <w:rPr>
          <w:i/>
          <w:iCs/>
          <w:szCs w:val="22"/>
          <w:lang w:eastAsia="zh-CN"/>
        </w:rPr>
        <w:t>f</w:t>
      </w:r>
      <w:r w:rsidRPr="00EC4CD4">
        <w:rPr>
          <w:i/>
          <w:iCs/>
          <w:szCs w:val="22"/>
          <w:lang w:eastAsia="zh-CN"/>
        </w:rPr>
        <w:t>)</w:t>
      </w:r>
      <w:r w:rsidRPr="001667F7">
        <w:rPr>
          <w:szCs w:val="22"/>
          <w:lang w:eastAsia="zh-CN"/>
        </w:rPr>
        <w:tab/>
        <w:t>that the relevant ITU Radiocommunication Sector (ITU</w:t>
      </w:r>
      <w:r w:rsidR="00AD415B">
        <w:rPr>
          <w:szCs w:val="22"/>
          <w:lang w:eastAsia="zh-CN"/>
        </w:rPr>
        <w:t>-</w:t>
      </w:r>
      <w:r w:rsidRPr="001667F7">
        <w:rPr>
          <w:szCs w:val="22"/>
          <w:lang w:eastAsia="zh-CN"/>
        </w:rPr>
        <w:t>R) studies showed</w:t>
      </w:r>
      <w:r w:rsidRPr="001667F7">
        <w:rPr>
          <w:b/>
          <w:szCs w:val="22"/>
        </w:rPr>
        <w:t xml:space="preserve"> </w:t>
      </w:r>
      <w:r w:rsidRPr="001667F7">
        <w:rPr>
          <w:szCs w:val="22"/>
        </w:rPr>
        <w:t xml:space="preserve">a potential for interference from fixed wireless access and IMT stations into FSS </w:t>
      </w:r>
      <w:r w:rsidRPr="001667F7">
        <w:rPr>
          <w:szCs w:val="22"/>
          <w:lang w:eastAsia="zh-CN"/>
        </w:rPr>
        <w:t>receiving</w:t>
      </w:r>
      <w:r w:rsidRPr="001667F7">
        <w:rPr>
          <w:szCs w:val="22"/>
        </w:rPr>
        <w:t xml:space="preserve"> earth stations at distances from </w:t>
      </w:r>
      <w:r w:rsidRPr="001667F7">
        <w:rPr>
          <w:szCs w:val="22"/>
          <w:lang w:eastAsia="zh-CN"/>
        </w:rPr>
        <w:t>less than one kilometre</w:t>
      </w:r>
      <w:r w:rsidRPr="001667F7">
        <w:rPr>
          <w:szCs w:val="22"/>
        </w:rPr>
        <w:t xml:space="preserve"> up to hundreds</w:t>
      </w:r>
      <w:r w:rsidRPr="001667F7">
        <w:rPr>
          <w:szCs w:val="22"/>
          <w:lang w:eastAsia="zh-CN"/>
        </w:rPr>
        <w:t xml:space="preserve"> of kilometres, depending on the parameters and deployment of stations of these services;</w:t>
      </w:r>
    </w:p>
    <w:p w:rsidR="000C1AFA" w:rsidRPr="001667F7" w:rsidRDefault="000C1AFA" w:rsidP="00AD415B">
      <w:pPr>
        <w:spacing w:before="120" w:after="120"/>
        <w:rPr>
          <w:szCs w:val="22"/>
        </w:rPr>
      </w:pPr>
      <w:r w:rsidRPr="001667F7">
        <w:rPr>
          <w:i/>
          <w:iCs/>
          <w:szCs w:val="22"/>
        </w:rPr>
        <w:t>g)</w:t>
      </w:r>
      <w:r w:rsidRPr="001667F7">
        <w:rPr>
          <w:i/>
          <w:iCs/>
          <w:szCs w:val="22"/>
        </w:rPr>
        <w:tab/>
      </w:r>
      <w:r w:rsidRPr="001667F7">
        <w:rPr>
          <w:szCs w:val="22"/>
        </w:rPr>
        <w:t>that WRC</w:t>
      </w:r>
      <w:r w:rsidR="00AD415B">
        <w:rPr>
          <w:szCs w:val="22"/>
        </w:rPr>
        <w:t>-</w:t>
      </w:r>
      <w:r w:rsidRPr="001667F7">
        <w:rPr>
          <w:szCs w:val="22"/>
        </w:rPr>
        <w:t xml:space="preserve">12, taking into account the studies mentioned in </w:t>
      </w:r>
      <w:r w:rsidRPr="00EC4CD4">
        <w:rPr>
          <w:i/>
          <w:szCs w:val="22"/>
        </w:rPr>
        <w:t>considering</w:t>
      </w:r>
      <w:r w:rsidRPr="001667F7">
        <w:rPr>
          <w:i/>
          <w:szCs w:val="22"/>
        </w:rPr>
        <w:t> </w:t>
      </w:r>
      <w:r w:rsidRPr="00EC4CD4">
        <w:rPr>
          <w:i/>
          <w:szCs w:val="22"/>
        </w:rPr>
        <w:t>f)</w:t>
      </w:r>
      <w:r w:rsidRPr="001667F7">
        <w:rPr>
          <w:szCs w:val="22"/>
        </w:rPr>
        <w:t xml:space="preserve"> above, decided to study technical and regulatory measures to support the FSS earth stations referred to in </w:t>
      </w:r>
      <w:r w:rsidRPr="001667F7">
        <w:rPr>
          <w:i/>
          <w:iCs/>
          <w:szCs w:val="22"/>
        </w:rPr>
        <w:t>considering e)</w:t>
      </w:r>
      <w:r w:rsidRPr="001667F7">
        <w:rPr>
          <w:szCs w:val="22"/>
        </w:rPr>
        <w:t xml:space="preserve"> above</w:t>
      </w:r>
      <w:r w:rsidRPr="001667F7">
        <w:rPr>
          <w:iCs/>
          <w:szCs w:val="22"/>
        </w:rPr>
        <w:t>,</w:t>
      </w:r>
    </w:p>
    <w:p w:rsidR="000C1AFA" w:rsidRPr="001667F7" w:rsidRDefault="000C1AFA" w:rsidP="000C1AFA">
      <w:pPr>
        <w:pStyle w:val="Call"/>
        <w:rPr>
          <w:sz w:val="22"/>
          <w:szCs w:val="22"/>
        </w:rPr>
      </w:pPr>
      <w:r w:rsidRPr="001667F7">
        <w:rPr>
          <w:sz w:val="22"/>
          <w:szCs w:val="22"/>
        </w:rPr>
        <w:t>noting</w:t>
      </w:r>
    </w:p>
    <w:p w:rsidR="000C1AFA" w:rsidRPr="001667F7" w:rsidRDefault="000C1AFA" w:rsidP="007229D8">
      <w:pPr>
        <w:spacing w:before="120" w:after="120"/>
        <w:rPr>
          <w:szCs w:val="22"/>
        </w:rPr>
      </w:pPr>
      <w:r w:rsidRPr="001667F7">
        <w:rPr>
          <w:i/>
          <w:szCs w:val="22"/>
        </w:rPr>
        <w:t>a)</w:t>
      </w:r>
      <w:r w:rsidRPr="001667F7">
        <w:rPr>
          <w:szCs w:val="22"/>
        </w:rPr>
        <w:tab/>
        <w:t>that</w:t>
      </w:r>
      <w:r w:rsidRPr="001667F7">
        <w:rPr>
          <w:iCs/>
          <w:szCs w:val="22"/>
        </w:rPr>
        <w:t>,</w:t>
      </w:r>
      <w:r w:rsidRPr="001667F7">
        <w:rPr>
          <w:szCs w:val="22"/>
        </w:rPr>
        <w:t xml:space="preserve"> by the date of this conference</w:t>
      </w:r>
      <w:r w:rsidRPr="001667F7">
        <w:rPr>
          <w:iCs/>
          <w:szCs w:val="22"/>
        </w:rPr>
        <w:t>,</w:t>
      </w:r>
      <w:r w:rsidRPr="001667F7">
        <w:rPr>
          <w:szCs w:val="22"/>
        </w:rPr>
        <w:t xml:space="preserve"> several cases of harmful interference to the FSS VSATs used for aeronautical safety communications from </w:t>
      </w:r>
      <w:r w:rsidRPr="001667F7">
        <w:rPr>
          <w:bCs/>
          <w:szCs w:val="22"/>
        </w:rPr>
        <w:t xml:space="preserve">fixed wireless access or </w:t>
      </w:r>
      <w:r w:rsidRPr="001667F7">
        <w:rPr>
          <w:szCs w:val="22"/>
        </w:rPr>
        <w:t>IMT stations were reported;</w:t>
      </w:r>
    </w:p>
    <w:p w:rsidR="000C1AFA" w:rsidRPr="001667F7" w:rsidRDefault="000C1AFA" w:rsidP="007229D8">
      <w:pPr>
        <w:spacing w:before="120" w:after="120"/>
        <w:rPr>
          <w:szCs w:val="22"/>
        </w:rPr>
      </w:pPr>
      <w:r w:rsidRPr="001667F7">
        <w:rPr>
          <w:i/>
          <w:iCs/>
          <w:szCs w:val="22"/>
        </w:rPr>
        <w:lastRenderedPageBreak/>
        <w:t>b)</w:t>
      </w:r>
      <w:r w:rsidRPr="001667F7">
        <w:rPr>
          <w:i/>
          <w:iCs/>
          <w:szCs w:val="22"/>
        </w:rPr>
        <w:tab/>
      </w:r>
      <w:r w:rsidRPr="001667F7">
        <w:rPr>
          <w:szCs w:val="22"/>
        </w:rPr>
        <w:t xml:space="preserve">that these reported cases of interference indicated difficulties that some administrations have encountered in the coordination of frequencies between the fixed wireless access or IMT systems and </w:t>
      </w:r>
      <w:r w:rsidRPr="00EC4CD4">
        <w:rPr>
          <w:szCs w:val="22"/>
        </w:rPr>
        <w:t>frequenc</w:t>
      </w:r>
      <w:r w:rsidRPr="001667F7">
        <w:rPr>
          <w:szCs w:val="22"/>
        </w:rPr>
        <w:t>y</w:t>
      </w:r>
      <w:r w:rsidRPr="00EC4CD4">
        <w:rPr>
          <w:szCs w:val="22"/>
        </w:rPr>
        <w:t xml:space="preserve"> assignments for VSATs used for aeronautical and meteorological purposes</w:t>
      </w:r>
      <w:r w:rsidRPr="001667F7">
        <w:rPr>
          <w:szCs w:val="22"/>
        </w:rPr>
        <w:t>;</w:t>
      </w:r>
    </w:p>
    <w:p w:rsidR="000C1AFA" w:rsidRPr="001667F7" w:rsidRDefault="000C1AFA" w:rsidP="007229D8">
      <w:pPr>
        <w:spacing w:before="120" w:after="120"/>
        <w:rPr>
          <w:i/>
          <w:iCs/>
          <w:szCs w:val="22"/>
        </w:rPr>
      </w:pPr>
      <w:r w:rsidRPr="001667F7">
        <w:rPr>
          <w:i/>
          <w:iCs/>
          <w:color w:val="000000"/>
          <w:szCs w:val="22"/>
        </w:rPr>
        <w:t>c)</w:t>
      </w:r>
      <w:r w:rsidRPr="001667F7">
        <w:rPr>
          <w:i/>
          <w:iCs/>
          <w:color w:val="000000"/>
          <w:szCs w:val="22"/>
        </w:rPr>
        <w:tab/>
      </w:r>
      <w:r w:rsidRPr="001667F7">
        <w:rPr>
          <w:szCs w:val="22"/>
        </w:rPr>
        <w:t>that</w:t>
      </w:r>
      <w:r w:rsidRPr="001667F7">
        <w:rPr>
          <w:iCs/>
          <w:szCs w:val="22"/>
        </w:rPr>
        <w:t>,</w:t>
      </w:r>
      <w:r w:rsidRPr="001667F7">
        <w:rPr>
          <w:szCs w:val="22"/>
        </w:rPr>
        <w:t xml:space="preserve"> in many countries</w:t>
      </w:r>
      <w:r w:rsidRPr="001667F7">
        <w:rPr>
          <w:iCs/>
          <w:szCs w:val="22"/>
        </w:rPr>
        <w:t>,</w:t>
      </w:r>
      <w:r w:rsidRPr="001667F7">
        <w:rPr>
          <w:szCs w:val="22"/>
        </w:rPr>
        <w:t xml:space="preserve"> FSS VSAT earth stations are not subject to individual licensing and not registered as specific stations in their national frequency databases and in the ITU Master International Frequency Register (MIFR) due to the considerable administrative work involved;</w:t>
      </w:r>
    </w:p>
    <w:p w:rsidR="000C1AFA" w:rsidRPr="001667F7" w:rsidRDefault="000C1AFA" w:rsidP="007229D8">
      <w:pPr>
        <w:spacing w:before="120" w:after="120"/>
        <w:rPr>
          <w:szCs w:val="22"/>
        </w:rPr>
      </w:pPr>
      <w:r w:rsidRPr="001667F7">
        <w:rPr>
          <w:i/>
          <w:iCs/>
          <w:szCs w:val="22"/>
        </w:rPr>
        <w:t>d)</w:t>
      </w:r>
      <w:r w:rsidRPr="001667F7">
        <w:rPr>
          <w:szCs w:val="22"/>
        </w:rPr>
        <w:tab/>
        <w:t xml:space="preserve">that knowledge of the location and operational frequencies of VSAT stations used for communications as an aid to the safe operation of aircraft and/or distribution of meteorological information is critically important for ensuring compatibility with applications of other services, </w:t>
      </w:r>
    </w:p>
    <w:p w:rsidR="000C1AFA" w:rsidRPr="001667F7" w:rsidRDefault="000C1AFA" w:rsidP="000C1AFA">
      <w:pPr>
        <w:pStyle w:val="Call"/>
        <w:rPr>
          <w:sz w:val="22"/>
          <w:szCs w:val="22"/>
        </w:rPr>
      </w:pPr>
      <w:r w:rsidRPr="001667F7">
        <w:rPr>
          <w:sz w:val="22"/>
          <w:szCs w:val="22"/>
        </w:rPr>
        <w:t>recognizing</w:t>
      </w:r>
    </w:p>
    <w:p w:rsidR="000C1AFA" w:rsidRPr="001667F7" w:rsidRDefault="000C1AFA" w:rsidP="00AD415B">
      <w:pPr>
        <w:spacing w:before="120" w:after="120"/>
        <w:rPr>
          <w:szCs w:val="22"/>
        </w:rPr>
      </w:pPr>
      <w:r w:rsidRPr="001667F7">
        <w:rPr>
          <w:i/>
          <w:iCs/>
          <w:szCs w:val="22"/>
        </w:rPr>
        <w:t>a)</w:t>
      </w:r>
      <w:r w:rsidRPr="001667F7">
        <w:rPr>
          <w:szCs w:val="22"/>
        </w:rPr>
        <w:tab/>
        <w:t>that ITU</w:t>
      </w:r>
      <w:r w:rsidR="00AD415B">
        <w:rPr>
          <w:szCs w:val="22"/>
        </w:rPr>
        <w:t>-</w:t>
      </w:r>
      <w:r w:rsidRPr="001667F7">
        <w:rPr>
          <w:szCs w:val="22"/>
        </w:rPr>
        <w:t>R conducted comprehensive studies of compatibility between FSS on the one hand and fixed wireless access systems and IMT applications on the other hand in the frequency band 3 400-4 200 MHz</w:t>
      </w:r>
      <w:r w:rsidRPr="001667F7">
        <w:rPr>
          <w:iCs/>
          <w:szCs w:val="22"/>
        </w:rPr>
        <w:t>,</w:t>
      </w:r>
      <w:r w:rsidRPr="001667F7">
        <w:rPr>
          <w:szCs w:val="22"/>
        </w:rPr>
        <w:t xml:space="preserve"> and summarized the results of the studies in Recommendation ITU</w:t>
      </w:r>
      <w:r w:rsidR="00AD415B">
        <w:rPr>
          <w:szCs w:val="22"/>
        </w:rPr>
        <w:t>-</w:t>
      </w:r>
      <w:r w:rsidRPr="001667F7">
        <w:rPr>
          <w:szCs w:val="22"/>
        </w:rPr>
        <w:t>R SF.1486 as well as Reports ITU</w:t>
      </w:r>
      <w:r w:rsidR="00AD415B">
        <w:rPr>
          <w:szCs w:val="22"/>
        </w:rPr>
        <w:t>-</w:t>
      </w:r>
      <w:r w:rsidRPr="001667F7">
        <w:rPr>
          <w:szCs w:val="22"/>
        </w:rPr>
        <w:t>R S.2199, ITU</w:t>
      </w:r>
      <w:r w:rsidR="00AD415B">
        <w:rPr>
          <w:szCs w:val="22"/>
        </w:rPr>
        <w:t>-</w:t>
      </w:r>
      <w:r w:rsidRPr="001667F7">
        <w:rPr>
          <w:szCs w:val="22"/>
        </w:rPr>
        <w:t>R M.2109 and ITU</w:t>
      </w:r>
      <w:r w:rsidR="00AD415B">
        <w:rPr>
          <w:szCs w:val="22"/>
        </w:rPr>
        <w:t>-</w:t>
      </w:r>
      <w:r w:rsidRPr="001667F7">
        <w:rPr>
          <w:szCs w:val="22"/>
        </w:rPr>
        <w:t>R S.2368;</w:t>
      </w:r>
    </w:p>
    <w:p w:rsidR="000C1AFA" w:rsidRPr="001667F7" w:rsidRDefault="000C1AFA" w:rsidP="007229D8">
      <w:pPr>
        <w:spacing w:before="120" w:after="120"/>
        <w:rPr>
          <w:szCs w:val="22"/>
        </w:rPr>
      </w:pPr>
      <w:r w:rsidRPr="001667F7">
        <w:rPr>
          <w:i/>
          <w:iCs/>
          <w:szCs w:val="22"/>
        </w:rPr>
        <w:t>b)</w:t>
      </w:r>
      <w:r w:rsidRPr="001667F7">
        <w:rPr>
          <w:szCs w:val="22"/>
        </w:rPr>
        <w:tab/>
        <w:t xml:space="preserve">that the Recommendation and Reports identified in </w:t>
      </w:r>
      <w:r w:rsidRPr="001667F7">
        <w:rPr>
          <w:i/>
          <w:szCs w:val="22"/>
        </w:rPr>
        <w:t>recognizing a)</w:t>
      </w:r>
      <w:r w:rsidRPr="001667F7">
        <w:rPr>
          <w:szCs w:val="22"/>
        </w:rPr>
        <w:t xml:space="preserve"> offer a set of mitigation techniques that could be employed for international coordination and at a national level and to facilitate coexistence of FSS, fixed service and mobile service systems;</w:t>
      </w:r>
    </w:p>
    <w:p w:rsidR="000C1AFA" w:rsidRPr="001667F7" w:rsidRDefault="000C1AFA" w:rsidP="00AD415B">
      <w:pPr>
        <w:spacing w:before="120" w:after="120"/>
        <w:rPr>
          <w:szCs w:val="22"/>
        </w:rPr>
      </w:pPr>
      <w:r w:rsidRPr="001667F7">
        <w:rPr>
          <w:i/>
          <w:iCs/>
          <w:szCs w:val="22"/>
        </w:rPr>
        <w:t>c)</w:t>
      </w:r>
      <w:r w:rsidRPr="001667F7">
        <w:rPr>
          <w:szCs w:val="22"/>
        </w:rPr>
        <w:tab/>
        <w:t>that Recommendation ITU</w:t>
      </w:r>
      <w:r w:rsidR="00AD415B">
        <w:rPr>
          <w:szCs w:val="22"/>
        </w:rPr>
        <w:t>-</w:t>
      </w:r>
      <w:r w:rsidRPr="001667F7">
        <w:rPr>
          <w:szCs w:val="22"/>
        </w:rPr>
        <w:t>R S.1856 contains methodologies for verification of compliance with the relevant power flux-density (</w:t>
      </w:r>
      <w:proofErr w:type="spellStart"/>
      <w:r w:rsidRPr="001667F7">
        <w:rPr>
          <w:szCs w:val="22"/>
        </w:rPr>
        <w:t>pfd</w:t>
      </w:r>
      <w:proofErr w:type="spellEnd"/>
      <w:r w:rsidRPr="001667F7">
        <w:rPr>
          <w:szCs w:val="22"/>
        </w:rPr>
        <w:t>) limit set forth in the Radio Regulations,</w:t>
      </w:r>
    </w:p>
    <w:p w:rsidR="000C1AFA" w:rsidRPr="001667F7" w:rsidRDefault="000C1AFA" w:rsidP="000C1AFA">
      <w:pPr>
        <w:pStyle w:val="Call"/>
        <w:rPr>
          <w:sz w:val="22"/>
          <w:szCs w:val="22"/>
        </w:rPr>
      </w:pPr>
      <w:r w:rsidRPr="001667F7">
        <w:rPr>
          <w:sz w:val="22"/>
          <w:szCs w:val="22"/>
        </w:rPr>
        <w:t>resolves</w:t>
      </w:r>
    </w:p>
    <w:p w:rsidR="000C1AFA" w:rsidRPr="001667F7" w:rsidRDefault="000C1AFA" w:rsidP="007229D8">
      <w:pPr>
        <w:spacing w:before="120" w:after="120"/>
        <w:rPr>
          <w:szCs w:val="22"/>
        </w:rPr>
      </w:pPr>
      <w:r w:rsidRPr="001667F7">
        <w:rPr>
          <w:szCs w:val="22"/>
        </w:rPr>
        <w:t>1</w:t>
      </w:r>
      <w:r w:rsidRPr="001667F7">
        <w:rPr>
          <w:szCs w:val="22"/>
        </w:rPr>
        <w:tab/>
        <w:t xml:space="preserve">to recommend that administrations in countries where the frequency band 3 400-3 600 MHz is allocated on a primary basis to the mobile, except aeronautical mobile, service in Region 1 and identified for IMT </w:t>
      </w:r>
      <w:r w:rsidRPr="00EC4CD4">
        <w:rPr>
          <w:szCs w:val="22"/>
        </w:rPr>
        <w:t>in Region 1</w:t>
      </w:r>
      <w:r w:rsidRPr="001667F7">
        <w:rPr>
          <w:szCs w:val="22"/>
        </w:rPr>
        <w:t xml:space="preserve"> ensure compliance of IMT stations with the relevant provisions set forth in the Radio Regulations and apply the relevant coordination procedures before bringing these applications into use; </w:t>
      </w:r>
    </w:p>
    <w:p w:rsidR="000C1AFA" w:rsidRPr="001667F7" w:rsidRDefault="000C1AFA" w:rsidP="007229D8">
      <w:pPr>
        <w:spacing w:before="120" w:after="120"/>
        <w:rPr>
          <w:szCs w:val="22"/>
        </w:rPr>
      </w:pPr>
      <w:r w:rsidRPr="001667F7">
        <w:rPr>
          <w:szCs w:val="22"/>
        </w:rPr>
        <w:t>2</w:t>
      </w:r>
      <w:r w:rsidRPr="001667F7">
        <w:rPr>
          <w:szCs w:val="22"/>
        </w:rPr>
        <w:tab/>
        <w:t>to urge administrations in Region 1, when planning and/or licensing fixed point-to-point</w:t>
      </w:r>
      <w:r w:rsidRPr="001667F7">
        <w:rPr>
          <w:bCs/>
          <w:szCs w:val="22"/>
        </w:rPr>
        <w:t xml:space="preserve">, fixed wireless access and </w:t>
      </w:r>
      <w:r w:rsidRPr="001667F7">
        <w:rPr>
          <w:szCs w:val="22"/>
        </w:rPr>
        <w:t xml:space="preserve">IMT systems in frequency bands referred to in </w:t>
      </w:r>
      <w:r w:rsidRPr="001667F7">
        <w:rPr>
          <w:i/>
          <w:iCs/>
          <w:szCs w:val="22"/>
        </w:rPr>
        <w:t>considering</w:t>
      </w:r>
      <w:r w:rsidRPr="001667F7">
        <w:rPr>
          <w:i/>
          <w:szCs w:val="22"/>
        </w:rPr>
        <w:t> </w:t>
      </w:r>
      <w:r w:rsidRPr="001667F7">
        <w:rPr>
          <w:i/>
          <w:iCs/>
          <w:szCs w:val="22"/>
        </w:rPr>
        <w:t>b)</w:t>
      </w:r>
      <w:r w:rsidRPr="001667F7">
        <w:rPr>
          <w:szCs w:val="22"/>
        </w:rPr>
        <w:t xml:space="preserve"> above, to take into account the protection needs of existing and planned FSS earth stations within the frequency band 3 400</w:t>
      </w:r>
      <w:r w:rsidR="00AD415B">
        <w:rPr>
          <w:szCs w:val="22"/>
        </w:rPr>
        <w:t xml:space="preserve"> </w:t>
      </w:r>
      <w:r w:rsidRPr="001667F7">
        <w:rPr>
          <w:szCs w:val="22"/>
        </w:rPr>
        <w:t>-4 200 MHz, as an aid to the safe operation of aircraft and reliable distribution of meteorological information in some countries in Region 1;</w:t>
      </w:r>
    </w:p>
    <w:p w:rsidR="000C1AFA" w:rsidRPr="001667F7" w:rsidRDefault="000C1AFA" w:rsidP="007229D8">
      <w:pPr>
        <w:spacing w:before="120" w:after="120"/>
        <w:rPr>
          <w:szCs w:val="22"/>
        </w:rPr>
      </w:pPr>
      <w:r w:rsidRPr="001667F7">
        <w:rPr>
          <w:szCs w:val="22"/>
        </w:rPr>
        <w:t>3</w:t>
      </w:r>
      <w:r w:rsidRPr="001667F7">
        <w:rPr>
          <w:szCs w:val="22"/>
        </w:rPr>
        <w:tab/>
        <w:t>to invite administrations in Region 1, taking into account the number of earth stations involved for this particular type of usage, to consider the possibility of licensing the FSS earth stations used for communications as an aid to the safe operation of aircraft and/or distribution of meteorological information on an individual basis and registering them in the MIFR as specific earth stations;</w:t>
      </w:r>
    </w:p>
    <w:p w:rsidR="000C1AFA" w:rsidRPr="001667F7" w:rsidRDefault="000C1AFA" w:rsidP="007229D8">
      <w:pPr>
        <w:spacing w:before="120" w:after="120"/>
        <w:rPr>
          <w:szCs w:val="22"/>
        </w:rPr>
      </w:pPr>
      <w:r w:rsidRPr="001667F7">
        <w:rPr>
          <w:szCs w:val="22"/>
        </w:rPr>
        <w:t>4</w:t>
      </w:r>
      <w:r w:rsidRPr="001667F7">
        <w:rPr>
          <w:szCs w:val="22"/>
        </w:rPr>
        <w:tab/>
        <w:t>to encourage administrations in Region 1 to employ the appropriate mitigation techniques described in the ITU</w:t>
      </w:r>
      <w:r w:rsidRPr="001667F7">
        <w:rPr>
          <w:szCs w:val="22"/>
        </w:rPr>
        <w:noBreakHyphen/>
        <w:t xml:space="preserve">R publications referred to in </w:t>
      </w:r>
      <w:r w:rsidRPr="001667F7">
        <w:rPr>
          <w:i/>
          <w:iCs/>
          <w:szCs w:val="22"/>
        </w:rPr>
        <w:t>recognizing</w:t>
      </w:r>
      <w:r w:rsidRPr="001667F7">
        <w:rPr>
          <w:szCs w:val="22"/>
        </w:rPr>
        <w:t> </w:t>
      </w:r>
      <w:r w:rsidRPr="001667F7">
        <w:rPr>
          <w:i/>
          <w:iCs/>
          <w:szCs w:val="22"/>
        </w:rPr>
        <w:t>a)</w:t>
      </w:r>
      <w:r w:rsidRPr="001667F7">
        <w:rPr>
          <w:szCs w:val="22"/>
        </w:rPr>
        <w:t xml:space="preserve"> above;</w:t>
      </w:r>
    </w:p>
    <w:p w:rsidR="000C1AFA" w:rsidRPr="001667F7" w:rsidRDefault="000C1AFA" w:rsidP="007229D8">
      <w:pPr>
        <w:spacing w:before="120" w:after="120"/>
        <w:rPr>
          <w:szCs w:val="22"/>
        </w:rPr>
      </w:pPr>
      <w:r w:rsidRPr="001667F7">
        <w:rPr>
          <w:szCs w:val="22"/>
        </w:rPr>
        <w:t>5</w:t>
      </w:r>
      <w:r w:rsidRPr="001667F7">
        <w:rPr>
          <w:szCs w:val="22"/>
        </w:rPr>
        <w:tab/>
        <w:t>to invite administrations to ensure that the application of these technical and regulatory measures to FSS and the mobile service does not limit the use of the frequency band 3</w:t>
      </w:r>
      <w:r w:rsidRPr="001667F7">
        <w:rPr>
          <w:i/>
          <w:szCs w:val="22"/>
        </w:rPr>
        <w:t> </w:t>
      </w:r>
      <w:r w:rsidRPr="001667F7">
        <w:rPr>
          <w:szCs w:val="22"/>
        </w:rPr>
        <w:t>400-4</w:t>
      </w:r>
      <w:r w:rsidRPr="001667F7">
        <w:rPr>
          <w:i/>
          <w:szCs w:val="22"/>
        </w:rPr>
        <w:t> </w:t>
      </w:r>
      <w:r w:rsidRPr="001667F7">
        <w:rPr>
          <w:szCs w:val="22"/>
        </w:rPr>
        <w:t>200</w:t>
      </w:r>
      <w:r w:rsidRPr="001667F7">
        <w:rPr>
          <w:i/>
          <w:szCs w:val="22"/>
        </w:rPr>
        <w:t> </w:t>
      </w:r>
      <w:r w:rsidRPr="001667F7">
        <w:rPr>
          <w:szCs w:val="22"/>
        </w:rPr>
        <w:t>MHz by other existing and planned systems and services in other countries,</w:t>
      </w:r>
    </w:p>
    <w:p w:rsidR="000C1AFA" w:rsidRPr="001667F7" w:rsidRDefault="000C1AFA" w:rsidP="000C1AFA">
      <w:pPr>
        <w:pStyle w:val="Call"/>
        <w:rPr>
          <w:sz w:val="22"/>
          <w:szCs w:val="22"/>
        </w:rPr>
      </w:pPr>
      <w:r w:rsidRPr="001667F7">
        <w:rPr>
          <w:sz w:val="22"/>
          <w:szCs w:val="22"/>
        </w:rPr>
        <w:t>instructs the Secretary-General</w:t>
      </w:r>
    </w:p>
    <w:p w:rsidR="000C1AFA" w:rsidRDefault="000C1AFA" w:rsidP="007229D8">
      <w:pPr>
        <w:spacing w:before="120" w:after="120"/>
        <w:rPr>
          <w:szCs w:val="22"/>
        </w:rPr>
      </w:pPr>
      <w:r w:rsidRPr="001667F7">
        <w:rPr>
          <w:szCs w:val="22"/>
        </w:rPr>
        <w:t>to bring this resolution to the attention of ICAO and WMO.</w:t>
      </w:r>
    </w:p>
    <w:p w:rsidR="00355A1F" w:rsidRDefault="00355A1F" w:rsidP="007229D8">
      <w:pPr>
        <w:spacing w:before="120" w:after="120"/>
        <w:rPr>
          <w:szCs w:val="22"/>
        </w:rPr>
      </w:pPr>
    </w:p>
    <w:p w:rsidR="007229D8" w:rsidRPr="001667F7" w:rsidRDefault="00B14809" w:rsidP="00CD5427">
      <w:pPr>
        <w:spacing w:before="120" w:after="120"/>
        <w:jc w:val="center"/>
        <w:rPr>
          <w:szCs w:val="22"/>
          <w:lang w:eastAsia="zh-CN"/>
        </w:rPr>
      </w:pPr>
      <w:r w:rsidRPr="00403442">
        <w:t>______________</w:t>
      </w:r>
      <w:r w:rsidR="007229D8" w:rsidRPr="001667F7">
        <w:rPr>
          <w:szCs w:val="22"/>
          <w:lang w:eastAsia="zh-CN"/>
        </w:rPr>
        <w:br w:type="page"/>
      </w:r>
    </w:p>
    <w:p w:rsidR="00354798" w:rsidRDefault="00D14CF4" w:rsidP="00D14CF4">
      <w:pPr>
        <w:pStyle w:val="TitleMain"/>
        <w:jc w:val="left"/>
        <w:rPr>
          <w:lang w:eastAsia="zh-CN"/>
        </w:rPr>
      </w:pPr>
      <w:r w:rsidRPr="0013369E">
        <w:lastRenderedPageBreak/>
        <w:t xml:space="preserve">WRC-15 Agenda Item </w:t>
      </w:r>
      <w:r>
        <w:t>on</w:t>
      </w:r>
      <w:r w:rsidRPr="00D14CF4">
        <w:t xml:space="preserve"> </w:t>
      </w:r>
      <w:r w:rsidRPr="00D14CF4">
        <w:rPr>
          <w:lang w:val="en-CA"/>
        </w:rPr>
        <w:t xml:space="preserve">Global Flight Tracking, </w:t>
      </w:r>
      <w:r w:rsidRPr="00D14CF4">
        <w:t>Resolution 185 (Busan, 2014): To instruct WRC-15, pursuant to No. 119 of the ITU Convention, to include in its agenda, as a matter of urgency, the consideration of global flight tracking, including, if appropriate, and consistent with ITU practices, various aspects of the matter, taking into account ITU-R studies</w:t>
      </w:r>
    </w:p>
    <w:p w:rsidR="002E7290" w:rsidRDefault="002E7290">
      <w:pPr>
        <w:autoSpaceDE/>
        <w:autoSpaceDN/>
        <w:adjustRightInd/>
        <w:jc w:val="left"/>
        <w:rPr>
          <w:szCs w:val="22"/>
          <w:lang w:eastAsia="zh-CN"/>
        </w:rPr>
      </w:pPr>
    </w:p>
    <w:p w:rsidR="002E7290" w:rsidRDefault="002E7290" w:rsidP="002E7290">
      <w:pPr>
        <w:pStyle w:val="Proposal"/>
      </w:pPr>
      <w:r>
        <w:t>MOD</w:t>
      </w:r>
      <w:r>
        <w:rPr>
          <w:vanish/>
          <w:color w:val="7F7F7F" w:themeColor="text1" w:themeTint="80"/>
          <w:vertAlign w:val="superscript"/>
        </w:rPr>
        <w:t>#31087</w:t>
      </w:r>
    </w:p>
    <w:p w:rsidR="002E7290" w:rsidRPr="003443FC" w:rsidRDefault="002E7290" w:rsidP="002E7290">
      <w:pPr>
        <w:pStyle w:val="Tabletitle"/>
      </w:pPr>
      <w:r w:rsidRPr="003443FC">
        <w:t>890-1 300 MHz</w:t>
      </w:r>
    </w:p>
    <w:tbl>
      <w:tblPr>
        <w:tblW w:w="0" w:type="auto"/>
        <w:jc w:val="center"/>
        <w:tblLayout w:type="fixed"/>
        <w:tblCellMar>
          <w:left w:w="107" w:type="dxa"/>
          <w:right w:w="107" w:type="dxa"/>
        </w:tblCellMar>
        <w:tblLook w:val="04A0" w:firstRow="1" w:lastRow="0" w:firstColumn="1" w:lastColumn="0" w:noHBand="0" w:noVBand="1"/>
      </w:tblPr>
      <w:tblGrid>
        <w:gridCol w:w="9303"/>
      </w:tblGrid>
      <w:tr w:rsidR="002E7290" w:rsidRPr="003443FC" w:rsidTr="00EC4451">
        <w:trPr>
          <w:cantSplit/>
          <w:jc w:val="center"/>
        </w:trPr>
        <w:tc>
          <w:tcPr>
            <w:tcW w:w="9303" w:type="dxa"/>
            <w:tcBorders>
              <w:top w:val="single" w:sz="4" w:space="0" w:color="auto"/>
              <w:left w:val="single" w:sz="4" w:space="0" w:color="auto"/>
              <w:bottom w:val="single" w:sz="4" w:space="0" w:color="auto"/>
              <w:right w:val="single" w:sz="4" w:space="0" w:color="auto"/>
            </w:tcBorders>
            <w:hideMark/>
          </w:tcPr>
          <w:p w:rsidR="002E7290" w:rsidRPr="003443FC" w:rsidRDefault="002E7290" w:rsidP="00EC4451">
            <w:pPr>
              <w:pStyle w:val="Tablehead"/>
            </w:pPr>
            <w:r w:rsidRPr="003443FC">
              <w:t>Allocation to services</w:t>
            </w:r>
          </w:p>
        </w:tc>
      </w:tr>
      <w:tr w:rsidR="002E7290" w:rsidRPr="003443FC" w:rsidTr="00EC4451">
        <w:trPr>
          <w:cantSplit/>
          <w:jc w:val="center"/>
        </w:trPr>
        <w:tc>
          <w:tcPr>
            <w:tcW w:w="9303" w:type="dxa"/>
            <w:tcBorders>
              <w:top w:val="single" w:sz="4" w:space="0" w:color="auto"/>
              <w:left w:val="single" w:sz="4" w:space="0" w:color="auto"/>
              <w:bottom w:val="single" w:sz="4" w:space="0" w:color="auto"/>
              <w:right w:val="single" w:sz="4" w:space="0" w:color="auto"/>
            </w:tcBorders>
            <w:hideMark/>
          </w:tcPr>
          <w:p w:rsidR="002E7290" w:rsidRPr="003443FC" w:rsidRDefault="002E7290" w:rsidP="00EC4451">
            <w:pPr>
              <w:pStyle w:val="TableTextS5"/>
              <w:rPr>
                <w:rStyle w:val="Artref"/>
              </w:rPr>
            </w:pPr>
            <w:r w:rsidRPr="003443FC">
              <w:rPr>
                <w:rStyle w:val="Tablefreq"/>
              </w:rPr>
              <w:t>960-1 164</w:t>
            </w:r>
            <w:r w:rsidRPr="003443FC">
              <w:rPr>
                <w:color w:val="000000"/>
              </w:rPr>
              <w:tab/>
            </w:r>
            <w:r w:rsidRPr="003443FC">
              <w:t xml:space="preserve">AERONAUTICAL MOBILE (R)  </w:t>
            </w:r>
            <w:r w:rsidRPr="003443FC">
              <w:rPr>
                <w:rStyle w:val="Artref"/>
              </w:rPr>
              <w:t xml:space="preserve">5.327A </w:t>
            </w:r>
          </w:p>
          <w:p w:rsidR="002E7290" w:rsidRPr="003443FC" w:rsidRDefault="002E7290" w:rsidP="00EC4451">
            <w:pPr>
              <w:pStyle w:val="TableTextS5"/>
              <w:tabs>
                <w:tab w:val="clear" w:pos="170"/>
                <w:tab w:val="clear" w:pos="567"/>
                <w:tab w:val="clear" w:pos="737"/>
              </w:tabs>
              <w:spacing w:before="20" w:after="20"/>
              <w:rPr>
                <w:rStyle w:val="Artref"/>
                <w:color w:val="000000"/>
              </w:rPr>
            </w:pPr>
            <w:r w:rsidRPr="003443FC">
              <w:rPr>
                <w:color w:val="000000"/>
              </w:rPr>
              <w:tab/>
              <w:t xml:space="preserve">AERONAUTICAL RADIONAVIGATION  </w:t>
            </w:r>
            <w:r w:rsidRPr="003443FC">
              <w:rPr>
                <w:rStyle w:val="Artref"/>
                <w:color w:val="000000"/>
              </w:rPr>
              <w:t>5.328</w:t>
            </w:r>
          </w:p>
          <w:p w:rsidR="002E7290" w:rsidRPr="003443FC" w:rsidRDefault="002E7290" w:rsidP="00EC4451">
            <w:pPr>
              <w:pStyle w:val="TableTextS5"/>
              <w:tabs>
                <w:tab w:val="clear" w:pos="170"/>
                <w:tab w:val="clear" w:pos="567"/>
                <w:tab w:val="clear" w:pos="737"/>
              </w:tabs>
              <w:spacing w:before="20" w:after="20"/>
              <w:rPr>
                <w:rStyle w:val="Artref"/>
              </w:rPr>
            </w:pPr>
            <w:r w:rsidRPr="003443FC">
              <w:rPr>
                <w:color w:val="000000"/>
              </w:rPr>
              <w:tab/>
            </w:r>
            <w:r w:rsidRPr="002E7290">
              <w:rPr>
                <w:rStyle w:val="Artref"/>
                <w:highlight w:val="lightGray"/>
              </w:rPr>
              <w:t>ADD 5.A25</w:t>
            </w:r>
          </w:p>
        </w:tc>
      </w:tr>
    </w:tbl>
    <w:p w:rsidR="002E7290" w:rsidRDefault="002E7290" w:rsidP="002E7290">
      <w:pPr>
        <w:pStyle w:val="Proposal"/>
        <w:rPr>
          <w:vanish/>
          <w:color w:val="7F7F7F" w:themeColor="text1" w:themeTint="80"/>
          <w:vertAlign w:val="superscript"/>
        </w:rPr>
      </w:pPr>
      <w:r>
        <w:t>ADD</w:t>
      </w:r>
      <w:r>
        <w:rPr>
          <w:vanish/>
          <w:color w:val="7F7F7F" w:themeColor="text1" w:themeTint="80"/>
          <w:vertAlign w:val="superscript"/>
        </w:rPr>
        <w:t>#31088</w:t>
      </w:r>
    </w:p>
    <w:p w:rsidR="00AD415B" w:rsidRPr="00AD415B" w:rsidRDefault="00AD415B" w:rsidP="00AD415B"/>
    <w:p w:rsidR="002E7290" w:rsidRPr="003443FC" w:rsidRDefault="002E7290" w:rsidP="00AD415B">
      <w:pPr>
        <w:pStyle w:val="Note"/>
        <w:numPr>
          <w:ilvl w:val="0"/>
          <w:numId w:val="0"/>
        </w:numPr>
      </w:pPr>
      <w:r w:rsidRPr="002E7290">
        <w:rPr>
          <w:rStyle w:val="Artdef"/>
          <w:highlight w:val="lightGray"/>
        </w:rPr>
        <w:t>5.A25</w:t>
      </w:r>
      <w:r w:rsidRPr="003443FC">
        <w:tab/>
        <w:t>The frequency band 1 087.7-1 092.3 MHz is also allocated to the aeronautical mobile-satellite (R) service (Earth</w:t>
      </w:r>
      <w:r w:rsidR="00AD415B">
        <w:t>-</w:t>
      </w:r>
      <w:r w:rsidRPr="003443FC">
        <w:t>to</w:t>
      </w:r>
      <w:r w:rsidR="00AD415B">
        <w:t>-</w:t>
      </w:r>
      <w:r w:rsidRPr="003443FC">
        <w:t>space) on a primary basis, limited to the space station reception of Automatic Dependent Surveillance-Broadcast (ADS</w:t>
      </w:r>
      <w:r w:rsidR="00AD415B">
        <w:t>-</w:t>
      </w:r>
      <w:r w:rsidRPr="003443FC">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3443FC">
        <w:rPr>
          <w:b/>
          <w:bCs/>
        </w:rPr>
        <w:t>COM4/2</w:t>
      </w:r>
      <w:r w:rsidRPr="003443FC">
        <w:t xml:space="preserve"> </w:t>
      </w:r>
      <w:r w:rsidRPr="003443FC">
        <w:rPr>
          <w:b/>
        </w:rPr>
        <w:t>(WRC</w:t>
      </w:r>
      <w:r w:rsidR="00AD415B">
        <w:rPr>
          <w:b/>
        </w:rPr>
        <w:t>-</w:t>
      </w:r>
      <w:r w:rsidRPr="003443FC">
        <w:rPr>
          <w:b/>
        </w:rPr>
        <w:t>15)</w:t>
      </w:r>
      <w:r w:rsidRPr="003443FC">
        <w:t xml:space="preserve"> shall apply.</w:t>
      </w:r>
      <w:r w:rsidRPr="003443FC">
        <w:rPr>
          <w:sz w:val="16"/>
          <w:szCs w:val="12"/>
        </w:rPr>
        <w:t>     (WRC</w:t>
      </w:r>
      <w:r w:rsidRPr="003443FC">
        <w:rPr>
          <w:sz w:val="16"/>
          <w:szCs w:val="12"/>
        </w:rPr>
        <w:noBreakHyphen/>
        <w:t>15)</w:t>
      </w:r>
    </w:p>
    <w:p w:rsidR="002E7290" w:rsidRDefault="002E7290">
      <w:pPr>
        <w:autoSpaceDE/>
        <w:autoSpaceDN/>
        <w:adjustRightInd/>
        <w:jc w:val="left"/>
        <w:rPr>
          <w:szCs w:val="22"/>
          <w:lang w:eastAsia="zh-CN"/>
        </w:rPr>
      </w:pPr>
    </w:p>
    <w:p w:rsidR="002E7290" w:rsidRDefault="002E7290" w:rsidP="002E7290">
      <w:pPr>
        <w:pStyle w:val="Proposal"/>
      </w:pPr>
      <w:r>
        <w:t>ADD</w:t>
      </w:r>
      <w:r>
        <w:rPr>
          <w:vanish/>
          <w:color w:val="7F7F7F" w:themeColor="text1" w:themeTint="80"/>
          <w:vertAlign w:val="superscript"/>
        </w:rPr>
        <w:t>#31089</w:t>
      </w:r>
    </w:p>
    <w:p w:rsidR="002E7290" w:rsidRPr="003443FC" w:rsidRDefault="002E7290" w:rsidP="00CD5427">
      <w:pPr>
        <w:pStyle w:val="ResNo"/>
        <w:spacing w:before="0"/>
      </w:pPr>
      <w:r w:rsidRPr="00CD5427">
        <w:t xml:space="preserve">Resolution </w:t>
      </w:r>
      <w:r w:rsidRPr="00CD5427">
        <w:rPr>
          <w:bCs/>
        </w:rPr>
        <w:t>COM4/2</w:t>
      </w:r>
      <w:r w:rsidRPr="00CD5427">
        <w:t xml:space="preserve"> (WRC-15)</w:t>
      </w:r>
    </w:p>
    <w:p w:rsidR="002E7290" w:rsidRPr="003443FC" w:rsidRDefault="002E7290" w:rsidP="00BE0284">
      <w:pPr>
        <w:pStyle w:val="Restitle"/>
      </w:pPr>
      <w:r w:rsidRPr="003443FC">
        <w:t xml:space="preserve">Use of the frequency band 1 087.7-1 092.3 MHz by the aeronautical </w:t>
      </w:r>
      <w:r>
        <w:br/>
      </w:r>
      <w:r w:rsidRPr="003443FC">
        <w:t>mobile</w:t>
      </w:r>
      <w:r w:rsidR="00BE0284">
        <w:t>-</w:t>
      </w:r>
      <w:r w:rsidRPr="003443FC">
        <w:t xml:space="preserve">satellite (R) service (Earth-to-space) to facilitate </w:t>
      </w:r>
      <w:r>
        <w:br/>
      </w:r>
      <w:r w:rsidRPr="003443FC">
        <w:t>global flight tracking for civil aviation</w:t>
      </w:r>
    </w:p>
    <w:p w:rsidR="002E7290" w:rsidRPr="001667F7" w:rsidRDefault="002E7290" w:rsidP="002E7290">
      <w:pPr>
        <w:pStyle w:val="Normalaftertitle"/>
        <w:rPr>
          <w:sz w:val="22"/>
          <w:szCs w:val="22"/>
        </w:rPr>
      </w:pPr>
      <w:r w:rsidRPr="001667F7">
        <w:rPr>
          <w:sz w:val="22"/>
          <w:szCs w:val="22"/>
        </w:rPr>
        <w:t>The World Radiocommunication Conference (Geneva, 2015),</w:t>
      </w:r>
    </w:p>
    <w:p w:rsidR="002E7290" w:rsidRPr="001667F7" w:rsidRDefault="002E7290" w:rsidP="002E7290">
      <w:pPr>
        <w:pStyle w:val="Call"/>
        <w:rPr>
          <w:sz w:val="22"/>
          <w:szCs w:val="22"/>
        </w:rPr>
      </w:pPr>
      <w:r w:rsidRPr="001667F7">
        <w:rPr>
          <w:sz w:val="22"/>
          <w:szCs w:val="22"/>
        </w:rPr>
        <w:t>considering</w:t>
      </w:r>
    </w:p>
    <w:p w:rsidR="002E7290" w:rsidRPr="001667F7" w:rsidRDefault="002E7290" w:rsidP="00AD415B">
      <w:pPr>
        <w:spacing w:before="120" w:after="120"/>
        <w:rPr>
          <w:szCs w:val="22"/>
        </w:rPr>
      </w:pPr>
      <w:r w:rsidRPr="001667F7">
        <w:rPr>
          <w:i/>
          <w:iCs/>
          <w:szCs w:val="22"/>
        </w:rPr>
        <w:t>a)</w:t>
      </w:r>
      <w:r w:rsidRPr="001667F7">
        <w:rPr>
          <w:szCs w:val="22"/>
        </w:rPr>
        <w:tab/>
        <w:t>that Resolution 185 (Busan, 2014) of the Plenipotentiary Conference instructed WRC</w:t>
      </w:r>
      <w:r w:rsidR="00AD415B">
        <w:rPr>
          <w:szCs w:val="22"/>
        </w:rPr>
        <w:t>-</w:t>
      </w:r>
      <w:r w:rsidRPr="001667F7">
        <w:rPr>
          <w:szCs w:val="22"/>
        </w:rPr>
        <w:t>15, pursuant to No. 119 of the ITU Convention, to include in its agenda, as a matter of urgency, the consideration of global flight tracking, including, if appropriate, and consistent with ITU practices, various aspects of the matter, taking into account ITU</w:t>
      </w:r>
      <w:r w:rsidR="00AD415B">
        <w:rPr>
          <w:szCs w:val="22"/>
        </w:rPr>
        <w:t>-</w:t>
      </w:r>
      <w:r w:rsidRPr="001667F7">
        <w:rPr>
          <w:szCs w:val="22"/>
        </w:rPr>
        <w:t>R studies;</w:t>
      </w:r>
    </w:p>
    <w:p w:rsidR="002E7290" w:rsidRPr="001667F7" w:rsidRDefault="002E7290" w:rsidP="002E7290">
      <w:pPr>
        <w:spacing w:before="120" w:after="120"/>
        <w:rPr>
          <w:szCs w:val="22"/>
        </w:rPr>
      </w:pPr>
      <w:r w:rsidRPr="001667F7">
        <w:rPr>
          <w:i/>
          <w:iCs/>
          <w:szCs w:val="22"/>
        </w:rPr>
        <w:t>b)</w:t>
      </w:r>
      <w:r w:rsidRPr="001667F7">
        <w:rPr>
          <w:szCs w:val="22"/>
        </w:rPr>
        <w:tab/>
        <w:t>that the frequency band 960</w:t>
      </w:r>
      <w:r w:rsidR="00BE0284">
        <w:rPr>
          <w:szCs w:val="22"/>
        </w:rPr>
        <w:t xml:space="preserve"> </w:t>
      </w:r>
      <w:r w:rsidRPr="001667F7">
        <w:rPr>
          <w:szCs w:val="22"/>
        </w:rPr>
        <w:t>-</w:t>
      </w:r>
      <w:r w:rsidR="00BE0284">
        <w:rPr>
          <w:szCs w:val="22"/>
        </w:rPr>
        <w:t xml:space="preserve"> </w:t>
      </w:r>
      <w:r w:rsidRPr="001667F7">
        <w:rPr>
          <w:szCs w:val="22"/>
        </w:rPr>
        <w:t xml:space="preserve">1 164 MHz is allocated to the aeronautical radionavigation service (ARNS) and the aeronautical mobile (R) service (AM(R)S); </w:t>
      </w:r>
    </w:p>
    <w:p w:rsidR="002E7290" w:rsidRPr="001667F7" w:rsidRDefault="002E7290" w:rsidP="002E7290">
      <w:pPr>
        <w:spacing w:before="120" w:after="120"/>
        <w:rPr>
          <w:szCs w:val="22"/>
        </w:rPr>
      </w:pPr>
      <w:r w:rsidRPr="001667F7">
        <w:rPr>
          <w:i/>
          <w:iCs/>
          <w:szCs w:val="22"/>
        </w:rPr>
        <w:t>c)</w:t>
      </w:r>
      <w:r w:rsidRPr="001667F7">
        <w:rPr>
          <w:szCs w:val="22"/>
        </w:rPr>
        <w:tab/>
        <w:t>that the frequency band 960</w:t>
      </w:r>
      <w:r w:rsidR="00BE0284">
        <w:rPr>
          <w:szCs w:val="22"/>
        </w:rPr>
        <w:t xml:space="preserve"> </w:t>
      </w:r>
      <w:r w:rsidRPr="001667F7">
        <w:rPr>
          <w:szCs w:val="22"/>
        </w:rPr>
        <w:t>-</w:t>
      </w:r>
      <w:r w:rsidR="00BE0284">
        <w:rPr>
          <w:szCs w:val="22"/>
        </w:rPr>
        <w:t xml:space="preserve"> </w:t>
      </w:r>
      <w:r w:rsidRPr="001667F7">
        <w:rPr>
          <w:szCs w:val="22"/>
        </w:rPr>
        <w:t>1 164 MHz is used by International Civil Aviation Organization (ICAO) standardized and non-ICAO systems, thus creating a complex interference environment;</w:t>
      </w:r>
    </w:p>
    <w:p w:rsidR="002E7290" w:rsidRPr="001667F7" w:rsidRDefault="002E7290" w:rsidP="00BE0284">
      <w:pPr>
        <w:spacing w:before="120" w:after="120"/>
        <w:rPr>
          <w:szCs w:val="22"/>
        </w:rPr>
      </w:pPr>
      <w:r w:rsidRPr="001667F7">
        <w:rPr>
          <w:i/>
          <w:iCs/>
          <w:szCs w:val="22"/>
        </w:rPr>
        <w:t>d)</w:t>
      </w:r>
      <w:r w:rsidRPr="001667F7">
        <w:rPr>
          <w:szCs w:val="22"/>
        </w:rPr>
        <w:tab/>
        <w:t>that Automatic Dependent Surveillance-Broadcast (ADS</w:t>
      </w:r>
      <w:r w:rsidR="00BE0284">
        <w:rPr>
          <w:szCs w:val="22"/>
        </w:rPr>
        <w:t>-</w:t>
      </w:r>
      <w:r w:rsidRPr="001667F7">
        <w:rPr>
          <w:szCs w:val="22"/>
        </w:rPr>
        <w:t>B) is defined by ICAO, and involves aircraft transmission of data such as identification and position;</w:t>
      </w:r>
    </w:p>
    <w:p w:rsidR="002E7290" w:rsidRPr="001667F7" w:rsidRDefault="002E7290" w:rsidP="00BE0284">
      <w:pPr>
        <w:spacing w:before="120" w:after="120"/>
        <w:rPr>
          <w:szCs w:val="22"/>
        </w:rPr>
      </w:pPr>
      <w:r w:rsidRPr="001667F7">
        <w:rPr>
          <w:i/>
          <w:szCs w:val="22"/>
        </w:rPr>
        <w:t>e)</w:t>
      </w:r>
      <w:r w:rsidRPr="001667F7">
        <w:rPr>
          <w:i/>
          <w:szCs w:val="22"/>
        </w:rPr>
        <w:tab/>
      </w:r>
      <w:r w:rsidRPr="001667F7">
        <w:rPr>
          <w:iCs/>
          <w:szCs w:val="22"/>
        </w:rPr>
        <w:t xml:space="preserve">that </w:t>
      </w:r>
      <w:r w:rsidRPr="001667F7">
        <w:rPr>
          <w:szCs w:val="22"/>
        </w:rPr>
        <w:t>the frequency band 1 087.7</w:t>
      </w:r>
      <w:r w:rsidR="00AD415B">
        <w:rPr>
          <w:szCs w:val="22"/>
        </w:rPr>
        <w:t xml:space="preserve"> </w:t>
      </w:r>
      <w:r w:rsidRPr="001667F7">
        <w:rPr>
          <w:szCs w:val="22"/>
        </w:rPr>
        <w:t>-</w:t>
      </w:r>
      <w:r w:rsidR="00AD415B">
        <w:rPr>
          <w:szCs w:val="22"/>
        </w:rPr>
        <w:t xml:space="preserve"> </w:t>
      </w:r>
      <w:r w:rsidRPr="001667F7">
        <w:rPr>
          <w:szCs w:val="22"/>
        </w:rPr>
        <w:t>1 092.3 MHz is currently utilized for terrestrial transmission and reception of ADS</w:t>
      </w:r>
      <w:r w:rsidR="00BE0284">
        <w:rPr>
          <w:szCs w:val="22"/>
        </w:rPr>
        <w:t>-</w:t>
      </w:r>
      <w:r w:rsidRPr="001667F7">
        <w:rPr>
          <w:szCs w:val="22"/>
        </w:rPr>
        <w:t>B signals in accordance with ICAO standards, involving transmissions from aircraft to terrestrial stations on the ground within line-of-sight;</w:t>
      </w:r>
    </w:p>
    <w:p w:rsidR="002E7290" w:rsidRPr="001667F7" w:rsidRDefault="002E7290" w:rsidP="00BE0284">
      <w:pPr>
        <w:spacing w:before="120" w:after="120"/>
        <w:rPr>
          <w:i/>
          <w:szCs w:val="22"/>
        </w:rPr>
      </w:pPr>
      <w:r w:rsidRPr="001667F7">
        <w:rPr>
          <w:i/>
          <w:iCs/>
          <w:szCs w:val="22"/>
        </w:rPr>
        <w:lastRenderedPageBreak/>
        <w:t>f)</w:t>
      </w:r>
      <w:r w:rsidRPr="001667F7">
        <w:rPr>
          <w:i/>
          <w:iCs/>
          <w:szCs w:val="22"/>
        </w:rPr>
        <w:tab/>
      </w:r>
      <w:r w:rsidRPr="001667F7">
        <w:rPr>
          <w:szCs w:val="22"/>
        </w:rPr>
        <w:t>that this conference allocated the frequency band 1 087.7-1 092.3 MHz to the aeronautical mobile-satellite (R) service (AMS(R)S) in the Earth</w:t>
      </w:r>
      <w:r w:rsidR="00BE0284">
        <w:rPr>
          <w:szCs w:val="22"/>
        </w:rPr>
        <w:t>-</w:t>
      </w:r>
      <w:r w:rsidRPr="001667F7">
        <w:rPr>
          <w:szCs w:val="22"/>
        </w:rPr>
        <w:t>to</w:t>
      </w:r>
      <w:r w:rsidR="00BE0284">
        <w:rPr>
          <w:szCs w:val="22"/>
        </w:rPr>
        <w:t>-</w:t>
      </w:r>
      <w:r w:rsidRPr="001667F7">
        <w:rPr>
          <w:szCs w:val="22"/>
        </w:rPr>
        <w:t>space direction, limited to the space station reception of ADS</w:t>
      </w:r>
      <w:r w:rsidR="00BE0284">
        <w:rPr>
          <w:szCs w:val="22"/>
        </w:rPr>
        <w:t>-</w:t>
      </w:r>
      <w:r w:rsidRPr="001667F7">
        <w:rPr>
          <w:szCs w:val="22"/>
        </w:rPr>
        <w:t xml:space="preserve">B emissions from aircraft transmitters that operate in accordance with recognized international aeronautical standards; </w:t>
      </w:r>
    </w:p>
    <w:p w:rsidR="002E7290" w:rsidRPr="001667F7" w:rsidRDefault="002E7290" w:rsidP="00BE0284">
      <w:pPr>
        <w:spacing w:before="120" w:after="120"/>
        <w:rPr>
          <w:szCs w:val="22"/>
        </w:rPr>
      </w:pPr>
      <w:r w:rsidRPr="001667F7">
        <w:rPr>
          <w:i/>
          <w:szCs w:val="22"/>
        </w:rPr>
        <w:t>g)</w:t>
      </w:r>
      <w:r w:rsidRPr="001667F7">
        <w:rPr>
          <w:i/>
          <w:szCs w:val="22"/>
        </w:rPr>
        <w:tab/>
      </w:r>
      <w:r w:rsidRPr="001667F7">
        <w:rPr>
          <w:szCs w:val="22"/>
        </w:rPr>
        <w:t>that the allocation of the frequency band 1 087.7-1 092.3 MHz to AMS(R)S is to extend reception of currently transmitted ADS</w:t>
      </w:r>
      <w:r w:rsidR="00BE0284">
        <w:rPr>
          <w:szCs w:val="22"/>
        </w:rPr>
        <w:t>-</w:t>
      </w:r>
      <w:r w:rsidRPr="001667F7">
        <w:rPr>
          <w:szCs w:val="22"/>
        </w:rPr>
        <w:t>B signals beyond terrestrial line-of-sight, to facilitate reporting the position of ADS</w:t>
      </w:r>
      <w:r w:rsidR="00BE0284">
        <w:rPr>
          <w:szCs w:val="22"/>
        </w:rPr>
        <w:t>-</w:t>
      </w:r>
      <w:r w:rsidRPr="001667F7">
        <w:rPr>
          <w:szCs w:val="22"/>
        </w:rPr>
        <w:t>B equipped aircraft located anywhere in the world;</w:t>
      </w:r>
    </w:p>
    <w:p w:rsidR="002E7290" w:rsidRPr="001667F7" w:rsidRDefault="002E7290" w:rsidP="002E7290">
      <w:pPr>
        <w:spacing w:before="120" w:after="120"/>
        <w:rPr>
          <w:szCs w:val="22"/>
        </w:rPr>
      </w:pPr>
      <w:r w:rsidRPr="001667F7">
        <w:rPr>
          <w:i/>
          <w:szCs w:val="22"/>
        </w:rPr>
        <w:t>h)</w:t>
      </w:r>
      <w:r w:rsidRPr="001667F7">
        <w:rPr>
          <w:i/>
          <w:szCs w:val="22"/>
        </w:rPr>
        <w:tab/>
      </w:r>
      <w:r w:rsidRPr="001667F7">
        <w:rPr>
          <w:szCs w:val="22"/>
        </w:rPr>
        <w:t xml:space="preserve">that, taking into account </w:t>
      </w:r>
      <w:r w:rsidRPr="001667F7">
        <w:rPr>
          <w:i/>
          <w:szCs w:val="22"/>
        </w:rPr>
        <w:t>considering c)</w:t>
      </w:r>
      <w:r w:rsidRPr="001667F7">
        <w:rPr>
          <w:szCs w:val="22"/>
        </w:rPr>
        <w:t xml:space="preserve">, use of the frequency band 1 087.7-1 092.3 MHz requires some administrations to control all users to ensure proper operation of all terrestrial systems, </w:t>
      </w:r>
    </w:p>
    <w:p w:rsidR="002E7290" w:rsidRPr="001667F7" w:rsidRDefault="002E7290" w:rsidP="002E7290">
      <w:pPr>
        <w:pStyle w:val="Call"/>
        <w:rPr>
          <w:sz w:val="22"/>
          <w:szCs w:val="22"/>
        </w:rPr>
      </w:pPr>
      <w:r w:rsidRPr="001667F7">
        <w:rPr>
          <w:sz w:val="22"/>
          <w:szCs w:val="22"/>
        </w:rPr>
        <w:t>recognizing</w:t>
      </w:r>
    </w:p>
    <w:p w:rsidR="002E7290" w:rsidRPr="001667F7" w:rsidRDefault="002E7290" w:rsidP="002E7290">
      <w:pPr>
        <w:spacing w:before="120" w:after="120"/>
        <w:rPr>
          <w:szCs w:val="22"/>
        </w:rPr>
      </w:pPr>
      <w:r w:rsidRPr="001667F7">
        <w:rPr>
          <w:i/>
          <w:iCs/>
          <w:szCs w:val="22"/>
        </w:rPr>
        <w:t>a)</w:t>
      </w:r>
      <w:r w:rsidRPr="001667F7">
        <w:rPr>
          <w:szCs w:val="22"/>
        </w:rPr>
        <w:tab/>
        <w:t>that ICAO develops Standards and Recommended Practices (SARPs) for systems enabling position determination and tracking of aircraft;</w:t>
      </w:r>
    </w:p>
    <w:p w:rsidR="002E7290" w:rsidRPr="001667F7" w:rsidRDefault="002E7290" w:rsidP="00BE0284">
      <w:pPr>
        <w:spacing w:before="120" w:after="120"/>
        <w:rPr>
          <w:szCs w:val="22"/>
        </w:rPr>
      </w:pPr>
      <w:r w:rsidRPr="001667F7">
        <w:rPr>
          <w:i/>
          <w:iCs/>
          <w:szCs w:val="22"/>
        </w:rPr>
        <w:t>b)</w:t>
      </w:r>
      <w:r w:rsidRPr="001667F7">
        <w:rPr>
          <w:szCs w:val="22"/>
        </w:rPr>
        <w:tab/>
        <w:t>that Annex 10 to the Convention on International Civil Aviation contains SARPs for terrestrial ADS</w:t>
      </w:r>
      <w:r w:rsidR="00BE0284">
        <w:rPr>
          <w:szCs w:val="22"/>
        </w:rPr>
        <w:t>-</w:t>
      </w:r>
      <w:r w:rsidRPr="001667F7">
        <w:rPr>
          <w:szCs w:val="22"/>
        </w:rPr>
        <w:t xml:space="preserve">B usage of the frequency band 1 087.7-1 092.3 MHz, </w:t>
      </w:r>
    </w:p>
    <w:p w:rsidR="002E7290" w:rsidRPr="001667F7" w:rsidRDefault="002E7290" w:rsidP="002E7290">
      <w:pPr>
        <w:pStyle w:val="Call"/>
        <w:rPr>
          <w:sz w:val="22"/>
          <w:szCs w:val="22"/>
        </w:rPr>
      </w:pPr>
      <w:r w:rsidRPr="001667F7">
        <w:rPr>
          <w:sz w:val="22"/>
          <w:szCs w:val="22"/>
        </w:rPr>
        <w:t>noting</w:t>
      </w:r>
    </w:p>
    <w:p w:rsidR="002E7290" w:rsidRPr="001667F7" w:rsidRDefault="002E7290" w:rsidP="00BE0284">
      <w:pPr>
        <w:spacing w:before="120" w:after="120"/>
        <w:rPr>
          <w:szCs w:val="22"/>
        </w:rPr>
      </w:pPr>
      <w:r w:rsidRPr="001667F7">
        <w:rPr>
          <w:szCs w:val="22"/>
        </w:rPr>
        <w:t>that the development of performance criteria for space station reception of ADS</w:t>
      </w:r>
      <w:r w:rsidR="00BE0284">
        <w:rPr>
          <w:szCs w:val="22"/>
        </w:rPr>
        <w:t>-</w:t>
      </w:r>
      <w:r w:rsidRPr="001667F7">
        <w:rPr>
          <w:szCs w:val="22"/>
        </w:rPr>
        <w:t>B operating under the provisions of No. </w:t>
      </w:r>
      <w:r w:rsidRPr="001667F7">
        <w:rPr>
          <w:b/>
          <w:szCs w:val="22"/>
        </w:rPr>
        <w:t>5.A25</w:t>
      </w:r>
      <w:r w:rsidRPr="001667F7">
        <w:rPr>
          <w:szCs w:val="22"/>
        </w:rPr>
        <w:t>, including whether such criteria would require modifications to ICAO standard ADS</w:t>
      </w:r>
      <w:r w:rsidR="00BE0284">
        <w:rPr>
          <w:szCs w:val="22"/>
        </w:rPr>
        <w:t>-</w:t>
      </w:r>
      <w:r w:rsidRPr="001667F7">
        <w:rPr>
          <w:szCs w:val="22"/>
        </w:rPr>
        <w:t>B equipment, is the responsibility of ICAO,</w:t>
      </w:r>
    </w:p>
    <w:p w:rsidR="002E7290" w:rsidRPr="001667F7" w:rsidRDefault="002E7290" w:rsidP="002E7290">
      <w:pPr>
        <w:pStyle w:val="Call"/>
        <w:rPr>
          <w:sz w:val="22"/>
          <w:szCs w:val="22"/>
        </w:rPr>
      </w:pPr>
      <w:r w:rsidRPr="001667F7">
        <w:rPr>
          <w:sz w:val="22"/>
          <w:szCs w:val="22"/>
        </w:rPr>
        <w:t>resolves</w:t>
      </w:r>
    </w:p>
    <w:p w:rsidR="002E7290" w:rsidRPr="001667F7" w:rsidRDefault="002E7290" w:rsidP="002E7290">
      <w:pPr>
        <w:spacing w:before="120" w:after="120"/>
        <w:rPr>
          <w:szCs w:val="22"/>
        </w:rPr>
      </w:pPr>
      <w:r w:rsidRPr="001667F7">
        <w:rPr>
          <w:szCs w:val="22"/>
        </w:rPr>
        <w:t>1</w:t>
      </w:r>
      <w:r w:rsidRPr="001667F7">
        <w:rPr>
          <w:szCs w:val="22"/>
        </w:rPr>
        <w:tab/>
        <w:t>that the use of the frequency band 1 087.7</w:t>
      </w:r>
      <w:r w:rsidR="00BE0284">
        <w:rPr>
          <w:szCs w:val="22"/>
        </w:rPr>
        <w:t xml:space="preserve"> </w:t>
      </w:r>
      <w:r w:rsidRPr="001667F7">
        <w:rPr>
          <w:szCs w:val="22"/>
        </w:rPr>
        <w:t>-</w:t>
      </w:r>
      <w:r w:rsidR="00BE0284">
        <w:rPr>
          <w:szCs w:val="22"/>
        </w:rPr>
        <w:t xml:space="preserve"> </w:t>
      </w:r>
      <w:r w:rsidRPr="001667F7">
        <w:rPr>
          <w:szCs w:val="22"/>
        </w:rPr>
        <w:t xml:space="preserve">1 092.3 MHz by AMS(R)S systems shall be in accordance with </w:t>
      </w:r>
      <w:r w:rsidRPr="001667F7">
        <w:rPr>
          <w:bCs/>
          <w:szCs w:val="22"/>
        </w:rPr>
        <w:t>recognized international aeronautical standards</w:t>
      </w:r>
      <w:r w:rsidRPr="001667F7">
        <w:rPr>
          <w:szCs w:val="22"/>
        </w:rPr>
        <w:t>;</w:t>
      </w:r>
    </w:p>
    <w:p w:rsidR="002E7290" w:rsidRPr="001667F7" w:rsidRDefault="002E7290" w:rsidP="002E7290">
      <w:pPr>
        <w:spacing w:before="120" w:after="120"/>
        <w:rPr>
          <w:szCs w:val="22"/>
        </w:rPr>
      </w:pPr>
      <w:r w:rsidRPr="001667F7">
        <w:rPr>
          <w:szCs w:val="22"/>
        </w:rPr>
        <w:t>2</w:t>
      </w:r>
      <w:r w:rsidRPr="001667F7">
        <w:rPr>
          <w:szCs w:val="22"/>
        </w:rPr>
        <w:tab/>
        <w:t>that AMS(R)S systems (Earth-to-space) in the frequency band 1 087.7</w:t>
      </w:r>
      <w:r w:rsidR="00BE0284">
        <w:rPr>
          <w:szCs w:val="22"/>
        </w:rPr>
        <w:t xml:space="preserve"> </w:t>
      </w:r>
      <w:r w:rsidRPr="001667F7">
        <w:rPr>
          <w:szCs w:val="22"/>
        </w:rPr>
        <w:t>-</w:t>
      </w:r>
      <w:r w:rsidR="00BE0284">
        <w:rPr>
          <w:szCs w:val="22"/>
        </w:rPr>
        <w:t xml:space="preserve"> </w:t>
      </w:r>
      <w:r w:rsidRPr="001667F7">
        <w:rPr>
          <w:szCs w:val="22"/>
        </w:rPr>
        <w:t xml:space="preserve">1 092.3 MHz shall be designed so that they can operate in the interference environment as described in </w:t>
      </w:r>
      <w:r w:rsidRPr="001667F7">
        <w:rPr>
          <w:i/>
          <w:szCs w:val="22"/>
        </w:rPr>
        <w:t>considering c)</w:t>
      </w:r>
      <w:r w:rsidRPr="001667F7">
        <w:rPr>
          <w:szCs w:val="22"/>
        </w:rPr>
        <w:t>;</w:t>
      </w:r>
    </w:p>
    <w:p w:rsidR="002E7290" w:rsidRPr="001667F7" w:rsidRDefault="002E7290" w:rsidP="00BE0284">
      <w:pPr>
        <w:spacing w:before="120" w:after="120"/>
        <w:rPr>
          <w:szCs w:val="22"/>
        </w:rPr>
      </w:pPr>
      <w:r w:rsidRPr="001667F7">
        <w:rPr>
          <w:szCs w:val="22"/>
        </w:rPr>
        <w:t>3</w:t>
      </w:r>
      <w:r w:rsidRPr="001667F7">
        <w:rPr>
          <w:szCs w:val="22"/>
        </w:rPr>
        <w:tab/>
        <w:t xml:space="preserve">that, taking into account </w:t>
      </w:r>
      <w:r w:rsidRPr="001667F7">
        <w:rPr>
          <w:i/>
          <w:szCs w:val="22"/>
        </w:rPr>
        <w:t>resolves </w:t>
      </w:r>
      <w:r w:rsidRPr="001667F7">
        <w:rPr>
          <w:iCs/>
          <w:szCs w:val="22"/>
        </w:rPr>
        <w:t>2</w:t>
      </w:r>
      <w:r w:rsidRPr="001667F7">
        <w:rPr>
          <w:szCs w:val="22"/>
        </w:rPr>
        <w:t>, AMS(R)S use of the frequency band 1 087.7</w:t>
      </w:r>
      <w:r w:rsidR="00BE0284">
        <w:rPr>
          <w:szCs w:val="22"/>
        </w:rPr>
        <w:t xml:space="preserve"> - </w:t>
      </w:r>
      <w:r w:rsidRPr="001667F7">
        <w:rPr>
          <w:szCs w:val="22"/>
        </w:rPr>
        <w:t xml:space="preserve">1 092.3 MHz shall not constrain administrations which have responsibilities as referred to in </w:t>
      </w:r>
      <w:r w:rsidRPr="001667F7">
        <w:rPr>
          <w:i/>
          <w:iCs/>
          <w:szCs w:val="22"/>
        </w:rPr>
        <w:t>considering h)</w:t>
      </w:r>
      <w:r w:rsidRPr="001667F7">
        <w:rPr>
          <w:iCs/>
          <w:szCs w:val="22"/>
        </w:rPr>
        <w:t>,</w:t>
      </w:r>
    </w:p>
    <w:p w:rsidR="002E7290" w:rsidRPr="001667F7" w:rsidRDefault="002E7290" w:rsidP="002E7290">
      <w:pPr>
        <w:pStyle w:val="Call"/>
        <w:rPr>
          <w:sz w:val="22"/>
          <w:szCs w:val="22"/>
        </w:rPr>
      </w:pPr>
      <w:r w:rsidRPr="001667F7">
        <w:rPr>
          <w:sz w:val="22"/>
          <w:szCs w:val="22"/>
        </w:rPr>
        <w:t>invites the ITU Radiocommunication Sector</w:t>
      </w:r>
    </w:p>
    <w:p w:rsidR="002E7290" w:rsidRPr="001667F7" w:rsidRDefault="002E7290" w:rsidP="00BE0284">
      <w:pPr>
        <w:spacing w:before="120" w:after="120"/>
        <w:rPr>
          <w:szCs w:val="22"/>
        </w:rPr>
      </w:pPr>
      <w:r w:rsidRPr="001667F7">
        <w:rPr>
          <w:szCs w:val="22"/>
        </w:rPr>
        <w:t>to complete, as a matter of urgency, the studies related to the space station reception of ADS</w:t>
      </w:r>
      <w:r w:rsidR="00BE0284">
        <w:rPr>
          <w:szCs w:val="22"/>
        </w:rPr>
        <w:t>-</w:t>
      </w:r>
      <w:r w:rsidRPr="001667F7">
        <w:rPr>
          <w:szCs w:val="22"/>
        </w:rPr>
        <w:t>B in the frequency band 1 087.7</w:t>
      </w:r>
      <w:r w:rsidR="00BE0284">
        <w:rPr>
          <w:szCs w:val="22"/>
        </w:rPr>
        <w:t xml:space="preserve"> - </w:t>
      </w:r>
      <w:r w:rsidRPr="001667F7">
        <w:rPr>
          <w:szCs w:val="22"/>
        </w:rPr>
        <w:t>1 092.3 MHz,</w:t>
      </w:r>
    </w:p>
    <w:p w:rsidR="002E7290" w:rsidRPr="001667F7" w:rsidRDefault="002E7290" w:rsidP="002E7290">
      <w:pPr>
        <w:pStyle w:val="Call"/>
        <w:rPr>
          <w:sz w:val="22"/>
          <w:szCs w:val="22"/>
        </w:rPr>
      </w:pPr>
      <w:r w:rsidRPr="001667F7">
        <w:rPr>
          <w:sz w:val="22"/>
          <w:szCs w:val="22"/>
        </w:rPr>
        <w:t>further invites the International Civil Aviation Organization</w:t>
      </w:r>
    </w:p>
    <w:p w:rsidR="002E7290" w:rsidRPr="001667F7" w:rsidRDefault="002E7290" w:rsidP="00D14CF4">
      <w:pPr>
        <w:spacing w:before="120" w:after="120"/>
        <w:rPr>
          <w:szCs w:val="22"/>
        </w:rPr>
      </w:pPr>
      <w:r w:rsidRPr="001667F7">
        <w:rPr>
          <w:szCs w:val="22"/>
        </w:rPr>
        <w:t>to continue to participate in the studies,</w:t>
      </w:r>
    </w:p>
    <w:p w:rsidR="002E7290" w:rsidRPr="001667F7" w:rsidRDefault="002E7290" w:rsidP="002E7290">
      <w:pPr>
        <w:pStyle w:val="Call"/>
        <w:rPr>
          <w:sz w:val="22"/>
          <w:szCs w:val="22"/>
        </w:rPr>
      </w:pPr>
      <w:r w:rsidRPr="001667F7">
        <w:rPr>
          <w:sz w:val="22"/>
          <w:szCs w:val="22"/>
        </w:rPr>
        <w:t>instructs the Secretary-General</w:t>
      </w:r>
    </w:p>
    <w:p w:rsidR="00355A1F" w:rsidRDefault="002E7290" w:rsidP="00537BD7">
      <w:pPr>
        <w:spacing w:before="120" w:after="120"/>
        <w:rPr>
          <w:szCs w:val="22"/>
        </w:rPr>
      </w:pPr>
      <w:r w:rsidRPr="001667F7">
        <w:rPr>
          <w:szCs w:val="22"/>
        </w:rPr>
        <w:t>to bring this resolution to the attention of ICAO and communicate the results of the studies when available.</w:t>
      </w:r>
    </w:p>
    <w:p w:rsidR="00355A1F" w:rsidRDefault="00355A1F" w:rsidP="00CD5427">
      <w:pPr>
        <w:spacing w:before="120" w:after="120"/>
        <w:rPr>
          <w:szCs w:val="22"/>
        </w:rPr>
      </w:pPr>
    </w:p>
    <w:p w:rsidR="00B14809" w:rsidRPr="001667F7" w:rsidRDefault="00B14809" w:rsidP="00B14809">
      <w:pPr>
        <w:spacing w:before="120" w:after="120"/>
        <w:jc w:val="center"/>
        <w:rPr>
          <w:szCs w:val="22"/>
        </w:rPr>
      </w:pPr>
      <w:r w:rsidRPr="00403442">
        <w:t>______________</w:t>
      </w:r>
    </w:p>
    <w:p w:rsidR="00D14CF4" w:rsidRDefault="00D14CF4">
      <w:pPr>
        <w:autoSpaceDE/>
        <w:autoSpaceDN/>
        <w:adjustRightInd/>
        <w:jc w:val="left"/>
        <w:rPr>
          <w:szCs w:val="22"/>
          <w:lang w:eastAsia="zh-CN"/>
        </w:rPr>
      </w:pPr>
      <w:r>
        <w:rPr>
          <w:szCs w:val="22"/>
          <w:lang w:eastAsia="zh-CN"/>
        </w:rPr>
        <w:br w:type="page"/>
      </w:r>
    </w:p>
    <w:p w:rsidR="00D14CF4" w:rsidRPr="001667F7" w:rsidRDefault="00D14CF4" w:rsidP="001667F7">
      <w:pPr>
        <w:pStyle w:val="TitleMain"/>
        <w:jc w:val="left"/>
        <w:rPr>
          <w:sz w:val="24"/>
          <w:szCs w:val="24"/>
        </w:rPr>
      </w:pPr>
      <w:r w:rsidRPr="001667F7">
        <w:rPr>
          <w:sz w:val="24"/>
          <w:szCs w:val="24"/>
        </w:rPr>
        <w:lastRenderedPageBreak/>
        <w:t>Agenda Item for WRC-19 support</w:t>
      </w:r>
      <w:r w:rsidR="001667F7">
        <w:rPr>
          <w:sz w:val="24"/>
          <w:szCs w:val="24"/>
        </w:rPr>
        <w:t>ing</w:t>
      </w:r>
      <w:r w:rsidRPr="001667F7">
        <w:rPr>
          <w:sz w:val="24"/>
          <w:szCs w:val="24"/>
        </w:rPr>
        <w:t xml:space="preserve"> </w:t>
      </w:r>
      <w:r w:rsidR="001667F7">
        <w:rPr>
          <w:sz w:val="24"/>
          <w:szCs w:val="24"/>
        </w:rPr>
        <w:t xml:space="preserve">the </w:t>
      </w:r>
      <w:r w:rsidRPr="001667F7">
        <w:rPr>
          <w:sz w:val="24"/>
          <w:szCs w:val="24"/>
        </w:rPr>
        <w:t>G</w:t>
      </w:r>
      <w:r w:rsidR="001667F7">
        <w:rPr>
          <w:sz w:val="24"/>
          <w:szCs w:val="24"/>
        </w:rPr>
        <w:t xml:space="preserve">lobal </w:t>
      </w:r>
      <w:r w:rsidRPr="001667F7">
        <w:rPr>
          <w:sz w:val="24"/>
          <w:szCs w:val="24"/>
        </w:rPr>
        <w:t>A</w:t>
      </w:r>
      <w:r w:rsidR="001667F7">
        <w:rPr>
          <w:sz w:val="24"/>
          <w:szCs w:val="24"/>
        </w:rPr>
        <w:t xml:space="preserve">eronautical </w:t>
      </w:r>
      <w:r w:rsidRPr="001667F7">
        <w:rPr>
          <w:sz w:val="24"/>
          <w:szCs w:val="24"/>
        </w:rPr>
        <w:t>D</w:t>
      </w:r>
      <w:r w:rsidR="001667F7">
        <w:rPr>
          <w:sz w:val="24"/>
          <w:szCs w:val="24"/>
        </w:rPr>
        <w:t>istress and Safety System</w:t>
      </w:r>
      <w:r w:rsidRPr="001667F7">
        <w:rPr>
          <w:sz w:val="24"/>
          <w:szCs w:val="24"/>
        </w:rPr>
        <w:t>:</w:t>
      </w:r>
    </w:p>
    <w:p w:rsidR="00D14CF4" w:rsidRPr="001667F7" w:rsidRDefault="00D14CF4" w:rsidP="00D14CF4">
      <w:pPr>
        <w:pStyle w:val="TitleMain"/>
        <w:jc w:val="left"/>
        <w:rPr>
          <w:sz w:val="24"/>
          <w:szCs w:val="24"/>
        </w:rPr>
      </w:pPr>
    </w:p>
    <w:p w:rsidR="00354798" w:rsidRDefault="001667F7" w:rsidP="001667F7">
      <w:pPr>
        <w:spacing w:before="120" w:after="120"/>
        <w:rPr>
          <w:szCs w:val="22"/>
          <w:lang w:eastAsia="zh-CN"/>
        </w:rPr>
      </w:pPr>
      <w:r w:rsidRPr="00EC4CD4">
        <w:rPr>
          <w:b/>
          <w:bCs/>
          <w:highlight w:val="lightGray"/>
        </w:rPr>
        <w:t>1.10</w:t>
      </w:r>
      <w:r w:rsidRPr="00CD5427">
        <w:tab/>
        <w:t>to consider spectrum needs and regulatory provisions for the introduction and use</w:t>
      </w:r>
      <w:r w:rsidRPr="00CD5427" w:rsidDel="003F2919">
        <w:t xml:space="preserve"> </w:t>
      </w:r>
      <w:r w:rsidRPr="00CD5427">
        <w:t>of the Global Aeronautical Distress and Safety System (GADSS), in accordance with Resolution </w:t>
      </w:r>
      <w:r w:rsidRPr="00CD5427">
        <w:rPr>
          <w:b/>
          <w:bCs/>
        </w:rPr>
        <w:t>COM6/11 (WRC</w:t>
      </w:r>
      <w:r w:rsidRPr="00CD5427">
        <w:rPr>
          <w:b/>
          <w:bCs/>
        </w:rPr>
        <w:noBreakHyphen/>
        <w:t>15)</w:t>
      </w:r>
      <w:r w:rsidRPr="00CD5427">
        <w:t>;</w:t>
      </w:r>
    </w:p>
    <w:p w:rsidR="00D14CF4" w:rsidRPr="000015DE" w:rsidRDefault="00D14CF4" w:rsidP="00D14CF4">
      <w:pPr>
        <w:pStyle w:val="Proposal"/>
      </w:pPr>
      <w:r w:rsidRPr="000015DE">
        <w:t>ADD</w:t>
      </w:r>
      <w:r w:rsidRPr="000015DE">
        <w:rPr>
          <w:vanish/>
          <w:color w:val="7F7F7F" w:themeColor="text1" w:themeTint="80"/>
          <w:vertAlign w:val="superscript"/>
        </w:rPr>
        <w:t>#34293</w:t>
      </w:r>
    </w:p>
    <w:p w:rsidR="00D14CF4" w:rsidRPr="000015DE" w:rsidRDefault="00D14CF4" w:rsidP="00CD5427">
      <w:pPr>
        <w:pStyle w:val="ResNo"/>
        <w:spacing w:before="0"/>
      </w:pPr>
      <w:r w:rsidRPr="00CD5427">
        <w:t>RESOLUTION COM6/11 (WRC-15)</w:t>
      </w:r>
    </w:p>
    <w:p w:rsidR="00D14CF4" w:rsidRPr="000015DE" w:rsidRDefault="00D14CF4" w:rsidP="00D14CF4">
      <w:pPr>
        <w:pStyle w:val="Restitle"/>
      </w:pPr>
      <w:r w:rsidRPr="000015DE">
        <w:rPr>
          <w:lang w:eastAsia="zh-CN"/>
        </w:rPr>
        <w:t xml:space="preserve">Studies on spectrum requirements and </w:t>
      </w:r>
      <w:r w:rsidRPr="000015DE">
        <w:t xml:space="preserve">regulatory provisions for </w:t>
      </w:r>
      <w:r w:rsidRPr="000015DE">
        <w:br/>
        <w:t xml:space="preserve">the introduction and use of the Global Aeronautical Distress </w:t>
      </w:r>
      <w:r w:rsidRPr="000015DE">
        <w:br/>
        <w:t xml:space="preserve">and Safety System </w:t>
      </w:r>
    </w:p>
    <w:p w:rsidR="00D14CF4" w:rsidRPr="001667F7" w:rsidRDefault="00D14CF4" w:rsidP="00D14CF4">
      <w:pPr>
        <w:pStyle w:val="Normalaftertitle"/>
        <w:rPr>
          <w:sz w:val="22"/>
          <w:szCs w:val="22"/>
        </w:rPr>
      </w:pPr>
      <w:r w:rsidRPr="001667F7">
        <w:rPr>
          <w:sz w:val="22"/>
          <w:szCs w:val="22"/>
        </w:rPr>
        <w:t>The World Radiocommunication Conference (Geneva, 2015),</w:t>
      </w:r>
    </w:p>
    <w:p w:rsidR="00D14CF4" w:rsidRPr="001667F7" w:rsidRDefault="00D14CF4" w:rsidP="00D14CF4">
      <w:pPr>
        <w:pStyle w:val="Call"/>
        <w:rPr>
          <w:sz w:val="22"/>
          <w:szCs w:val="22"/>
        </w:rPr>
      </w:pPr>
      <w:r w:rsidRPr="001667F7">
        <w:rPr>
          <w:sz w:val="22"/>
          <w:szCs w:val="22"/>
        </w:rPr>
        <w:t>considering</w:t>
      </w:r>
    </w:p>
    <w:p w:rsidR="00D14CF4" w:rsidRPr="001667F7" w:rsidRDefault="00D14CF4" w:rsidP="00D14CF4">
      <w:pPr>
        <w:spacing w:before="120" w:after="120"/>
        <w:rPr>
          <w:szCs w:val="22"/>
        </w:rPr>
      </w:pPr>
      <w:r w:rsidRPr="001667F7">
        <w:rPr>
          <w:i/>
          <w:iCs/>
          <w:szCs w:val="22"/>
        </w:rPr>
        <w:t>a)</w:t>
      </w:r>
      <w:r w:rsidRPr="001667F7">
        <w:rPr>
          <w:szCs w:val="22"/>
        </w:rPr>
        <w:tab/>
        <w:t>that the International Civil Aviation Organization (ICAO) has developed the initial version of the concept of operations for the Global Aeronautical Distress and Safety System (GADSS);</w:t>
      </w:r>
    </w:p>
    <w:p w:rsidR="00D14CF4" w:rsidRPr="001667F7" w:rsidRDefault="00D14CF4" w:rsidP="00D14CF4">
      <w:pPr>
        <w:spacing w:before="120" w:after="120"/>
        <w:rPr>
          <w:szCs w:val="22"/>
        </w:rPr>
      </w:pPr>
      <w:r w:rsidRPr="001667F7">
        <w:rPr>
          <w:i/>
          <w:iCs/>
          <w:szCs w:val="22"/>
        </w:rPr>
        <w:t>b)</w:t>
      </w:r>
      <w:r w:rsidRPr="001667F7">
        <w:rPr>
          <w:szCs w:val="22"/>
        </w:rPr>
        <w:tab/>
        <w:t>that GADSS is intended to address the timely identification and location of an aircraft during all phases of flight as well as distress and emergency situations;</w:t>
      </w:r>
    </w:p>
    <w:p w:rsidR="00D14CF4" w:rsidRPr="001667F7" w:rsidRDefault="00D14CF4" w:rsidP="00D14CF4">
      <w:pPr>
        <w:spacing w:before="120" w:after="120"/>
        <w:rPr>
          <w:szCs w:val="22"/>
        </w:rPr>
      </w:pPr>
      <w:r w:rsidRPr="001667F7">
        <w:rPr>
          <w:i/>
          <w:iCs/>
          <w:szCs w:val="22"/>
        </w:rPr>
        <w:t>c)</w:t>
      </w:r>
      <w:r w:rsidRPr="001667F7">
        <w:rPr>
          <w:szCs w:val="22"/>
        </w:rPr>
        <w:tab/>
        <w:t>that GADSS is intended to use existing and new applications to support search and rescue (SAR) and flight data retrieval;</w:t>
      </w:r>
    </w:p>
    <w:p w:rsidR="00D14CF4" w:rsidRPr="001667F7" w:rsidRDefault="00D14CF4" w:rsidP="00D14CF4">
      <w:pPr>
        <w:spacing w:before="120" w:after="120"/>
        <w:rPr>
          <w:szCs w:val="22"/>
        </w:rPr>
      </w:pPr>
      <w:r w:rsidRPr="001667F7">
        <w:rPr>
          <w:i/>
          <w:iCs/>
          <w:szCs w:val="22"/>
        </w:rPr>
        <w:t>d)</w:t>
      </w:r>
      <w:r w:rsidRPr="001667F7">
        <w:rPr>
          <w:szCs w:val="22"/>
        </w:rPr>
        <w:tab/>
        <w:t>that GADSS is intended to include terrestrial and satellite components supporting different terrestrial and space applications;</w:t>
      </w:r>
    </w:p>
    <w:p w:rsidR="00D14CF4" w:rsidRPr="001667F7" w:rsidRDefault="00D14CF4" w:rsidP="00D14CF4">
      <w:pPr>
        <w:spacing w:before="120" w:after="120"/>
        <w:rPr>
          <w:rFonts w:eastAsiaTheme="minorEastAsia"/>
          <w:szCs w:val="22"/>
        </w:rPr>
      </w:pPr>
      <w:r w:rsidRPr="001667F7">
        <w:rPr>
          <w:rFonts w:eastAsiaTheme="minorEastAsia"/>
          <w:i/>
          <w:szCs w:val="22"/>
        </w:rPr>
        <w:t>e)</w:t>
      </w:r>
      <w:r w:rsidRPr="001667F7">
        <w:rPr>
          <w:rFonts w:eastAsiaTheme="minorEastAsia"/>
          <w:szCs w:val="22"/>
        </w:rPr>
        <w:tab/>
        <w:t>that not all requirements in the concept of operation for GADSS are currently fulfilled by existing technologies;</w:t>
      </w:r>
    </w:p>
    <w:p w:rsidR="00D14CF4" w:rsidRPr="001667F7" w:rsidRDefault="00D14CF4" w:rsidP="00D14CF4">
      <w:pPr>
        <w:spacing w:before="120" w:after="120"/>
        <w:rPr>
          <w:rFonts w:eastAsiaTheme="minorEastAsia"/>
          <w:szCs w:val="22"/>
        </w:rPr>
      </w:pPr>
      <w:r w:rsidRPr="001667F7">
        <w:rPr>
          <w:rFonts w:eastAsiaTheme="minorEastAsia"/>
          <w:i/>
          <w:szCs w:val="22"/>
        </w:rPr>
        <w:t>f)</w:t>
      </w:r>
      <w:r w:rsidRPr="001667F7">
        <w:rPr>
          <w:rFonts w:eastAsiaTheme="minorEastAsia"/>
          <w:szCs w:val="22"/>
        </w:rPr>
        <w:tab/>
        <w:t>that future systems based on new technologies are being developed to contribute to fully meeting the GADSS requirements;</w:t>
      </w:r>
    </w:p>
    <w:p w:rsidR="00D14CF4" w:rsidRPr="001667F7" w:rsidRDefault="00D14CF4" w:rsidP="00D14CF4">
      <w:pPr>
        <w:spacing w:before="120" w:after="120"/>
        <w:rPr>
          <w:rFonts w:eastAsiaTheme="minorEastAsia"/>
          <w:szCs w:val="22"/>
        </w:rPr>
      </w:pPr>
      <w:r w:rsidRPr="001667F7">
        <w:rPr>
          <w:rFonts w:eastAsiaTheme="minorEastAsia"/>
          <w:i/>
          <w:iCs/>
          <w:szCs w:val="22"/>
        </w:rPr>
        <w:t>g)</w:t>
      </w:r>
      <w:r w:rsidRPr="001667F7">
        <w:rPr>
          <w:rFonts w:eastAsiaTheme="minorEastAsia"/>
          <w:szCs w:val="22"/>
        </w:rPr>
        <w:tab/>
        <w:t>that, as stated by ICAO, “the full GADSS concept can be realized in an evolutional manner”, and some applications may be developed after 2019;</w:t>
      </w:r>
    </w:p>
    <w:p w:rsidR="00D14CF4" w:rsidRPr="001667F7" w:rsidRDefault="00D14CF4" w:rsidP="00D14CF4">
      <w:pPr>
        <w:spacing w:before="120" w:after="120"/>
        <w:rPr>
          <w:rFonts w:eastAsiaTheme="minorEastAsia"/>
          <w:szCs w:val="22"/>
        </w:rPr>
      </w:pPr>
      <w:r w:rsidRPr="001667F7">
        <w:rPr>
          <w:rFonts w:eastAsiaTheme="minorEastAsia"/>
          <w:i/>
          <w:szCs w:val="22"/>
        </w:rPr>
        <w:t>h)</w:t>
      </w:r>
      <w:r w:rsidRPr="001667F7">
        <w:rPr>
          <w:rFonts w:eastAsiaTheme="minorEastAsia"/>
          <w:szCs w:val="22"/>
        </w:rPr>
        <w:tab/>
        <w:t>that the performance-based elements of the GADSS are still being defined by ICAO, and should be provided by ICAO in time to use them in ITU Radiocommunication Sector (ITU</w:t>
      </w:r>
      <w:r w:rsidRPr="001667F7">
        <w:rPr>
          <w:rFonts w:eastAsiaTheme="minorEastAsia"/>
          <w:szCs w:val="22"/>
        </w:rPr>
        <w:noBreakHyphen/>
        <w:t>R) studies;</w:t>
      </w:r>
    </w:p>
    <w:p w:rsidR="00D14CF4" w:rsidRPr="001667F7" w:rsidRDefault="00D14CF4" w:rsidP="00D14CF4">
      <w:pPr>
        <w:spacing w:before="120" w:after="120"/>
        <w:rPr>
          <w:rFonts w:eastAsiaTheme="minorEastAsia"/>
          <w:szCs w:val="22"/>
        </w:rPr>
      </w:pPr>
      <w:proofErr w:type="spellStart"/>
      <w:r w:rsidRPr="001667F7">
        <w:rPr>
          <w:rFonts w:eastAsiaTheme="minorEastAsia"/>
          <w:i/>
          <w:iCs/>
          <w:szCs w:val="22"/>
        </w:rPr>
        <w:t>i</w:t>
      </w:r>
      <w:proofErr w:type="spellEnd"/>
      <w:r w:rsidRPr="001667F7">
        <w:rPr>
          <w:rFonts w:eastAsiaTheme="minorEastAsia"/>
          <w:i/>
          <w:iCs/>
          <w:szCs w:val="22"/>
        </w:rPr>
        <w:t>)</w:t>
      </w:r>
      <w:r w:rsidRPr="001667F7">
        <w:rPr>
          <w:rFonts w:eastAsiaTheme="minorEastAsia"/>
          <w:szCs w:val="22"/>
        </w:rPr>
        <w:tab/>
        <w:t>that the introduction of the GADSS needs to ensure the protection of, and impose no additional constraints on, all existing services,</w:t>
      </w:r>
    </w:p>
    <w:p w:rsidR="00D14CF4" w:rsidRPr="001667F7" w:rsidRDefault="00D14CF4" w:rsidP="00D14CF4">
      <w:pPr>
        <w:pStyle w:val="Call"/>
        <w:rPr>
          <w:sz w:val="22"/>
          <w:szCs w:val="22"/>
        </w:rPr>
      </w:pPr>
      <w:r w:rsidRPr="001667F7">
        <w:rPr>
          <w:sz w:val="22"/>
          <w:szCs w:val="22"/>
        </w:rPr>
        <w:t>recognizing</w:t>
      </w:r>
    </w:p>
    <w:p w:rsidR="00D14CF4" w:rsidRPr="001667F7" w:rsidRDefault="00D14CF4" w:rsidP="00BE0284">
      <w:pPr>
        <w:tabs>
          <w:tab w:val="left" w:pos="709"/>
        </w:tabs>
        <w:spacing w:before="120" w:after="120"/>
        <w:rPr>
          <w:szCs w:val="22"/>
        </w:rPr>
      </w:pPr>
      <w:r w:rsidRPr="001667F7">
        <w:rPr>
          <w:rFonts w:eastAsiaTheme="minorEastAsia"/>
          <w:i/>
          <w:szCs w:val="22"/>
        </w:rPr>
        <w:t>a)</w:t>
      </w:r>
      <w:r w:rsidRPr="001667F7">
        <w:rPr>
          <w:rFonts w:eastAsiaTheme="minorEastAsia"/>
          <w:szCs w:val="22"/>
        </w:rPr>
        <w:tab/>
        <w:t>that there are provisions in the Radio Regulations, including frequency band allocations, related to aeronautical services that support distress and safety systems;</w:t>
      </w:r>
    </w:p>
    <w:p w:rsidR="00D14CF4" w:rsidRPr="001667F7" w:rsidRDefault="00D14CF4" w:rsidP="00D14CF4">
      <w:pPr>
        <w:spacing w:before="120" w:after="120"/>
        <w:rPr>
          <w:i/>
          <w:szCs w:val="22"/>
        </w:rPr>
      </w:pPr>
      <w:r w:rsidRPr="001667F7">
        <w:rPr>
          <w:i/>
          <w:iCs/>
          <w:szCs w:val="22"/>
        </w:rPr>
        <w:t>b)</w:t>
      </w:r>
      <w:r w:rsidRPr="001667F7">
        <w:rPr>
          <w:szCs w:val="22"/>
        </w:rPr>
        <w:tab/>
        <w:t>that Annex 10 to the Convention on International Civil Aviation is a part of International Standards and Recommended Practices (SARPs) for aeronautical telecommunication systems used by international civil aviation,</w:t>
      </w:r>
    </w:p>
    <w:p w:rsidR="00D14CF4" w:rsidRPr="001667F7" w:rsidRDefault="00D14CF4" w:rsidP="00D14CF4">
      <w:pPr>
        <w:pStyle w:val="Call"/>
        <w:rPr>
          <w:sz w:val="22"/>
          <w:szCs w:val="22"/>
        </w:rPr>
      </w:pPr>
      <w:r w:rsidRPr="001667F7">
        <w:rPr>
          <w:sz w:val="22"/>
          <w:szCs w:val="22"/>
        </w:rPr>
        <w:lastRenderedPageBreak/>
        <w:t>noting</w:t>
      </w:r>
    </w:p>
    <w:p w:rsidR="00D14CF4" w:rsidRPr="001667F7" w:rsidRDefault="00D14CF4" w:rsidP="00D14CF4">
      <w:pPr>
        <w:spacing w:before="120" w:after="120"/>
        <w:rPr>
          <w:szCs w:val="22"/>
        </w:rPr>
      </w:pPr>
      <w:r w:rsidRPr="001667F7">
        <w:rPr>
          <w:szCs w:val="22"/>
        </w:rPr>
        <w:t>that the concept of operations and requirements for GADSS is general, its components and applications currently provide only scenarios, and it is being developed in an evolutionary manner in ICAO,</w:t>
      </w:r>
    </w:p>
    <w:p w:rsidR="00D14CF4" w:rsidRPr="001667F7" w:rsidRDefault="00D14CF4" w:rsidP="00D14CF4">
      <w:pPr>
        <w:pStyle w:val="Call"/>
        <w:rPr>
          <w:sz w:val="22"/>
          <w:szCs w:val="22"/>
        </w:rPr>
      </w:pPr>
      <w:r w:rsidRPr="001667F7">
        <w:rPr>
          <w:sz w:val="22"/>
          <w:szCs w:val="22"/>
        </w:rPr>
        <w:t>resolves to invite the 2019 World Radiocommunication Conference</w:t>
      </w:r>
    </w:p>
    <w:p w:rsidR="00D14CF4" w:rsidRPr="001667F7" w:rsidRDefault="00D14CF4" w:rsidP="00D14CF4">
      <w:pPr>
        <w:spacing w:before="120" w:after="120"/>
        <w:rPr>
          <w:rFonts w:eastAsiaTheme="minorEastAsia"/>
          <w:szCs w:val="22"/>
        </w:rPr>
      </w:pPr>
      <w:r w:rsidRPr="001667F7">
        <w:rPr>
          <w:rFonts w:eastAsiaTheme="minorEastAsia"/>
          <w:szCs w:val="22"/>
        </w:rPr>
        <w:t>1</w:t>
      </w:r>
      <w:r w:rsidRPr="001667F7">
        <w:rPr>
          <w:rFonts w:eastAsiaTheme="minorEastAsia"/>
          <w:szCs w:val="22"/>
        </w:rPr>
        <w:tab/>
        <w:t>to take appropriate actions, taking into account the results of ITU-R studies;</w:t>
      </w:r>
    </w:p>
    <w:p w:rsidR="00D14CF4" w:rsidRPr="001667F7" w:rsidRDefault="00D14CF4" w:rsidP="00D14CF4">
      <w:pPr>
        <w:spacing w:before="120" w:after="120"/>
        <w:rPr>
          <w:rFonts w:eastAsiaTheme="minorEastAsia"/>
          <w:szCs w:val="22"/>
        </w:rPr>
      </w:pPr>
      <w:r w:rsidRPr="001667F7">
        <w:rPr>
          <w:rFonts w:eastAsiaTheme="minorEastAsia"/>
          <w:szCs w:val="22"/>
        </w:rPr>
        <w:t>2</w:t>
      </w:r>
      <w:r w:rsidRPr="001667F7">
        <w:rPr>
          <w:rFonts w:eastAsiaTheme="minorEastAsia"/>
          <w:szCs w:val="22"/>
        </w:rPr>
        <w:tab/>
        <w:t>to analyse the necessity for further studies, and consider whether this matter should be brought to the attention of a future competent conference,</w:t>
      </w:r>
    </w:p>
    <w:p w:rsidR="00D14CF4" w:rsidRPr="001667F7" w:rsidRDefault="00D14CF4" w:rsidP="00D14CF4">
      <w:pPr>
        <w:pStyle w:val="Call"/>
        <w:rPr>
          <w:sz w:val="22"/>
          <w:szCs w:val="22"/>
        </w:rPr>
      </w:pPr>
      <w:r w:rsidRPr="001667F7">
        <w:rPr>
          <w:sz w:val="22"/>
          <w:szCs w:val="22"/>
        </w:rPr>
        <w:t>invites the ITU Radiocommunication Sector</w:t>
      </w:r>
    </w:p>
    <w:p w:rsidR="00D14CF4" w:rsidRPr="001667F7" w:rsidRDefault="00D14CF4" w:rsidP="00D14CF4">
      <w:pPr>
        <w:spacing w:before="120" w:after="120"/>
        <w:rPr>
          <w:rFonts w:eastAsiaTheme="minorEastAsia"/>
          <w:szCs w:val="22"/>
        </w:rPr>
      </w:pPr>
      <w:r w:rsidRPr="001667F7">
        <w:rPr>
          <w:rFonts w:eastAsiaTheme="minorEastAsia"/>
          <w:szCs w:val="22"/>
        </w:rPr>
        <w:t>1</w:t>
      </w:r>
      <w:r w:rsidRPr="001667F7">
        <w:rPr>
          <w:rFonts w:eastAsiaTheme="minorEastAsia"/>
          <w:szCs w:val="22"/>
        </w:rPr>
        <w:tab/>
        <w:t>to conduct the relevant studies, taking into account information and requirements provided by ICAO for both the terrestrial and satellite components, including:</w:t>
      </w:r>
    </w:p>
    <w:p w:rsidR="00D14CF4" w:rsidRPr="001667F7" w:rsidRDefault="00D14CF4" w:rsidP="00BE0284">
      <w:pPr>
        <w:pStyle w:val="enumlev1"/>
        <w:ind w:left="709" w:hanging="709"/>
        <w:rPr>
          <w:rFonts w:eastAsiaTheme="minorEastAsia"/>
          <w:sz w:val="22"/>
          <w:szCs w:val="22"/>
        </w:rPr>
      </w:pPr>
      <w:r w:rsidRPr="001667F7">
        <w:rPr>
          <w:rFonts w:eastAsiaTheme="minorEastAsia"/>
          <w:i/>
          <w:iCs/>
          <w:sz w:val="22"/>
          <w:szCs w:val="22"/>
        </w:rPr>
        <w:t>a)</w:t>
      </w:r>
      <w:r w:rsidRPr="001667F7">
        <w:rPr>
          <w:rFonts w:eastAsiaTheme="minorEastAsia"/>
          <w:sz w:val="22"/>
          <w:szCs w:val="22"/>
        </w:rPr>
        <w:tab/>
        <w:t>quantification and characterization of radiocommunication requirements related to GADSS, such as:</w:t>
      </w:r>
    </w:p>
    <w:p w:rsidR="00D14CF4" w:rsidRPr="001667F7" w:rsidRDefault="00D14CF4" w:rsidP="00B81929">
      <w:pPr>
        <w:pStyle w:val="enumlev2"/>
        <w:tabs>
          <w:tab w:val="clear" w:pos="1871"/>
        </w:tabs>
        <w:ind w:left="1134" w:hanging="425"/>
        <w:jc w:val="both"/>
        <w:rPr>
          <w:rFonts w:eastAsiaTheme="minorEastAsia"/>
          <w:sz w:val="22"/>
          <w:szCs w:val="22"/>
        </w:rPr>
      </w:pPr>
      <w:r w:rsidRPr="001667F7">
        <w:rPr>
          <w:rFonts w:eastAsiaTheme="minorEastAsia"/>
          <w:sz w:val="22"/>
          <w:szCs w:val="22"/>
        </w:rPr>
        <w:t>–</w:t>
      </w:r>
      <w:r w:rsidRPr="001667F7">
        <w:rPr>
          <w:rFonts w:eastAsiaTheme="minorEastAsia"/>
          <w:sz w:val="22"/>
          <w:szCs w:val="22"/>
        </w:rPr>
        <w:tab/>
        <w:t>data traffic requirements for different system components of GADSS (such as the aircraft tracking, autonomous distress and flight data recovery systems) and their terrestrial and satellite components at each phase of the operation;</w:t>
      </w:r>
    </w:p>
    <w:p w:rsidR="00D14CF4" w:rsidRPr="001667F7" w:rsidRDefault="00D14CF4" w:rsidP="00B81929">
      <w:pPr>
        <w:pStyle w:val="enumlev2"/>
        <w:ind w:hanging="1162"/>
        <w:jc w:val="both"/>
        <w:rPr>
          <w:rFonts w:eastAsiaTheme="minorEastAsia"/>
          <w:sz w:val="22"/>
          <w:szCs w:val="22"/>
        </w:rPr>
      </w:pPr>
      <w:r w:rsidRPr="001667F7">
        <w:rPr>
          <w:rFonts w:eastAsiaTheme="minorEastAsia"/>
          <w:sz w:val="22"/>
          <w:szCs w:val="22"/>
        </w:rPr>
        <w:t>–</w:t>
      </w:r>
      <w:r w:rsidRPr="001667F7">
        <w:rPr>
          <w:rFonts w:eastAsiaTheme="minorEastAsia"/>
          <w:sz w:val="22"/>
          <w:szCs w:val="22"/>
        </w:rPr>
        <w:tab/>
        <w:t>information on the radiocommunication requirement related to safety-of-life applications;</w:t>
      </w:r>
    </w:p>
    <w:p w:rsidR="00D14CF4" w:rsidRPr="001667F7" w:rsidRDefault="00D14CF4" w:rsidP="00BE0284">
      <w:pPr>
        <w:pStyle w:val="enumlev2"/>
        <w:ind w:hanging="1162"/>
        <w:rPr>
          <w:rFonts w:eastAsiaTheme="minorEastAsia"/>
          <w:sz w:val="22"/>
          <w:szCs w:val="22"/>
        </w:rPr>
      </w:pPr>
      <w:r w:rsidRPr="001667F7">
        <w:rPr>
          <w:rFonts w:eastAsiaTheme="minorEastAsia"/>
          <w:sz w:val="22"/>
          <w:szCs w:val="22"/>
        </w:rPr>
        <w:t>–</w:t>
      </w:r>
      <w:r w:rsidRPr="001667F7">
        <w:rPr>
          <w:rFonts w:eastAsiaTheme="minorEastAsia"/>
          <w:sz w:val="22"/>
          <w:szCs w:val="22"/>
        </w:rPr>
        <w:tab/>
        <w:t>performance criteria for terrestrial and satellite systems;</w:t>
      </w:r>
    </w:p>
    <w:p w:rsidR="00D14CF4" w:rsidRPr="001667F7" w:rsidRDefault="00D14CF4" w:rsidP="00B81929">
      <w:pPr>
        <w:pStyle w:val="enumlev1"/>
        <w:tabs>
          <w:tab w:val="clear" w:pos="1134"/>
          <w:tab w:val="left" w:pos="709"/>
        </w:tabs>
        <w:ind w:left="0" w:firstLine="0"/>
        <w:rPr>
          <w:rFonts w:eastAsiaTheme="minorEastAsia"/>
          <w:sz w:val="22"/>
          <w:szCs w:val="22"/>
        </w:rPr>
      </w:pPr>
      <w:r w:rsidRPr="001667F7">
        <w:rPr>
          <w:rFonts w:eastAsiaTheme="minorEastAsia"/>
          <w:i/>
          <w:iCs/>
          <w:sz w:val="22"/>
          <w:szCs w:val="22"/>
        </w:rPr>
        <w:t>b)</w:t>
      </w:r>
      <w:r w:rsidRPr="001667F7">
        <w:rPr>
          <w:rFonts w:eastAsiaTheme="minorEastAsia"/>
          <w:sz w:val="22"/>
          <w:szCs w:val="22"/>
        </w:rPr>
        <w:tab/>
        <w:t>analysis of the existing allocations to the relevant aeronautical services and determining whether any additional spectrum is required;</w:t>
      </w:r>
    </w:p>
    <w:p w:rsidR="00D14CF4" w:rsidRPr="001667F7" w:rsidRDefault="00D14CF4" w:rsidP="00BE0284">
      <w:pPr>
        <w:pStyle w:val="enumlev1"/>
        <w:spacing w:after="120"/>
        <w:ind w:left="709" w:hanging="709"/>
        <w:rPr>
          <w:rFonts w:eastAsiaTheme="minorEastAsia"/>
          <w:sz w:val="22"/>
          <w:szCs w:val="22"/>
        </w:rPr>
      </w:pPr>
      <w:r w:rsidRPr="001667F7">
        <w:rPr>
          <w:rFonts w:eastAsiaTheme="minorEastAsia"/>
          <w:i/>
          <w:iCs/>
          <w:sz w:val="22"/>
          <w:szCs w:val="22"/>
        </w:rPr>
        <w:t>c)</w:t>
      </w:r>
      <w:r w:rsidRPr="001667F7">
        <w:rPr>
          <w:rFonts w:eastAsiaTheme="minorEastAsia"/>
          <w:sz w:val="22"/>
          <w:szCs w:val="22"/>
        </w:rPr>
        <w:tab/>
        <w:t>studies on sharing and/or compatibility with the existing services;</w:t>
      </w:r>
    </w:p>
    <w:p w:rsidR="00D14CF4" w:rsidRPr="001667F7" w:rsidRDefault="00D14CF4" w:rsidP="00BE0284">
      <w:pPr>
        <w:spacing w:before="120" w:after="120"/>
        <w:rPr>
          <w:rFonts w:eastAsiaTheme="minorEastAsia"/>
          <w:szCs w:val="22"/>
        </w:rPr>
      </w:pPr>
      <w:r w:rsidRPr="001667F7">
        <w:rPr>
          <w:rFonts w:eastAsiaTheme="minorEastAsia"/>
          <w:szCs w:val="22"/>
        </w:rPr>
        <w:t>2</w:t>
      </w:r>
      <w:r w:rsidRPr="001667F7">
        <w:rPr>
          <w:rFonts w:eastAsiaTheme="minorEastAsia"/>
          <w:szCs w:val="22"/>
        </w:rPr>
        <w:tab/>
        <w:t>to undertake studies of the existing regulatory provisions to determine whether it might be necessary to apply additional regulatory measures,</w:t>
      </w:r>
    </w:p>
    <w:p w:rsidR="00D14CF4" w:rsidRPr="001667F7" w:rsidRDefault="00D14CF4" w:rsidP="00D14CF4">
      <w:pPr>
        <w:pStyle w:val="Call"/>
        <w:rPr>
          <w:sz w:val="22"/>
          <w:szCs w:val="22"/>
        </w:rPr>
      </w:pPr>
      <w:r w:rsidRPr="001667F7">
        <w:rPr>
          <w:sz w:val="22"/>
          <w:szCs w:val="22"/>
        </w:rPr>
        <w:t>invites the International Civil Aviation Organization</w:t>
      </w:r>
    </w:p>
    <w:p w:rsidR="00D14CF4" w:rsidRPr="001667F7" w:rsidRDefault="00D14CF4" w:rsidP="00BE0284">
      <w:pPr>
        <w:spacing w:before="120" w:after="120"/>
        <w:rPr>
          <w:szCs w:val="22"/>
        </w:rPr>
      </w:pPr>
      <w:r w:rsidRPr="001667F7">
        <w:rPr>
          <w:szCs w:val="22"/>
        </w:rPr>
        <w:t xml:space="preserve">to participate actively in the studies by providing requirements and information that should be taken into account in ITU-R studies, in particular those mentioned in </w:t>
      </w:r>
      <w:r w:rsidRPr="001667F7">
        <w:rPr>
          <w:i/>
          <w:iCs/>
          <w:szCs w:val="22"/>
        </w:rPr>
        <w:t xml:space="preserve">invites the ITU Radiocommunication Sector </w:t>
      </w:r>
      <w:r w:rsidRPr="001667F7">
        <w:rPr>
          <w:szCs w:val="22"/>
        </w:rPr>
        <w:t>1</w:t>
      </w:r>
      <w:r w:rsidR="00BE0284">
        <w:rPr>
          <w:szCs w:val="22"/>
        </w:rPr>
        <w:t> </w:t>
      </w:r>
      <w:r w:rsidRPr="001667F7">
        <w:rPr>
          <w:i/>
          <w:iCs/>
          <w:szCs w:val="22"/>
        </w:rPr>
        <w:t>a)</w:t>
      </w:r>
      <w:r w:rsidRPr="001667F7">
        <w:rPr>
          <w:szCs w:val="22"/>
        </w:rPr>
        <w:t>,</w:t>
      </w:r>
    </w:p>
    <w:p w:rsidR="00D14CF4" w:rsidRPr="001667F7" w:rsidRDefault="00D14CF4" w:rsidP="00D14CF4">
      <w:pPr>
        <w:pStyle w:val="Call"/>
        <w:rPr>
          <w:sz w:val="22"/>
          <w:szCs w:val="22"/>
        </w:rPr>
      </w:pPr>
      <w:r w:rsidRPr="001667F7">
        <w:rPr>
          <w:sz w:val="22"/>
          <w:szCs w:val="22"/>
        </w:rPr>
        <w:t>instructs the Secretary-General</w:t>
      </w:r>
    </w:p>
    <w:p w:rsidR="00D14CF4" w:rsidRDefault="00D14CF4" w:rsidP="001667F7">
      <w:pPr>
        <w:spacing w:before="120" w:after="120"/>
        <w:rPr>
          <w:szCs w:val="22"/>
        </w:rPr>
      </w:pPr>
      <w:r w:rsidRPr="001667F7">
        <w:rPr>
          <w:szCs w:val="22"/>
        </w:rPr>
        <w:t>to bring this resolution to the attention of the ICAO, the International Air Transport Association (IATA) and the International Maritime Organization (IMO).</w:t>
      </w:r>
    </w:p>
    <w:p w:rsidR="001667F7" w:rsidRDefault="001667F7" w:rsidP="001667F7">
      <w:pPr>
        <w:spacing w:before="120" w:after="120"/>
        <w:rPr>
          <w:szCs w:val="22"/>
        </w:rPr>
      </w:pPr>
    </w:p>
    <w:p w:rsidR="001667F7" w:rsidRPr="001667F7" w:rsidRDefault="001667F7" w:rsidP="001667F7">
      <w:pPr>
        <w:spacing w:before="120" w:after="120"/>
        <w:rPr>
          <w:szCs w:val="22"/>
        </w:rPr>
      </w:pPr>
    </w:p>
    <w:p w:rsidR="00D14CF4" w:rsidRPr="00403442" w:rsidRDefault="00D14CF4" w:rsidP="00D14CF4">
      <w:pPr>
        <w:jc w:val="center"/>
      </w:pPr>
      <w:r w:rsidRPr="00403442">
        <w:t>______________</w:t>
      </w:r>
    </w:p>
    <w:p w:rsidR="00D14CF4" w:rsidRDefault="00D14CF4" w:rsidP="00722628">
      <w:pPr>
        <w:jc w:val="center"/>
        <w:rPr>
          <w:szCs w:val="22"/>
          <w:lang w:eastAsia="zh-CN"/>
        </w:rPr>
      </w:pPr>
    </w:p>
    <w:p w:rsidR="00826F03" w:rsidRDefault="00826F03" w:rsidP="00593875">
      <w:pPr>
        <w:autoSpaceDE/>
        <w:autoSpaceDN/>
        <w:adjustRightInd/>
        <w:jc w:val="left"/>
        <w:rPr>
          <w:szCs w:val="22"/>
          <w:lang w:eastAsia="zh-CN"/>
        </w:rPr>
      </w:pPr>
    </w:p>
    <w:p w:rsidR="00C3114B" w:rsidRPr="00EA5C25" w:rsidRDefault="00C3114B" w:rsidP="00593875">
      <w:pPr>
        <w:autoSpaceDE/>
        <w:autoSpaceDN/>
        <w:adjustRightInd/>
        <w:jc w:val="left"/>
        <w:rPr>
          <w:szCs w:val="22"/>
          <w:lang w:eastAsia="zh-CN"/>
        </w:rPr>
      </w:pPr>
    </w:p>
    <w:sectPr w:rsidR="00C3114B" w:rsidRPr="00EA5C25" w:rsidSect="007D121D">
      <w:headerReference w:type="even" r:id="rId20"/>
      <w:headerReference w:type="default" r:id="rId21"/>
      <w:headerReference w:type="first" r:id="rId22"/>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A4" w:rsidRDefault="00B12CA4">
      <w:r>
        <w:separator/>
      </w:r>
    </w:p>
  </w:endnote>
  <w:endnote w:type="continuationSeparator" w:id="0">
    <w:p w:rsidR="00B12CA4" w:rsidRDefault="00B1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Pr="006E7B75" w:rsidRDefault="00DA7BC4" w:rsidP="00121605">
    <w:pPr>
      <w:pStyle w:val="Footer"/>
      <w:tabs>
        <w:tab w:val="left" w:pos="720"/>
        <w:tab w:val="left" w:pos="1440"/>
        <w:tab w:val="left" w:pos="1800"/>
        <w:tab w:val="left" w:pos="2160"/>
        <w:tab w:val="left" w:pos="2520"/>
        <w:tab w:val="left" w:pos="2880"/>
      </w:tabs>
      <w:rPr>
        <w:sz w:val="18"/>
        <w:szCs w:val="18"/>
      </w:rPr>
    </w:pPr>
    <w:r w:rsidRPr="006E7B75">
      <w:rPr>
        <w:sz w:val="18"/>
        <w:szCs w:val="18"/>
      </w:rPr>
      <w:t>(</w:t>
    </w:r>
    <w:r w:rsidR="00994E9B">
      <w:rPr>
        <w:sz w:val="18"/>
        <w:szCs w:val="18"/>
      </w:rPr>
      <w:t>3</w:t>
    </w:r>
    <w:r w:rsidR="00121605">
      <w:rPr>
        <w:sz w:val="18"/>
        <w:szCs w:val="18"/>
      </w:rPr>
      <w:t>7</w:t>
    </w:r>
    <w:r w:rsidRPr="006E7B75">
      <w:rPr>
        <w:sz w:val="18"/>
        <w:szCs w:val="18"/>
      </w:rPr>
      <w:t xml:space="preserve"> pages)</w:t>
    </w:r>
  </w:p>
  <w:p w:rsidR="00994E9B" w:rsidRPr="00994E9B" w:rsidRDefault="00994E9B" w:rsidP="00994E9B">
    <w:pPr>
      <w:pStyle w:val="Footer"/>
      <w:tabs>
        <w:tab w:val="left" w:pos="720"/>
        <w:tab w:val="left" w:pos="1440"/>
        <w:tab w:val="left" w:pos="1800"/>
        <w:tab w:val="left" w:pos="2160"/>
        <w:tab w:val="left" w:pos="2520"/>
        <w:tab w:val="left" w:pos="2880"/>
      </w:tabs>
      <w:rPr>
        <w:sz w:val="18"/>
        <w:szCs w:val="18"/>
      </w:rPr>
    </w:pPr>
    <w:r w:rsidRPr="00994E9B">
      <w:rPr>
        <w:sz w:val="18"/>
        <w:szCs w:val="18"/>
      </w:rPr>
      <w:t>FSMP-WG/2 IP-01</w:t>
    </w:r>
  </w:p>
  <w:p w:rsidR="00DA7BC4" w:rsidRPr="006E7B75" w:rsidRDefault="00DA7BC4" w:rsidP="006E7B75">
    <w:pPr>
      <w:pStyle w:val="Footer"/>
      <w:tabs>
        <w:tab w:val="left" w:pos="720"/>
        <w:tab w:val="left" w:pos="1440"/>
        <w:tab w:val="left" w:pos="1800"/>
        <w:tab w:val="left" w:pos="2160"/>
        <w:tab w:val="left" w:pos="2520"/>
        <w:tab w:val="left" w:pos="288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Default="00DA7B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Default="00DA7B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Default="00DA7BC4" w:rsidP="00AF2B04">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A4" w:rsidRDefault="00B12CA4">
      <w:r>
        <w:separator/>
      </w:r>
    </w:p>
  </w:footnote>
  <w:footnote w:type="continuationSeparator" w:id="0">
    <w:p w:rsidR="00B12CA4" w:rsidRDefault="00B12CA4">
      <w:r>
        <w:continuationSeparator/>
      </w:r>
    </w:p>
  </w:footnote>
  <w:footnote w:id="1">
    <w:p w:rsidR="00DA7BC4" w:rsidRPr="00016F98" w:rsidRDefault="00DA7BC4" w:rsidP="00AD0FED">
      <w:pPr>
        <w:pStyle w:val="FootnoteText"/>
        <w:ind w:left="255" w:hanging="255"/>
        <w:rPr>
          <w:sz w:val="20"/>
          <w:lang w:val="en-US"/>
        </w:rPr>
      </w:pPr>
      <w:r>
        <w:rPr>
          <w:vertAlign w:val="superscript"/>
          <w:lang w:val="en-US"/>
        </w:rPr>
        <w:footnoteRef/>
      </w:r>
      <w:r>
        <w:rPr>
          <w:vertAlign w:val="superscript"/>
          <w:lang w:val="en-US"/>
        </w:rPr>
        <w:tab/>
      </w:r>
      <w:r w:rsidRPr="00016F98">
        <w:rPr>
          <w:sz w:val="20"/>
          <w:lang w:val="en-US"/>
        </w:rPr>
        <w:t xml:space="preserve">African Telecommunication Union (ATU), Asia-Pacific </w:t>
      </w:r>
      <w:proofErr w:type="spellStart"/>
      <w:r w:rsidRPr="00016F98">
        <w:rPr>
          <w:sz w:val="20"/>
          <w:lang w:val="en-US"/>
        </w:rPr>
        <w:t>Telecommunity</w:t>
      </w:r>
      <w:proofErr w:type="spellEnd"/>
      <w:r w:rsidRPr="00016F98">
        <w:rPr>
          <w:sz w:val="20"/>
          <w:lang w:val="en-US"/>
        </w:rPr>
        <w:t xml:space="preserve"> (APT), European Conference of Postal and Telecommunications Administrations (CEPT), Inter-American Telecommunication Commission (CITEL).</w:t>
      </w:r>
    </w:p>
  </w:footnote>
  <w:footnote w:id="2">
    <w:p w:rsidR="00DA7BC4" w:rsidRPr="00093749" w:rsidRDefault="00DA7BC4" w:rsidP="008F1F43">
      <w:pPr>
        <w:pStyle w:val="FootnoteText"/>
      </w:pPr>
      <w:r>
        <w:rPr>
          <w:rStyle w:val="FootnoteReference"/>
        </w:rPr>
        <w:footnoteRef/>
      </w:r>
      <w:r>
        <w:t xml:space="preserve"> UAS is referred to in ICAO as Remotely Piloted Aircraft Systems (RPAS).</w:t>
      </w:r>
    </w:p>
  </w:footnote>
  <w:footnote w:id="3">
    <w:p w:rsidR="00DA7BC4" w:rsidRPr="00093749" w:rsidRDefault="00DA7BC4">
      <w:pPr>
        <w:pStyle w:val="FootnoteText"/>
      </w:pPr>
      <w:r>
        <w:rPr>
          <w:rStyle w:val="FootnoteReference"/>
        </w:rPr>
        <w:footnoteRef/>
      </w:r>
      <w:r>
        <w:t xml:space="preserve"> CNPC is referred to in ICAO as Command and Control (C2) or Command, Control and ATC Communications (C3).</w:t>
      </w:r>
    </w:p>
  </w:footnote>
  <w:footnote w:id="4">
    <w:p w:rsidR="00DA7BC4" w:rsidRPr="000F5DD2" w:rsidRDefault="00DA7BC4" w:rsidP="00957FF2">
      <w:pPr>
        <w:pStyle w:val="FootnoteText"/>
      </w:pPr>
      <w:r>
        <w:rPr>
          <w:rStyle w:val="FootnoteReference"/>
        </w:rPr>
        <w:footnoteRef/>
      </w:r>
      <w:r>
        <w:t xml:space="preserve"> </w:t>
      </w:r>
      <w:r>
        <w:tab/>
      </w:r>
      <w:r w:rsidRPr="000F5DD2">
        <w:rPr>
          <w:szCs w:val="24"/>
          <w:lang w:val="en-CA"/>
        </w:rPr>
        <w:t>“That ICAO … develop and implement a comprehensive aviation frequency spectrum strategy … which includes the following objectives: … clearly state in the strategy the need for aeronautical systems to operate in spectrum allocated to an appropriate aeronautical safety service.”</w:t>
      </w:r>
    </w:p>
  </w:footnote>
  <w:footnote w:id="5">
    <w:p w:rsidR="00DA7BC4" w:rsidRPr="000F5DD2" w:rsidRDefault="00DA7BC4" w:rsidP="00957FF2">
      <w:pPr>
        <w:pStyle w:val="FootnoteText"/>
      </w:pPr>
      <w:r>
        <w:rPr>
          <w:rStyle w:val="FootnoteReference"/>
        </w:rPr>
        <w:footnoteRef/>
      </w:r>
      <w:r>
        <w:t xml:space="preserve"> </w:t>
      </w:r>
      <w:r>
        <w:tab/>
      </w:r>
      <w:r w:rsidRPr="000F5DD2">
        <w:rPr>
          <w:szCs w:val="24"/>
          <w:lang w:val="en-CA"/>
        </w:rPr>
        <w:t>“That ICAO should support studies in the International Telecommunication Union Radio Communication Sector (ITU-R) to ensure that the safety of life concerns could be sufficiently addressed. The outcome of these studies would have to provide the necessary assurance that there were no undue implications for other aeronautical systems. Provided this was the case, then it could be determined what ITU regulatory actions would be required to enable use of frequency bands allocated to the fixed</w:t>
      </w:r>
      <w:r w:rsidRPr="000F5DD2">
        <w:rPr>
          <w:szCs w:val="24"/>
          <w:lang w:val="en-CA"/>
        </w:rPr>
        <w:noBreakHyphen/>
        <w:t>satellite service (FSS) for RPAS command and control links to ensure consistency with ICAO technical and regulatory requirements for a safety service.”</w:t>
      </w:r>
    </w:p>
  </w:footnote>
  <w:footnote w:id="6">
    <w:p w:rsidR="00DA7BC4" w:rsidRPr="005D63EE" w:rsidRDefault="00DA7BC4" w:rsidP="00417494">
      <w:pPr>
        <w:pStyle w:val="FootnoteText"/>
        <w:rPr>
          <w:lang w:eastAsia="zh-CN"/>
        </w:rPr>
      </w:pPr>
      <w:r>
        <w:rPr>
          <w:rStyle w:val="FootnoteReference"/>
        </w:rPr>
        <w:t>*</w:t>
      </w:r>
      <w:r>
        <w:t xml:space="preserve"> </w:t>
      </w:r>
      <w:r w:rsidRPr="00CD4405">
        <w:tab/>
      </w:r>
      <w:r>
        <w:rPr>
          <w:szCs w:val="24"/>
          <w:lang w:val="en-US"/>
        </w:rPr>
        <w:t>May also be used consistent with international standards and practices approved by the responsible civil aviation authority.</w:t>
      </w:r>
    </w:p>
  </w:footnote>
  <w:footnote w:id="7">
    <w:p w:rsidR="00DA7BC4" w:rsidRPr="00947C78" w:rsidRDefault="00DA7BC4" w:rsidP="00417494">
      <w:pPr>
        <w:pStyle w:val="FootnoteText"/>
        <w:rPr>
          <w:lang w:val="en-US"/>
        </w:rPr>
      </w:pPr>
      <w:r>
        <w:rPr>
          <w:rStyle w:val="FootnoteReference"/>
        </w:rPr>
        <w:t>*</w:t>
      </w:r>
      <w:r>
        <w:tab/>
      </w:r>
      <w:r>
        <w:rPr>
          <w:szCs w:val="24"/>
          <w:lang w:val="en-US"/>
        </w:rPr>
        <w:t>May also be used consistent with international standards and practices approved by the responsible civil aviation authority.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1E0" w:firstRow="1" w:lastRow="1" w:firstColumn="1" w:lastColumn="1" w:noHBand="0" w:noVBand="0"/>
    </w:tblPr>
    <w:tblGrid>
      <w:gridCol w:w="3123"/>
      <w:gridCol w:w="3123"/>
      <w:gridCol w:w="3124"/>
    </w:tblGrid>
    <w:tr w:rsidR="00DA7BC4">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1E0" w:firstRow="1" w:lastRow="1" w:firstColumn="1" w:lastColumn="1" w:noHBand="0" w:noVBand="0"/>
          </w:tblPr>
          <w:tblGrid>
            <w:gridCol w:w="1934"/>
          </w:tblGrid>
          <w:tr w:rsidR="00DA7BC4">
            <w:tc>
              <w:tcPr>
                <w:tcW w:w="0" w:type="auto"/>
                <w:shd w:val="clear" w:color="auto" w:fill="auto"/>
              </w:tcPr>
              <w:p w:rsidR="00DA7BC4" w:rsidRDefault="001609F8" w:rsidP="004F0EE8">
                <w:pPr>
                  <w:pStyle w:val="Header"/>
                  <w:tabs>
                    <w:tab w:val="left" w:pos="720"/>
                    <w:tab w:val="left" w:pos="1440"/>
                    <w:tab w:val="left" w:pos="1800"/>
                    <w:tab w:val="left" w:pos="2160"/>
                    <w:tab w:val="left" w:pos="2520"/>
                    <w:tab w:val="left" w:pos="2880"/>
                  </w:tabs>
                  <w:jc w:val="left"/>
                </w:pPr>
                <w:r>
                  <w:t>FSMP-WG/2 IP-01</w:t>
                </w:r>
                <w:bookmarkStart w:id="17" w:name="related_to5"/>
                <w:bookmarkEnd w:id="17"/>
              </w:p>
            </w:tc>
          </w:tr>
        </w:tbl>
        <w:p w:rsidR="00DA7BC4" w:rsidRPr="004F0EE8" w:rsidRDefault="00DA7BC4" w:rsidP="004F0EE8">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DA7BC4" w:rsidRPr="004F0EE8" w:rsidRDefault="00DA7BC4" w:rsidP="004F0EE8">
          <w:pPr>
            <w:pStyle w:val="Header"/>
            <w:tabs>
              <w:tab w:val="left" w:pos="720"/>
              <w:tab w:val="left" w:pos="1440"/>
              <w:tab w:val="left" w:pos="1800"/>
              <w:tab w:val="left" w:pos="2160"/>
              <w:tab w:val="left" w:pos="2520"/>
              <w:tab w:val="left" w:pos="2880"/>
            </w:tabs>
            <w:jc w:val="center"/>
          </w:pPr>
          <w:r>
            <w:fldChar w:fldCharType="begin"/>
          </w:r>
          <w:r>
            <w:instrText xml:space="preserve"> PAGE  \* ArabicDash </w:instrText>
          </w:r>
          <w:r>
            <w:fldChar w:fldCharType="separate"/>
          </w:r>
          <w:r w:rsidR="00D66EE8">
            <w:rPr>
              <w:noProof/>
            </w:rPr>
            <w:t>- 6 -</w:t>
          </w:r>
          <w:r>
            <w:rPr>
              <w:noProof/>
            </w:rPr>
            <w:fldChar w:fldCharType="end"/>
          </w:r>
        </w:p>
      </w:tc>
      <w:tc>
        <w:tcPr>
          <w:tcW w:w="3124" w:type="dxa"/>
          <w:shd w:val="clear" w:color="auto" w:fill="auto"/>
        </w:tcPr>
        <w:p w:rsidR="00DA7BC4" w:rsidRDefault="00DA7BC4" w:rsidP="004F0EE8">
          <w:pPr>
            <w:pStyle w:val="Header"/>
            <w:tabs>
              <w:tab w:val="left" w:pos="720"/>
              <w:tab w:val="left" w:pos="1440"/>
              <w:tab w:val="left" w:pos="1800"/>
              <w:tab w:val="left" w:pos="2160"/>
              <w:tab w:val="left" w:pos="2520"/>
              <w:tab w:val="left" w:pos="2880"/>
            </w:tabs>
          </w:pPr>
        </w:p>
      </w:tc>
    </w:tr>
  </w:tbl>
  <w:p w:rsidR="00DA7BC4" w:rsidRPr="005945C7" w:rsidRDefault="00DA7BC4" w:rsidP="00D02F31">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1E0" w:firstRow="1" w:lastRow="1" w:firstColumn="1" w:lastColumn="1" w:noHBand="0" w:noVBand="0"/>
    </w:tblPr>
    <w:tblGrid>
      <w:gridCol w:w="3123"/>
      <w:gridCol w:w="3123"/>
      <w:gridCol w:w="3124"/>
    </w:tblGrid>
    <w:tr w:rsidR="00DA7BC4" w:rsidTr="00A952EC">
      <w:tc>
        <w:tcPr>
          <w:tcW w:w="3123" w:type="dxa"/>
          <w:shd w:val="clear" w:color="auto" w:fill="auto"/>
        </w:tcPr>
        <w:p w:rsidR="00DA7BC4" w:rsidRDefault="00DA7BC4" w:rsidP="004F0EE8">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DA7BC4" w:rsidRPr="004F0EE8" w:rsidRDefault="00DA7BC4" w:rsidP="004F0EE8">
          <w:pPr>
            <w:pStyle w:val="Header"/>
            <w:tabs>
              <w:tab w:val="center" w:pos="720"/>
              <w:tab w:val="center" w:pos="1440"/>
              <w:tab w:val="center" w:pos="1800"/>
              <w:tab w:val="center" w:pos="2160"/>
              <w:tab w:val="center" w:pos="2520"/>
              <w:tab w:val="center" w:pos="2880"/>
            </w:tabs>
            <w:jc w:val="center"/>
          </w:pPr>
          <w:r>
            <w:fldChar w:fldCharType="begin"/>
          </w:r>
          <w:r>
            <w:instrText xml:space="preserve"> PAGE  \* ArabicDash </w:instrText>
          </w:r>
          <w:r>
            <w:fldChar w:fldCharType="separate"/>
          </w:r>
          <w:r w:rsidR="00D66EE8">
            <w:rPr>
              <w:noProof/>
            </w:rPr>
            <w:t>- 5 -</w:t>
          </w:r>
          <w:r>
            <w:rPr>
              <w:noProof/>
            </w:rPr>
            <w:fldChar w:fldCharType="end"/>
          </w: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1E0" w:firstRow="1" w:lastRow="1" w:firstColumn="1" w:lastColumn="1" w:noHBand="0" w:noVBand="0"/>
          </w:tblPr>
          <w:tblGrid>
            <w:gridCol w:w="1934"/>
          </w:tblGrid>
          <w:tr w:rsidR="00DA7BC4">
            <w:trPr>
              <w:jc w:val="right"/>
            </w:trPr>
            <w:tc>
              <w:tcPr>
                <w:tcW w:w="0" w:type="auto"/>
                <w:shd w:val="clear" w:color="auto" w:fill="auto"/>
              </w:tcPr>
              <w:p w:rsidR="00DA7BC4" w:rsidRDefault="001609F8" w:rsidP="001609F8">
                <w:pPr>
                  <w:pStyle w:val="Header"/>
                  <w:tabs>
                    <w:tab w:val="center" w:pos="720"/>
                    <w:tab w:val="center" w:pos="1440"/>
                    <w:tab w:val="center" w:pos="1800"/>
                    <w:tab w:val="center" w:pos="2160"/>
                    <w:tab w:val="center" w:pos="2520"/>
                    <w:tab w:val="center" w:pos="2880"/>
                  </w:tabs>
                  <w:jc w:val="left"/>
                </w:pPr>
                <w:bookmarkStart w:id="18" w:name="document_no_header_odd9"/>
                <w:r>
                  <w:t>FSMP-WG/2 IP-01</w:t>
                </w:r>
                <w:bookmarkEnd w:id="18"/>
              </w:p>
              <w:p w:rsidR="00DA7BC4" w:rsidRDefault="00DA7BC4" w:rsidP="004F0EE8">
                <w:pPr>
                  <w:pStyle w:val="Header"/>
                  <w:tabs>
                    <w:tab w:val="center" w:pos="720"/>
                    <w:tab w:val="center" w:pos="1440"/>
                    <w:tab w:val="center" w:pos="1800"/>
                    <w:tab w:val="center" w:pos="2160"/>
                    <w:tab w:val="center" w:pos="2520"/>
                    <w:tab w:val="center" w:pos="2880"/>
                  </w:tabs>
                  <w:jc w:val="left"/>
                </w:pPr>
                <w:bookmarkStart w:id="19" w:name="related_to6"/>
                <w:bookmarkEnd w:id="19"/>
              </w:p>
            </w:tc>
          </w:tr>
        </w:tbl>
        <w:p w:rsidR="00DA7BC4" w:rsidRPr="004F0EE8" w:rsidRDefault="00DA7BC4" w:rsidP="004F0EE8">
          <w:pPr>
            <w:pStyle w:val="Header"/>
            <w:tabs>
              <w:tab w:val="center" w:pos="720"/>
              <w:tab w:val="center" w:pos="1440"/>
              <w:tab w:val="center" w:pos="1800"/>
              <w:tab w:val="center" w:pos="2160"/>
              <w:tab w:val="center" w:pos="2520"/>
              <w:tab w:val="center" w:pos="2880"/>
            </w:tabs>
            <w:jc w:val="left"/>
          </w:pPr>
        </w:p>
      </w:tc>
    </w:tr>
  </w:tbl>
  <w:p w:rsidR="00DA7BC4" w:rsidRPr="007307A8" w:rsidRDefault="00DA7BC4" w:rsidP="005167F3">
    <w:pPr>
      <w:pStyle w:val="Header"/>
      <w:tabs>
        <w:tab w:val="center" w:pos="720"/>
        <w:tab w:val="center" w:pos="1440"/>
        <w:tab w:val="center" w:pos="1800"/>
        <w:tab w:val="center" w:pos="2160"/>
        <w:tab w:val="center" w:pos="2520"/>
        <w:tab w:val="center" w:pos="2880"/>
      </w:tabs>
      <w:ind w:left="7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1E0" w:firstRow="1" w:lastRow="1" w:firstColumn="1" w:lastColumn="1" w:noHBand="0" w:noVBand="0"/>
    </w:tblPr>
    <w:tblGrid>
      <w:gridCol w:w="3123"/>
      <w:gridCol w:w="3123"/>
      <w:gridCol w:w="3124"/>
    </w:tblGrid>
    <w:tr w:rsidR="00DA7BC4">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1E0" w:firstRow="1" w:lastRow="1" w:firstColumn="1" w:lastColumn="1" w:noHBand="0" w:noVBand="0"/>
          </w:tblPr>
          <w:tblGrid>
            <w:gridCol w:w="1622"/>
          </w:tblGrid>
          <w:tr w:rsidR="00DA7BC4">
            <w:tc>
              <w:tcPr>
                <w:tcW w:w="0" w:type="auto"/>
                <w:shd w:val="clear" w:color="auto" w:fill="auto"/>
              </w:tcPr>
              <w:p w:rsidR="001609F8" w:rsidRPr="001609F8" w:rsidRDefault="001609F8" w:rsidP="001609F8">
                <w:pPr>
                  <w:jc w:val="right"/>
                  <w:rPr>
                    <w:sz w:val="18"/>
                    <w:szCs w:val="18"/>
                    <w:lang w:eastAsia="zh-CN"/>
                  </w:rPr>
                </w:pPr>
                <w:r w:rsidRPr="001609F8">
                  <w:rPr>
                    <w:sz w:val="18"/>
                    <w:szCs w:val="18"/>
                  </w:rPr>
                  <w:t>FSMP-WG/2 IP-01</w:t>
                </w:r>
              </w:p>
              <w:p w:rsidR="00DA7BC4" w:rsidRPr="00E4230E" w:rsidRDefault="00DA7BC4" w:rsidP="00354798">
                <w:pPr>
                  <w:pStyle w:val="Header"/>
                  <w:tabs>
                    <w:tab w:val="left" w:pos="720"/>
                    <w:tab w:val="left" w:pos="1440"/>
                    <w:tab w:val="left" w:pos="1800"/>
                    <w:tab w:val="left" w:pos="2160"/>
                    <w:tab w:val="left" w:pos="2520"/>
                    <w:tab w:val="left" w:pos="2880"/>
                  </w:tabs>
                  <w:jc w:val="left"/>
                  <w:rPr>
                    <w:sz w:val="18"/>
                    <w:szCs w:val="18"/>
                  </w:rPr>
                </w:pPr>
                <w:r w:rsidRPr="00E4230E">
                  <w:rPr>
                    <w:b/>
                    <w:bCs/>
                    <w:sz w:val="18"/>
                    <w:szCs w:val="18"/>
                  </w:rPr>
                  <w:t>Appendix A</w:t>
                </w:r>
              </w:p>
            </w:tc>
          </w:tr>
        </w:tbl>
        <w:p w:rsidR="00DA7BC4" w:rsidRPr="004F0EE8" w:rsidRDefault="00DA7BC4" w:rsidP="004F0EE8">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DA7BC4" w:rsidRPr="004F0EE8" w:rsidRDefault="00DA7BC4" w:rsidP="004F0EE8">
          <w:pPr>
            <w:pStyle w:val="Header"/>
            <w:tabs>
              <w:tab w:val="left" w:pos="720"/>
              <w:tab w:val="left" w:pos="1440"/>
              <w:tab w:val="left" w:pos="1800"/>
              <w:tab w:val="left" w:pos="2160"/>
              <w:tab w:val="left" w:pos="2520"/>
              <w:tab w:val="left" w:pos="2880"/>
            </w:tabs>
            <w:jc w:val="center"/>
          </w:pPr>
          <w:r>
            <w:t>A-</w:t>
          </w:r>
          <w:r>
            <w:fldChar w:fldCharType="begin"/>
          </w:r>
          <w:r>
            <w:instrText xml:space="preserve"> PAGE </w:instrText>
          </w:r>
          <w:r>
            <w:fldChar w:fldCharType="separate"/>
          </w:r>
          <w:r w:rsidR="00D66EE8">
            <w:rPr>
              <w:noProof/>
            </w:rPr>
            <w:t>14</w:t>
          </w:r>
          <w:r>
            <w:rPr>
              <w:noProof/>
            </w:rPr>
            <w:fldChar w:fldCharType="end"/>
          </w:r>
        </w:p>
      </w:tc>
      <w:tc>
        <w:tcPr>
          <w:tcW w:w="3124" w:type="dxa"/>
          <w:shd w:val="clear" w:color="auto" w:fill="auto"/>
        </w:tcPr>
        <w:p w:rsidR="00DA7BC4" w:rsidRDefault="00DA7BC4" w:rsidP="004F0EE8">
          <w:pPr>
            <w:pStyle w:val="Header"/>
            <w:tabs>
              <w:tab w:val="left" w:pos="720"/>
              <w:tab w:val="left" w:pos="1440"/>
              <w:tab w:val="left" w:pos="1800"/>
              <w:tab w:val="left" w:pos="2160"/>
              <w:tab w:val="left" w:pos="2520"/>
              <w:tab w:val="left" w:pos="2880"/>
            </w:tabs>
          </w:pPr>
        </w:p>
      </w:tc>
    </w:tr>
  </w:tbl>
  <w:p w:rsidR="00DA7BC4" w:rsidRPr="005945C7" w:rsidRDefault="00DA7BC4" w:rsidP="00D02F31">
    <w:pPr>
      <w:pStyle w:val="Header"/>
      <w:tabs>
        <w:tab w:val="left" w:pos="720"/>
        <w:tab w:val="left" w:pos="1440"/>
        <w:tab w:val="left" w:pos="1800"/>
        <w:tab w:val="left" w:pos="2160"/>
        <w:tab w:val="left" w:pos="2520"/>
        <w:tab w:val="left" w:pos="28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Pr="007307A8" w:rsidRDefault="00DA7BC4" w:rsidP="007D121D">
    <w:pPr>
      <w:pStyle w:val="Header"/>
      <w:framePr w:wrap="around" w:vAnchor="text" w:hAnchor="margin" w:xAlign="center" w:y="1"/>
      <w:rPr>
        <w:rStyle w:val="PageNumber"/>
        <w:szCs w:val="22"/>
      </w:rPr>
    </w:pPr>
    <w:r>
      <w:rPr>
        <w:rStyle w:val="PageNumber"/>
      </w:rPr>
      <w:t>A-</w:t>
    </w: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D66EE8">
      <w:rPr>
        <w:rStyle w:val="PageNumber"/>
        <w:noProof/>
      </w:rPr>
      <w:t>15</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22"/>
    </w:tblGrid>
    <w:tr w:rsidR="00DA7BC4" w:rsidTr="00C448AC">
      <w:trPr>
        <w:jc w:val="right"/>
      </w:trPr>
      <w:tc>
        <w:tcPr>
          <w:tcW w:w="0" w:type="auto"/>
        </w:tcPr>
        <w:p w:rsidR="001609F8" w:rsidRPr="001609F8" w:rsidRDefault="001609F8" w:rsidP="001609F8">
          <w:pPr>
            <w:jc w:val="right"/>
            <w:rPr>
              <w:sz w:val="18"/>
              <w:szCs w:val="18"/>
              <w:lang w:eastAsia="zh-CN"/>
            </w:rPr>
          </w:pPr>
          <w:r w:rsidRPr="001609F8">
            <w:rPr>
              <w:sz w:val="18"/>
              <w:szCs w:val="18"/>
            </w:rPr>
            <w:t>FSMP-WG/2 IP-01</w:t>
          </w:r>
        </w:p>
        <w:p w:rsidR="00DA7BC4" w:rsidRPr="00E4230E" w:rsidRDefault="00DA7BC4" w:rsidP="006B07EB">
          <w:pPr>
            <w:pStyle w:val="Header"/>
            <w:tabs>
              <w:tab w:val="left" w:pos="720"/>
              <w:tab w:val="left" w:pos="1440"/>
              <w:tab w:val="left" w:pos="1800"/>
              <w:tab w:val="left" w:pos="2160"/>
              <w:tab w:val="left" w:pos="2520"/>
              <w:tab w:val="left" w:pos="2880"/>
            </w:tabs>
            <w:jc w:val="left"/>
            <w:rPr>
              <w:b/>
              <w:bCs/>
              <w:sz w:val="18"/>
              <w:szCs w:val="18"/>
            </w:rPr>
          </w:pPr>
          <w:r w:rsidRPr="00E4230E">
            <w:rPr>
              <w:b/>
              <w:bCs/>
              <w:sz w:val="18"/>
              <w:szCs w:val="18"/>
            </w:rPr>
            <w:t>Appendix A</w:t>
          </w:r>
        </w:p>
      </w:tc>
    </w:tr>
  </w:tbl>
  <w:p w:rsidR="00DA7BC4" w:rsidRPr="007307A8" w:rsidRDefault="00DA7BC4" w:rsidP="005167F3">
    <w:pPr>
      <w:pStyle w:val="Header"/>
      <w:tabs>
        <w:tab w:val="center" w:pos="720"/>
        <w:tab w:val="center" w:pos="1440"/>
        <w:tab w:val="center" w:pos="1800"/>
        <w:tab w:val="center" w:pos="2160"/>
        <w:tab w:val="center" w:pos="2520"/>
        <w:tab w:val="center" w:pos="2880"/>
      </w:tabs>
      <w:ind w:left="72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Pr="001609F8" w:rsidRDefault="001609F8" w:rsidP="00B822D3">
    <w:pPr>
      <w:jc w:val="right"/>
      <w:rPr>
        <w:sz w:val="18"/>
        <w:szCs w:val="18"/>
        <w:lang w:eastAsia="zh-CN"/>
      </w:rPr>
    </w:pPr>
    <w:r w:rsidRPr="001609F8">
      <w:rPr>
        <w:sz w:val="18"/>
        <w:szCs w:val="18"/>
      </w:rPr>
      <w:t>FSMP-WG/2 IP-01</w:t>
    </w:r>
  </w:p>
  <w:p w:rsidR="00DA7BC4" w:rsidRDefault="00DA7BC4" w:rsidP="00B822D3">
    <w:pPr>
      <w:tabs>
        <w:tab w:val="left" w:pos="8364"/>
      </w:tabs>
      <w:rPr>
        <w:b/>
        <w:sz w:val="18"/>
        <w:lang w:eastAsia="zh-CN"/>
      </w:rPr>
    </w:pPr>
    <w:r>
      <w:rPr>
        <w:b/>
        <w:sz w:val="18"/>
        <w:lang w:eastAsia="zh-CN"/>
      </w:rPr>
      <w:tab/>
    </w:r>
    <w:r w:rsidRPr="00FF419F">
      <w:rPr>
        <w:b/>
        <w:sz w:val="18"/>
        <w:lang w:eastAsia="zh-CN"/>
      </w:rPr>
      <w:t xml:space="preserve">Appendix </w:t>
    </w:r>
    <w:r>
      <w:rPr>
        <w:b/>
        <w:sz w:val="18"/>
        <w:lang w:eastAsia="zh-CN"/>
      </w:rPr>
      <w:t>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1E0" w:firstRow="1" w:lastRow="1" w:firstColumn="1" w:lastColumn="1" w:noHBand="0" w:noVBand="0"/>
    </w:tblPr>
    <w:tblGrid>
      <w:gridCol w:w="3123"/>
      <w:gridCol w:w="3123"/>
      <w:gridCol w:w="3124"/>
    </w:tblGrid>
    <w:tr w:rsidR="001609F8">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1E0" w:firstRow="1" w:lastRow="1" w:firstColumn="1" w:lastColumn="1" w:noHBand="0" w:noVBand="0"/>
          </w:tblPr>
          <w:tblGrid>
            <w:gridCol w:w="1622"/>
          </w:tblGrid>
          <w:tr w:rsidR="001609F8">
            <w:tc>
              <w:tcPr>
                <w:tcW w:w="0" w:type="auto"/>
                <w:shd w:val="clear" w:color="auto" w:fill="auto"/>
              </w:tcPr>
              <w:p w:rsidR="001609F8" w:rsidRPr="001609F8" w:rsidRDefault="001609F8" w:rsidP="001609F8">
                <w:pPr>
                  <w:jc w:val="right"/>
                  <w:rPr>
                    <w:sz w:val="18"/>
                    <w:szCs w:val="18"/>
                    <w:lang w:eastAsia="zh-CN"/>
                  </w:rPr>
                </w:pPr>
                <w:r w:rsidRPr="001609F8">
                  <w:rPr>
                    <w:sz w:val="18"/>
                    <w:szCs w:val="18"/>
                  </w:rPr>
                  <w:t>FSMP-WG/2 IP-01</w:t>
                </w:r>
              </w:p>
              <w:p w:rsidR="001609F8" w:rsidRPr="00E4230E" w:rsidRDefault="001609F8" w:rsidP="001609F8">
                <w:pPr>
                  <w:pStyle w:val="Header"/>
                  <w:tabs>
                    <w:tab w:val="left" w:pos="720"/>
                    <w:tab w:val="left" w:pos="1440"/>
                    <w:tab w:val="left" w:pos="1800"/>
                    <w:tab w:val="left" w:pos="2160"/>
                    <w:tab w:val="left" w:pos="2520"/>
                    <w:tab w:val="left" w:pos="2880"/>
                  </w:tabs>
                  <w:jc w:val="left"/>
                  <w:rPr>
                    <w:sz w:val="18"/>
                    <w:szCs w:val="18"/>
                  </w:rPr>
                </w:pPr>
                <w:r w:rsidRPr="00E4230E">
                  <w:rPr>
                    <w:b/>
                    <w:bCs/>
                    <w:sz w:val="18"/>
                    <w:szCs w:val="18"/>
                  </w:rPr>
                  <w:t xml:space="preserve">Appendix </w:t>
                </w:r>
                <w:r>
                  <w:rPr>
                    <w:b/>
                    <w:bCs/>
                    <w:sz w:val="18"/>
                    <w:szCs w:val="18"/>
                  </w:rPr>
                  <w:t>B</w:t>
                </w:r>
              </w:p>
            </w:tc>
          </w:tr>
        </w:tbl>
        <w:p w:rsidR="001609F8" w:rsidRPr="004F0EE8" w:rsidRDefault="001609F8" w:rsidP="004F0EE8">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1609F8" w:rsidRPr="004F0EE8" w:rsidRDefault="001609F8" w:rsidP="001609F8">
          <w:pPr>
            <w:pStyle w:val="Header"/>
            <w:tabs>
              <w:tab w:val="left" w:pos="720"/>
              <w:tab w:val="left" w:pos="1440"/>
              <w:tab w:val="left" w:pos="1800"/>
              <w:tab w:val="left" w:pos="2160"/>
              <w:tab w:val="left" w:pos="2520"/>
              <w:tab w:val="left" w:pos="2880"/>
            </w:tabs>
            <w:jc w:val="center"/>
          </w:pPr>
          <w:r>
            <w:t>B-</w:t>
          </w:r>
          <w:r>
            <w:fldChar w:fldCharType="begin"/>
          </w:r>
          <w:r>
            <w:instrText xml:space="preserve"> PAGE  \* Arabic </w:instrText>
          </w:r>
          <w:r>
            <w:fldChar w:fldCharType="separate"/>
          </w:r>
          <w:r w:rsidR="00D66EE8">
            <w:rPr>
              <w:noProof/>
            </w:rPr>
            <w:t>14</w:t>
          </w:r>
          <w:r>
            <w:fldChar w:fldCharType="end"/>
          </w:r>
        </w:p>
      </w:tc>
      <w:tc>
        <w:tcPr>
          <w:tcW w:w="3124" w:type="dxa"/>
          <w:shd w:val="clear" w:color="auto" w:fill="auto"/>
        </w:tcPr>
        <w:p w:rsidR="001609F8" w:rsidRDefault="001609F8" w:rsidP="004F0EE8">
          <w:pPr>
            <w:pStyle w:val="Header"/>
            <w:tabs>
              <w:tab w:val="left" w:pos="720"/>
              <w:tab w:val="left" w:pos="1440"/>
              <w:tab w:val="left" w:pos="1800"/>
              <w:tab w:val="left" w:pos="2160"/>
              <w:tab w:val="left" w:pos="2520"/>
              <w:tab w:val="left" w:pos="2880"/>
            </w:tabs>
          </w:pPr>
        </w:p>
      </w:tc>
    </w:tr>
  </w:tbl>
  <w:p w:rsidR="001609F8" w:rsidRPr="005945C7" w:rsidRDefault="001609F8" w:rsidP="00D02F31">
    <w:pPr>
      <w:pStyle w:val="Header"/>
      <w:tabs>
        <w:tab w:val="left" w:pos="720"/>
        <w:tab w:val="left" w:pos="1440"/>
        <w:tab w:val="left" w:pos="1800"/>
        <w:tab w:val="left" w:pos="2160"/>
        <w:tab w:val="left" w:pos="2520"/>
        <w:tab w:val="left" w:pos="288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F8" w:rsidRPr="007307A8" w:rsidRDefault="001609F8" w:rsidP="001609F8">
    <w:pPr>
      <w:pStyle w:val="Header"/>
      <w:framePr w:wrap="around" w:vAnchor="text" w:hAnchor="margin" w:xAlign="center" w:y="1"/>
      <w:rPr>
        <w:rStyle w:val="PageNumber"/>
        <w:szCs w:val="22"/>
      </w:rPr>
    </w:pPr>
    <w:r>
      <w:rPr>
        <w:rStyle w:val="PageNumber"/>
      </w:rPr>
      <w:t>B-</w:t>
    </w:r>
    <w:r>
      <w:rPr>
        <w:rStyle w:val="PageNumber"/>
      </w:rPr>
      <w:fldChar w:fldCharType="begin"/>
    </w:r>
    <w:r>
      <w:rPr>
        <w:rStyle w:val="PageNumber"/>
      </w:rPr>
      <w:instrText xml:space="preserve"> PAGE  \* Arabic </w:instrText>
    </w:r>
    <w:r>
      <w:rPr>
        <w:rStyle w:val="PageNumber"/>
      </w:rPr>
      <w:fldChar w:fldCharType="separate"/>
    </w:r>
    <w:r w:rsidR="00D66EE8">
      <w:rPr>
        <w:rStyle w:val="PageNumber"/>
        <w:noProof/>
      </w:rPr>
      <w:t>15</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22"/>
    </w:tblGrid>
    <w:tr w:rsidR="001609F8" w:rsidTr="00C448AC">
      <w:trPr>
        <w:jc w:val="right"/>
      </w:trPr>
      <w:tc>
        <w:tcPr>
          <w:tcW w:w="0" w:type="auto"/>
        </w:tcPr>
        <w:p w:rsidR="001609F8" w:rsidRPr="001609F8" w:rsidRDefault="001609F8" w:rsidP="001609F8">
          <w:pPr>
            <w:jc w:val="right"/>
            <w:rPr>
              <w:sz w:val="18"/>
              <w:szCs w:val="18"/>
              <w:lang w:eastAsia="zh-CN"/>
            </w:rPr>
          </w:pPr>
          <w:r w:rsidRPr="001609F8">
            <w:rPr>
              <w:sz w:val="18"/>
              <w:szCs w:val="18"/>
            </w:rPr>
            <w:t>FSMP-WG/2 IP-01</w:t>
          </w:r>
        </w:p>
        <w:p w:rsidR="001609F8" w:rsidRPr="00E4230E" w:rsidRDefault="001609F8" w:rsidP="006B07EB">
          <w:pPr>
            <w:pStyle w:val="Header"/>
            <w:tabs>
              <w:tab w:val="left" w:pos="720"/>
              <w:tab w:val="left" w:pos="1440"/>
              <w:tab w:val="left" w:pos="1800"/>
              <w:tab w:val="left" w:pos="2160"/>
              <w:tab w:val="left" w:pos="2520"/>
              <w:tab w:val="left" w:pos="2880"/>
            </w:tabs>
            <w:jc w:val="left"/>
            <w:rPr>
              <w:b/>
              <w:bCs/>
              <w:sz w:val="18"/>
              <w:szCs w:val="18"/>
            </w:rPr>
          </w:pPr>
          <w:r>
            <w:rPr>
              <w:b/>
              <w:bCs/>
              <w:sz w:val="18"/>
              <w:szCs w:val="18"/>
            </w:rPr>
            <w:t>Appendix B</w:t>
          </w:r>
        </w:p>
      </w:tc>
    </w:tr>
  </w:tbl>
  <w:p w:rsidR="001609F8" w:rsidRPr="007307A8" w:rsidRDefault="001609F8" w:rsidP="005167F3">
    <w:pPr>
      <w:pStyle w:val="Header"/>
      <w:tabs>
        <w:tab w:val="center" w:pos="720"/>
        <w:tab w:val="center" w:pos="1440"/>
        <w:tab w:val="center" w:pos="1800"/>
        <w:tab w:val="center" w:pos="2160"/>
        <w:tab w:val="center" w:pos="2520"/>
        <w:tab w:val="center" w:pos="2880"/>
      </w:tabs>
      <w:ind w:left="720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C4" w:rsidRDefault="00DA7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23F53C5"/>
    <w:multiLevelType w:val="multilevel"/>
    <w:tmpl w:val="BC6AA922"/>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3EC22AE"/>
    <w:multiLevelType w:val="multilevel"/>
    <w:tmpl w:val="90CECF74"/>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7046531"/>
    <w:multiLevelType w:val="multilevel"/>
    <w:tmpl w:val="1A6E5688"/>
    <w:lvl w:ilvl="0">
      <w:start w:val="1"/>
      <w:numFmt w:val="decimal"/>
      <w:lvlText w:val="%1."/>
      <w:lvlJc w:val="left"/>
      <w:pPr>
        <w:ind w:left="1440" w:hanging="1440"/>
      </w:pPr>
      <w:rPr>
        <w:rFonts w:hint="default"/>
        <w:b w:val="0"/>
        <w:bCs/>
      </w:rPr>
    </w:lvl>
    <w:lvl w:ilvl="1">
      <w:start w:val="1"/>
      <w:numFmt w:val="decimal"/>
      <w:lvlText w:val="%1.%2"/>
      <w:lvlJc w:val="left"/>
      <w:pPr>
        <w:ind w:left="1440" w:hanging="1440"/>
      </w:pPr>
      <w:rPr>
        <w:rFonts w:hint="default"/>
        <w:b w:val="0"/>
        <w:bCs/>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D11E07"/>
    <w:multiLevelType w:val="singleLevel"/>
    <w:tmpl w:val="CD8E7696"/>
    <w:lvl w:ilvl="0">
      <w:start w:val="1"/>
      <w:numFmt w:val="bullet"/>
      <w:pStyle w:val="ListIndt3"/>
      <w:lvlText w:val="—"/>
      <w:lvlJc w:val="left"/>
      <w:pPr>
        <w:tabs>
          <w:tab w:val="num" w:pos="2520"/>
        </w:tabs>
        <w:ind w:left="2520" w:hanging="360"/>
      </w:pPr>
      <w:rPr>
        <w:rFonts w:ascii="Times New Roman" w:hAnsi="Times New Roman" w:hint="default"/>
      </w:rPr>
    </w:lvl>
  </w:abstractNum>
  <w:abstractNum w:abstractNumId="5">
    <w:nsid w:val="09E82772"/>
    <w:multiLevelType w:val="hybridMultilevel"/>
    <w:tmpl w:val="F9945A68"/>
    <w:lvl w:ilvl="0" w:tplc="507C1F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nsid w:val="0CB936FA"/>
    <w:multiLevelType w:val="multilevel"/>
    <w:tmpl w:val="EBFE2224"/>
    <w:lvl w:ilvl="0">
      <w:start w:val="1"/>
      <w:numFmt w:val="decimal"/>
      <w:lvlText w:val="%1"/>
      <w:lvlJc w:val="left"/>
      <w:pPr>
        <w:tabs>
          <w:tab w:val="num" w:pos="432"/>
        </w:tabs>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tabs>
          <w:tab w:val="num" w:pos="720"/>
        </w:tabs>
        <w:ind w:left="720" w:hanging="720"/>
      </w:pPr>
      <w:rPr>
        <w:b w:val="0"/>
        <w:sz w:val="22"/>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rPr>
        <w:b w:val="0"/>
        <w:sz w:val="22"/>
      </w:rPr>
    </w:lvl>
    <w:lvl w:ilvl="5">
      <w:start w:val="1"/>
      <w:numFmt w:val="decimal"/>
      <w:lvlText w:val="%1.%2.%3.%4.%5.%6"/>
      <w:lvlJc w:val="left"/>
      <w:pPr>
        <w:tabs>
          <w:tab w:val="num" w:pos="1152"/>
        </w:tabs>
        <w:ind w:left="1152" w:hanging="1152"/>
      </w:pPr>
      <w:rPr>
        <w:b w:val="0"/>
        <w:sz w:val="22"/>
      </w:rPr>
    </w:lvl>
    <w:lvl w:ilvl="6">
      <w:start w:val="1"/>
      <w:numFmt w:val="decimal"/>
      <w:lvlText w:val="%1.%2.%3.%4.%5.%6.%7"/>
      <w:lvlJc w:val="left"/>
      <w:pPr>
        <w:tabs>
          <w:tab w:val="num" w:pos="1296"/>
        </w:tabs>
        <w:ind w:left="1296" w:hanging="1296"/>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584"/>
        </w:tabs>
        <w:ind w:left="1584" w:hanging="1584"/>
      </w:pPr>
      <w:rPr>
        <w:b w:val="0"/>
        <w:sz w:val="22"/>
      </w:rPr>
    </w:lvl>
  </w:abstractNum>
  <w:abstractNum w:abstractNumId="8">
    <w:nsid w:val="192A1E9D"/>
    <w:multiLevelType w:val="hybridMultilevel"/>
    <w:tmpl w:val="3C7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A966C2"/>
    <w:multiLevelType w:val="multilevel"/>
    <w:tmpl w:val="303E3574"/>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C8832DA"/>
    <w:multiLevelType w:val="multilevel"/>
    <w:tmpl w:val="B824D6AC"/>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F2B6BB0"/>
    <w:multiLevelType w:val="singleLevel"/>
    <w:tmpl w:val="F490B8D8"/>
    <w:lvl w:ilvl="0">
      <w:start w:val="1"/>
      <w:numFmt w:val="decimal"/>
      <w:pStyle w:val="ListIndt3"/>
      <w:lvlText w:val="%1)"/>
      <w:lvlJc w:val="left"/>
      <w:pPr>
        <w:tabs>
          <w:tab w:val="num" w:pos="2160"/>
        </w:tabs>
        <w:ind w:left="2160" w:hanging="360"/>
      </w:pPr>
    </w:lvl>
  </w:abstractNum>
  <w:abstractNum w:abstractNumId="12">
    <w:nsid w:val="28015575"/>
    <w:multiLevelType w:val="hybridMultilevel"/>
    <w:tmpl w:val="64D6E400"/>
    <w:lvl w:ilvl="0" w:tplc="7882B970">
      <w:start w:val="1"/>
      <w:numFmt w:val="decimal"/>
      <w:pStyle w:val="1Para"/>
      <w:lvlText w:val="%1."/>
      <w:lvlJc w:val="left"/>
      <w:pPr>
        <w:tabs>
          <w:tab w:val="num" w:pos="1440"/>
        </w:tabs>
        <w:ind w:left="0" w:firstLine="0"/>
      </w:pPr>
      <w:rPr>
        <w:rFonts w:ascii="Times New Roman" w:hAnsi="Times New Roman" w:cs="Times New Roman"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DA3AD7"/>
    <w:multiLevelType w:val="multilevel"/>
    <w:tmpl w:val="EE9A44FC"/>
    <w:lvl w:ilvl="0">
      <w:start w:val="1"/>
      <w:numFmt w:val="bullet"/>
      <w:lvlText w:val=""/>
      <w:lvlJc w:val="left"/>
      <w:pPr>
        <w:ind w:left="2880" w:hanging="1440"/>
      </w:pPr>
      <w:rPr>
        <w:rFonts w:ascii="Symbol" w:hAnsi="Symbol" w:hint="default"/>
      </w:rPr>
    </w:lvl>
    <w:lvl w:ilvl="1">
      <w:start w:val="1"/>
      <w:numFmt w:val="decimal"/>
      <w:lvlText w:val="%1.%2"/>
      <w:lvlJc w:val="left"/>
      <w:pPr>
        <w:ind w:left="288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288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2880" w:hanging="1440"/>
      </w:pPr>
      <w:rPr>
        <w:rFonts w:hint="default"/>
      </w:rPr>
    </w:lvl>
  </w:abstractNum>
  <w:abstractNum w:abstractNumId="14">
    <w:nsid w:val="321B6AF8"/>
    <w:multiLevelType w:val="multilevel"/>
    <w:tmpl w:val="24EE2284"/>
    <w:lvl w:ilvl="0">
      <w:start w:val="1"/>
      <w:numFmt w:val="none"/>
      <w:pStyle w:val="List-"/>
      <w:lvlText w:val="—"/>
      <w:lvlJc w:val="left"/>
      <w:pPr>
        <w:tabs>
          <w:tab w:val="num" w:pos="2160"/>
        </w:tabs>
        <w:ind w:left="2520" w:hanging="360"/>
      </w:pPr>
      <w:rPr>
        <w:rFonts w:hint="default"/>
        <w:b w:val="0"/>
        <w:i w:val="0"/>
        <w:sz w:val="22"/>
        <w:szCs w:val="22"/>
      </w:rPr>
    </w:lvl>
    <w:lvl w:ilvl="1">
      <w:start w:val="1"/>
      <w:numFmt w:val="none"/>
      <w:pStyle w:val="Heading2"/>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5">
    <w:nsid w:val="4DD40C8A"/>
    <w:multiLevelType w:val="hybridMultilevel"/>
    <w:tmpl w:val="FA88E020"/>
    <w:lvl w:ilvl="0" w:tplc="0198639C">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B0FEB20C" w:tentative="1">
      <w:start w:val="1"/>
      <w:numFmt w:val="lowerLetter"/>
      <w:lvlText w:val="%2."/>
      <w:lvlJc w:val="left"/>
      <w:pPr>
        <w:tabs>
          <w:tab w:val="num" w:pos="1440"/>
        </w:tabs>
        <w:ind w:left="1440" w:hanging="360"/>
      </w:pPr>
    </w:lvl>
    <w:lvl w:ilvl="2" w:tplc="E3385964" w:tentative="1">
      <w:start w:val="1"/>
      <w:numFmt w:val="lowerRoman"/>
      <w:lvlText w:val="%3."/>
      <w:lvlJc w:val="right"/>
      <w:pPr>
        <w:tabs>
          <w:tab w:val="num" w:pos="2160"/>
        </w:tabs>
        <w:ind w:left="2160" w:hanging="180"/>
      </w:pPr>
    </w:lvl>
    <w:lvl w:ilvl="3" w:tplc="A3AC964E" w:tentative="1">
      <w:start w:val="1"/>
      <w:numFmt w:val="decimal"/>
      <w:lvlText w:val="%4."/>
      <w:lvlJc w:val="left"/>
      <w:pPr>
        <w:tabs>
          <w:tab w:val="num" w:pos="2880"/>
        </w:tabs>
        <w:ind w:left="2880" w:hanging="360"/>
      </w:pPr>
    </w:lvl>
    <w:lvl w:ilvl="4" w:tplc="D14AB5AC" w:tentative="1">
      <w:start w:val="1"/>
      <w:numFmt w:val="lowerLetter"/>
      <w:lvlText w:val="%5."/>
      <w:lvlJc w:val="left"/>
      <w:pPr>
        <w:tabs>
          <w:tab w:val="num" w:pos="3600"/>
        </w:tabs>
        <w:ind w:left="3600" w:hanging="360"/>
      </w:pPr>
    </w:lvl>
    <w:lvl w:ilvl="5" w:tplc="FA02AEA4" w:tentative="1">
      <w:start w:val="1"/>
      <w:numFmt w:val="lowerRoman"/>
      <w:lvlText w:val="%6."/>
      <w:lvlJc w:val="right"/>
      <w:pPr>
        <w:tabs>
          <w:tab w:val="num" w:pos="4320"/>
        </w:tabs>
        <w:ind w:left="4320" w:hanging="180"/>
      </w:pPr>
    </w:lvl>
    <w:lvl w:ilvl="6" w:tplc="38CEB2D6" w:tentative="1">
      <w:start w:val="1"/>
      <w:numFmt w:val="decimal"/>
      <w:lvlText w:val="%7."/>
      <w:lvlJc w:val="left"/>
      <w:pPr>
        <w:tabs>
          <w:tab w:val="num" w:pos="5040"/>
        </w:tabs>
        <w:ind w:left="5040" w:hanging="360"/>
      </w:pPr>
    </w:lvl>
    <w:lvl w:ilvl="7" w:tplc="435EC3C2" w:tentative="1">
      <w:start w:val="1"/>
      <w:numFmt w:val="lowerLetter"/>
      <w:lvlText w:val="%8."/>
      <w:lvlJc w:val="left"/>
      <w:pPr>
        <w:tabs>
          <w:tab w:val="num" w:pos="5760"/>
        </w:tabs>
        <w:ind w:left="5760" w:hanging="360"/>
      </w:pPr>
    </w:lvl>
    <w:lvl w:ilvl="8" w:tplc="88B4F7E0" w:tentative="1">
      <w:start w:val="1"/>
      <w:numFmt w:val="lowerRoman"/>
      <w:lvlText w:val="%9."/>
      <w:lvlJc w:val="right"/>
      <w:pPr>
        <w:tabs>
          <w:tab w:val="num" w:pos="6480"/>
        </w:tabs>
        <w:ind w:left="6480" w:hanging="180"/>
      </w:pPr>
    </w:lvl>
  </w:abstractNum>
  <w:abstractNum w:abstractNumId="16">
    <w:nsid w:val="4F3D1899"/>
    <w:multiLevelType w:val="multilevel"/>
    <w:tmpl w:val="6CB48FD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78C4B42"/>
    <w:multiLevelType w:val="hybridMultilevel"/>
    <w:tmpl w:val="72EE9E32"/>
    <w:lvl w:ilvl="0" w:tplc="E076A718">
      <w:start w:val="1"/>
      <w:numFmt w:val="lowerLetter"/>
      <w:lvlText w:val="%1)"/>
      <w:lvlJc w:val="left"/>
      <w:pPr>
        <w:ind w:left="1080" w:hanging="360"/>
      </w:pPr>
      <w:rPr>
        <w:rFonts w:hint="default"/>
      </w:rPr>
    </w:lvl>
    <w:lvl w:ilvl="1" w:tplc="F0FE00E8" w:tentative="1">
      <w:start w:val="1"/>
      <w:numFmt w:val="bullet"/>
      <w:lvlText w:val="o"/>
      <w:lvlJc w:val="left"/>
      <w:pPr>
        <w:ind w:left="1800" w:hanging="360"/>
      </w:pPr>
      <w:rPr>
        <w:rFonts w:ascii="Courier New" w:hAnsi="Courier New" w:cs="Courier New" w:hint="default"/>
      </w:rPr>
    </w:lvl>
    <w:lvl w:ilvl="2" w:tplc="2D52EB92" w:tentative="1">
      <w:start w:val="1"/>
      <w:numFmt w:val="bullet"/>
      <w:lvlText w:val=""/>
      <w:lvlJc w:val="left"/>
      <w:pPr>
        <w:ind w:left="2520" w:hanging="360"/>
      </w:pPr>
      <w:rPr>
        <w:rFonts w:ascii="Wingdings" w:hAnsi="Wingdings" w:hint="default"/>
      </w:rPr>
    </w:lvl>
    <w:lvl w:ilvl="3" w:tplc="F8CA05B6" w:tentative="1">
      <w:start w:val="1"/>
      <w:numFmt w:val="bullet"/>
      <w:lvlText w:val=""/>
      <w:lvlJc w:val="left"/>
      <w:pPr>
        <w:ind w:left="3240" w:hanging="360"/>
      </w:pPr>
      <w:rPr>
        <w:rFonts w:ascii="Symbol" w:hAnsi="Symbol" w:hint="default"/>
      </w:rPr>
    </w:lvl>
    <w:lvl w:ilvl="4" w:tplc="6332FEF8" w:tentative="1">
      <w:start w:val="1"/>
      <w:numFmt w:val="bullet"/>
      <w:lvlText w:val="o"/>
      <w:lvlJc w:val="left"/>
      <w:pPr>
        <w:ind w:left="3960" w:hanging="360"/>
      </w:pPr>
      <w:rPr>
        <w:rFonts w:ascii="Courier New" w:hAnsi="Courier New" w:cs="Courier New" w:hint="default"/>
      </w:rPr>
    </w:lvl>
    <w:lvl w:ilvl="5" w:tplc="2CD655E0" w:tentative="1">
      <w:start w:val="1"/>
      <w:numFmt w:val="bullet"/>
      <w:lvlText w:val=""/>
      <w:lvlJc w:val="left"/>
      <w:pPr>
        <w:ind w:left="4680" w:hanging="360"/>
      </w:pPr>
      <w:rPr>
        <w:rFonts w:ascii="Wingdings" w:hAnsi="Wingdings" w:hint="default"/>
      </w:rPr>
    </w:lvl>
    <w:lvl w:ilvl="6" w:tplc="F7728BEE" w:tentative="1">
      <w:start w:val="1"/>
      <w:numFmt w:val="bullet"/>
      <w:lvlText w:val=""/>
      <w:lvlJc w:val="left"/>
      <w:pPr>
        <w:ind w:left="5400" w:hanging="360"/>
      </w:pPr>
      <w:rPr>
        <w:rFonts w:ascii="Symbol" w:hAnsi="Symbol" w:hint="default"/>
      </w:rPr>
    </w:lvl>
    <w:lvl w:ilvl="7" w:tplc="C91CED22" w:tentative="1">
      <w:start w:val="1"/>
      <w:numFmt w:val="bullet"/>
      <w:lvlText w:val="o"/>
      <w:lvlJc w:val="left"/>
      <w:pPr>
        <w:ind w:left="6120" w:hanging="360"/>
      </w:pPr>
      <w:rPr>
        <w:rFonts w:ascii="Courier New" w:hAnsi="Courier New" w:cs="Courier New" w:hint="default"/>
      </w:rPr>
    </w:lvl>
    <w:lvl w:ilvl="8" w:tplc="CA663748" w:tentative="1">
      <w:start w:val="1"/>
      <w:numFmt w:val="bullet"/>
      <w:lvlText w:val=""/>
      <w:lvlJc w:val="left"/>
      <w:pPr>
        <w:ind w:left="6840" w:hanging="360"/>
      </w:pPr>
      <w:rPr>
        <w:rFonts w:ascii="Wingdings" w:hAnsi="Wingdings" w:hint="default"/>
      </w:rPr>
    </w:lvl>
  </w:abstractNum>
  <w:abstractNum w:abstractNumId="18">
    <w:nsid w:val="628B2FA9"/>
    <w:multiLevelType w:val="hybridMultilevel"/>
    <w:tmpl w:val="D234A2BC"/>
    <w:lvl w:ilvl="0" w:tplc="8336543C">
      <w:start w:val="1"/>
      <w:numFmt w:val="bullet"/>
      <w:lvlRestart w:val="0"/>
      <w:pStyle w:val="RefPrincipal"/>
      <w:lvlText w:val=""/>
      <w:lvlJc w:val="left"/>
      <w:pPr>
        <w:tabs>
          <w:tab w:val="num" w:pos="205"/>
        </w:tabs>
        <w:ind w:left="421" w:hanging="331"/>
      </w:pPr>
      <w:rPr>
        <w:rFonts w:ascii="Symbol" w:hAnsi="Symbol" w:hint="default"/>
      </w:rPr>
    </w:lvl>
    <w:lvl w:ilvl="1" w:tplc="11261E58" w:tentative="1">
      <w:start w:val="1"/>
      <w:numFmt w:val="bullet"/>
      <w:lvlText w:val="o"/>
      <w:lvlJc w:val="left"/>
      <w:pPr>
        <w:tabs>
          <w:tab w:val="num" w:pos="1440"/>
        </w:tabs>
        <w:ind w:left="1440" w:hanging="360"/>
      </w:pPr>
      <w:rPr>
        <w:rFonts w:ascii="Courier New" w:hAnsi="Courier New" w:cs="Courier New" w:hint="default"/>
      </w:rPr>
    </w:lvl>
    <w:lvl w:ilvl="2" w:tplc="560C67AA" w:tentative="1">
      <w:start w:val="1"/>
      <w:numFmt w:val="bullet"/>
      <w:lvlText w:val=""/>
      <w:lvlJc w:val="left"/>
      <w:pPr>
        <w:tabs>
          <w:tab w:val="num" w:pos="2160"/>
        </w:tabs>
        <w:ind w:left="2160" w:hanging="360"/>
      </w:pPr>
      <w:rPr>
        <w:rFonts w:ascii="Wingdings" w:hAnsi="Wingdings" w:hint="default"/>
      </w:rPr>
    </w:lvl>
    <w:lvl w:ilvl="3" w:tplc="5EBE1B6A" w:tentative="1">
      <w:start w:val="1"/>
      <w:numFmt w:val="bullet"/>
      <w:lvlText w:val=""/>
      <w:lvlJc w:val="left"/>
      <w:pPr>
        <w:tabs>
          <w:tab w:val="num" w:pos="2880"/>
        </w:tabs>
        <w:ind w:left="2880" w:hanging="360"/>
      </w:pPr>
      <w:rPr>
        <w:rFonts w:ascii="Symbol" w:hAnsi="Symbol" w:hint="default"/>
      </w:rPr>
    </w:lvl>
    <w:lvl w:ilvl="4" w:tplc="2974C82C" w:tentative="1">
      <w:start w:val="1"/>
      <w:numFmt w:val="bullet"/>
      <w:lvlText w:val="o"/>
      <w:lvlJc w:val="left"/>
      <w:pPr>
        <w:tabs>
          <w:tab w:val="num" w:pos="3600"/>
        </w:tabs>
        <w:ind w:left="3600" w:hanging="360"/>
      </w:pPr>
      <w:rPr>
        <w:rFonts w:ascii="Courier New" w:hAnsi="Courier New" w:cs="Courier New" w:hint="default"/>
      </w:rPr>
    </w:lvl>
    <w:lvl w:ilvl="5" w:tplc="C1EE5E44" w:tentative="1">
      <w:start w:val="1"/>
      <w:numFmt w:val="bullet"/>
      <w:lvlText w:val=""/>
      <w:lvlJc w:val="left"/>
      <w:pPr>
        <w:tabs>
          <w:tab w:val="num" w:pos="4320"/>
        </w:tabs>
        <w:ind w:left="4320" w:hanging="360"/>
      </w:pPr>
      <w:rPr>
        <w:rFonts w:ascii="Wingdings" w:hAnsi="Wingdings" w:hint="default"/>
      </w:rPr>
    </w:lvl>
    <w:lvl w:ilvl="6" w:tplc="D7964CE6" w:tentative="1">
      <w:start w:val="1"/>
      <w:numFmt w:val="bullet"/>
      <w:lvlText w:val=""/>
      <w:lvlJc w:val="left"/>
      <w:pPr>
        <w:tabs>
          <w:tab w:val="num" w:pos="5040"/>
        </w:tabs>
        <w:ind w:left="5040" w:hanging="360"/>
      </w:pPr>
      <w:rPr>
        <w:rFonts w:ascii="Symbol" w:hAnsi="Symbol" w:hint="default"/>
      </w:rPr>
    </w:lvl>
    <w:lvl w:ilvl="7" w:tplc="816A5830" w:tentative="1">
      <w:start w:val="1"/>
      <w:numFmt w:val="bullet"/>
      <w:lvlText w:val="o"/>
      <w:lvlJc w:val="left"/>
      <w:pPr>
        <w:tabs>
          <w:tab w:val="num" w:pos="5760"/>
        </w:tabs>
        <w:ind w:left="5760" w:hanging="360"/>
      </w:pPr>
      <w:rPr>
        <w:rFonts w:ascii="Courier New" w:hAnsi="Courier New" w:cs="Courier New" w:hint="default"/>
      </w:rPr>
    </w:lvl>
    <w:lvl w:ilvl="8" w:tplc="A9B29176" w:tentative="1">
      <w:start w:val="1"/>
      <w:numFmt w:val="bullet"/>
      <w:lvlText w:val=""/>
      <w:lvlJc w:val="left"/>
      <w:pPr>
        <w:tabs>
          <w:tab w:val="num" w:pos="6480"/>
        </w:tabs>
        <w:ind w:left="6480" w:hanging="360"/>
      </w:pPr>
      <w:rPr>
        <w:rFonts w:ascii="Wingdings" w:hAnsi="Wingdings" w:hint="default"/>
      </w:rPr>
    </w:lvl>
  </w:abstractNum>
  <w:abstractNum w:abstractNumId="19">
    <w:nsid w:val="669D6761"/>
    <w:multiLevelType w:val="hybridMultilevel"/>
    <w:tmpl w:val="5816BE2E"/>
    <w:lvl w:ilvl="0" w:tplc="F746B8B8">
      <w:start w:val="1"/>
      <w:numFmt w:val="bullet"/>
      <w:lvlRestart w:val="0"/>
      <w:pStyle w:val="X"/>
      <w:lvlText w:val="X"/>
      <w:lvlJc w:val="left"/>
      <w:pPr>
        <w:tabs>
          <w:tab w:val="num" w:pos="360"/>
        </w:tabs>
        <w:ind w:left="360" w:hanging="360"/>
      </w:pPr>
      <w:rPr>
        <w:rFonts w:ascii="Wingdings" w:hAnsi="Wingdings"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674E637C"/>
    <w:multiLevelType w:val="singleLevel"/>
    <w:tmpl w:val="DCF4410C"/>
    <w:lvl w:ilvl="0">
      <w:start w:val="1"/>
      <w:numFmt w:val="lowerLetter"/>
      <w:pStyle w:val="ListIndt2"/>
      <w:lvlText w:val="%1)"/>
      <w:lvlJc w:val="left"/>
      <w:pPr>
        <w:tabs>
          <w:tab w:val="num" w:pos="360"/>
        </w:tabs>
        <w:ind w:left="360" w:hanging="360"/>
      </w:pPr>
    </w:lvl>
  </w:abstractNum>
  <w:abstractNum w:abstractNumId="21">
    <w:nsid w:val="687D5746"/>
    <w:multiLevelType w:val="multilevel"/>
    <w:tmpl w:val="1540BA74"/>
    <w:lvl w:ilvl="0">
      <w:start w:val="1"/>
      <w:numFmt w:val="decimal"/>
      <w:pStyle w:val="Heading1"/>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pStyle w:val="Heading9"/>
      <w:lvlText w:val="%1.%2.%3.%4.%5.%6.%7.%8.%9"/>
      <w:lvlJc w:val="left"/>
      <w:pPr>
        <w:tabs>
          <w:tab w:val="num" w:pos="1584"/>
        </w:tabs>
        <w:ind w:left="1584" w:hanging="1584"/>
      </w:pPr>
    </w:lvl>
  </w:abstractNum>
  <w:abstractNum w:abstractNumId="22">
    <w:nsid w:val="691E61BA"/>
    <w:multiLevelType w:val="multilevel"/>
    <w:tmpl w:val="B7942A7C"/>
    <w:lvl w:ilvl="0">
      <w:start w:val="1"/>
      <w:numFmt w:val="decimal"/>
      <w:lvlRestart w:val="0"/>
      <w:pStyle w:val="Dots"/>
      <w:isLgl/>
      <w:suff w:val="nothing"/>
      <w:lvlText w:val=". . . "/>
      <w:lvlJc w:val="left"/>
      <w:pPr>
        <w:tabs>
          <w:tab w:val="num" w:pos="360"/>
        </w:tabs>
        <w:ind w:left="0" w:firstLine="0"/>
      </w:pPr>
      <w:rPr>
        <w:rFonts w:hint="default"/>
        <w:b/>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DE412D5"/>
    <w:multiLevelType w:val="hybridMultilevel"/>
    <w:tmpl w:val="316EA59E"/>
    <w:lvl w:ilvl="0" w:tplc="51CA1D38">
      <w:start w:val="1"/>
      <w:numFmt w:val="lowerLetter"/>
      <w:lvlText w:val="%1)"/>
      <w:lvlJc w:val="left"/>
      <w:pPr>
        <w:ind w:left="1080" w:hanging="360"/>
      </w:pPr>
      <w:rPr>
        <w:rFonts w:hint="default"/>
      </w:rPr>
    </w:lvl>
    <w:lvl w:ilvl="1" w:tplc="5CE40E4E" w:tentative="1">
      <w:start w:val="1"/>
      <w:numFmt w:val="bullet"/>
      <w:lvlText w:val="o"/>
      <w:lvlJc w:val="left"/>
      <w:pPr>
        <w:ind w:left="1800" w:hanging="360"/>
      </w:pPr>
      <w:rPr>
        <w:rFonts w:ascii="Courier New" w:hAnsi="Courier New" w:cs="Courier New" w:hint="default"/>
      </w:rPr>
    </w:lvl>
    <w:lvl w:ilvl="2" w:tplc="249CC41C" w:tentative="1">
      <w:start w:val="1"/>
      <w:numFmt w:val="bullet"/>
      <w:lvlText w:val=""/>
      <w:lvlJc w:val="left"/>
      <w:pPr>
        <w:ind w:left="2520" w:hanging="360"/>
      </w:pPr>
      <w:rPr>
        <w:rFonts w:ascii="Wingdings" w:hAnsi="Wingdings" w:hint="default"/>
      </w:rPr>
    </w:lvl>
    <w:lvl w:ilvl="3" w:tplc="03D67C04" w:tentative="1">
      <w:start w:val="1"/>
      <w:numFmt w:val="bullet"/>
      <w:lvlText w:val=""/>
      <w:lvlJc w:val="left"/>
      <w:pPr>
        <w:ind w:left="3240" w:hanging="360"/>
      </w:pPr>
      <w:rPr>
        <w:rFonts w:ascii="Symbol" w:hAnsi="Symbol" w:hint="default"/>
      </w:rPr>
    </w:lvl>
    <w:lvl w:ilvl="4" w:tplc="3E56DABA" w:tentative="1">
      <w:start w:val="1"/>
      <w:numFmt w:val="bullet"/>
      <w:lvlText w:val="o"/>
      <w:lvlJc w:val="left"/>
      <w:pPr>
        <w:ind w:left="3960" w:hanging="360"/>
      </w:pPr>
      <w:rPr>
        <w:rFonts w:ascii="Courier New" w:hAnsi="Courier New" w:cs="Courier New" w:hint="default"/>
      </w:rPr>
    </w:lvl>
    <w:lvl w:ilvl="5" w:tplc="CE760130" w:tentative="1">
      <w:start w:val="1"/>
      <w:numFmt w:val="bullet"/>
      <w:lvlText w:val=""/>
      <w:lvlJc w:val="left"/>
      <w:pPr>
        <w:ind w:left="4680" w:hanging="360"/>
      </w:pPr>
      <w:rPr>
        <w:rFonts w:ascii="Wingdings" w:hAnsi="Wingdings" w:hint="default"/>
      </w:rPr>
    </w:lvl>
    <w:lvl w:ilvl="6" w:tplc="D2D4A87E" w:tentative="1">
      <w:start w:val="1"/>
      <w:numFmt w:val="bullet"/>
      <w:lvlText w:val=""/>
      <w:lvlJc w:val="left"/>
      <w:pPr>
        <w:ind w:left="5400" w:hanging="360"/>
      </w:pPr>
      <w:rPr>
        <w:rFonts w:ascii="Symbol" w:hAnsi="Symbol" w:hint="default"/>
      </w:rPr>
    </w:lvl>
    <w:lvl w:ilvl="7" w:tplc="8BCEBF9A" w:tentative="1">
      <w:start w:val="1"/>
      <w:numFmt w:val="bullet"/>
      <w:lvlText w:val="o"/>
      <w:lvlJc w:val="left"/>
      <w:pPr>
        <w:ind w:left="6120" w:hanging="360"/>
      </w:pPr>
      <w:rPr>
        <w:rFonts w:ascii="Courier New" w:hAnsi="Courier New" w:cs="Courier New" w:hint="default"/>
      </w:rPr>
    </w:lvl>
    <w:lvl w:ilvl="8" w:tplc="20861526" w:tentative="1">
      <w:start w:val="1"/>
      <w:numFmt w:val="bullet"/>
      <w:lvlText w:val=""/>
      <w:lvlJc w:val="left"/>
      <w:pPr>
        <w:ind w:left="6840" w:hanging="360"/>
      </w:pPr>
      <w:rPr>
        <w:rFonts w:ascii="Wingdings" w:hAnsi="Wingdings" w:hint="default"/>
      </w:rPr>
    </w:lvl>
  </w:abstractNum>
  <w:abstractNum w:abstractNumId="24">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5">
    <w:nsid w:val="763066B5"/>
    <w:multiLevelType w:val="multilevel"/>
    <w:tmpl w:val="D912060A"/>
    <w:lvl w:ilvl="0">
      <w:start w:val="2"/>
      <w:numFmt w:val="decimal"/>
      <w:pStyle w:val="1Heading"/>
      <w:lvlText w:val="%1."/>
      <w:lvlJc w:val="left"/>
      <w:pPr>
        <w:tabs>
          <w:tab w:val="num" w:pos="720"/>
        </w:tabs>
        <w:ind w:left="720" w:hanging="720"/>
      </w:pPr>
      <w:rPr>
        <w:rFonts w:ascii="Times New Roman" w:hAnsi="Times New Roman" w:cs="Times New Roman" w:hint="default"/>
        <w:b w:val="0"/>
        <w:bCs w:val="0"/>
        <w:i w:val="0"/>
        <w:sz w:val="22"/>
      </w:rPr>
    </w:lvl>
    <w:lvl w:ilvl="1">
      <w:start w:val="4"/>
      <w:numFmt w:val="decimal"/>
      <w:pStyle w:val="2Para"/>
      <w:lvlText w:val="%1.%2"/>
      <w:lvlJc w:val="left"/>
      <w:pPr>
        <w:tabs>
          <w:tab w:val="num" w:pos="0"/>
        </w:tabs>
        <w:ind w:left="0" w:firstLine="0"/>
      </w:pPr>
      <w:rPr>
        <w:rFonts w:ascii="Times New Roman" w:hAnsi="Times New Roman" w:cs="Times New Roman" w:hint="default"/>
        <w:b w:val="0"/>
        <w:bCs/>
        <w:sz w:val="22"/>
        <w:szCs w:val="20"/>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pStyle w:val="6Para"/>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b w:val="0"/>
        <w:sz w:val="22"/>
      </w:rPr>
    </w:lvl>
  </w:abstractNum>
  <w:abstractNum w:abstractNumId="26">
    <w:nsid w:val="76C47F6A"/>
    <w:multiLevelType w:val="hybridMultilevel"/>
    <w:tmpl w:val="482294B8"/>
    <w:lvl w:ilvl="0" w:tplc="5A5E2C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F216624"/>
    <w:multiLevelType w:val="hybridMultilevel"/>
    <w:tmpl w:val="15689594"/>
    <w:lvl w:ilvl="0" w:tplc="4B14BDBA">
      <w:start w:val="3"/>
      <w:numFmt w:val="bullet"/>
      <w:lvlText w:val="–"/>
      <w:lvlJc w:val="left"/>
      <w:pPr>
        <w:ind w:left="1785" w:hanging="360"/>
      </w:pPr>
      <w:rPr>
        <w:rFonts w:ascii="Times New Roman" w:eastAsia="Times New Roman" w:hAnsi="Times New Roman" w:cs="Times New Roman" w:hint="default"/>
        <w:b/>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num w:numId="1">
    <w:abstractNumId w:val="22"/>
  </w:num>
  <w:num w:numId="2">
    <w:abstractNumId w:val="6"/>
  </w:num>
  <w:num w:numId="3">
    <w:abstractNumId w:val="18"/>
  </w:num>
  <w:num w:numId="4">
    <w:abstractNumId w:val="0"/>
    <w:lvlOverride w:ilvl="0">
      <w:lvl w:ilvl="0">
        <w:start w:val="1"/>
        <w:numFmt w:val="decimal"/>
        <w:pStyle w:val="List123"/>
        <w:lvlText w:val="%1)"/>
        <w:lvlJc w:val="left"/>
        <w:pPr>
          <w:tabs>
            <w:tab w:val="num" w:pos="1800"/>
          </w:tabs>
          <w:ind w:left="2160" w:hanging="360"/>
        </w:pPr>
        <w:rPr>
          <w:rFonts w:hint="default"/>
        </w:rPr>
      </w:lvl>
    </w:lvlOverride>
  </w:num>
  <w:num w:numId="5">
    <w:abstractNumId w:val="14"/>
  </w:num>
  <w:num w:numId="6">
    <w:abstractNumId w:val="19"/>
  </w:num>
  <w:num w:numId="7">
    <w:abstractNumId w:val="24"/>
  </w:num>
  <w:num w:numId="8">
    <w:abstractNumId w:val="15"/>
  </w:num>
  <w:num w:numId="9">
    <w:abstractNumId w:val="7"/>
  </w:num>
  <w:num w:numId="10">
    <w:abstractNumId w:val="9"/>
  </w:num>
  <w:num w:numId="11">
    <w:abstractNumId w:val="10"/>
  </w:num>
  <w:num w:numId="12">
    <w:abstractNumId w:val="16"/>
  </w:num>
  <w:num w:numId="13">
    <w:abstractNumId w:val="1"/>
  </w:num>
  <w:num w:numId="14">
    <w:abstractNumId w:val="2"/>
  </w:num>
  <w:num w:numId="15">
    <w:abstractNumId w:val="21"/>
  </w:num>
  <w:num w:numId="16">
    <w:abstractNumId w:val="12"/>
  </w:num>
  <w:num w:numId="17">
    <w:abstractNumId w:val="3"/>
  </w:num>
  <w:num w:numId="18">
    <w:abstractNumId w:val="17"/>
  </w:num>
  <w:num w:numId="19">
    <w:abstractNumId w:val="23"/>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3"/>
  </w:num>
  <w:num w:numId="24">
    <w:abstractNumId w:val="27"/>
  </w:num>
  <w:num w:numId="25">
    <w:abstractNumId w:val="25"/>
    <w:lvlOverride w:ilvl="0">
      <w:startOverride w:val="2"/>
    </w:lvlOverride>
    <w:lvlOverride w:ilvl="1">
      <w:startOverride w:val="4"/>
    </w:lvlOverride>
    <w:lvlOverride w:ilvl="2">
      <w:startOverride w:val="1"/>
    </w:lvlOverride>
  </w:num>
  <w:num w:numId="26">
    <w:abstractNumId w:val="5"/>
  </w:num>
  <w:num w:numId="27">
    <w:abstractNumId w:val="25"/>
  </w:num>
  <w:num w:numId="28">
    <w:abstractNumId w:val="26"/>
  </w:num>
  <w:num w:numId="29">
    <w:abstractNumId w:val="2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1"/>
  </w:num>
  <w:num w:numId="3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B6"/>
    <w:rsid w:val="0000199A"/>
    <w:rsid w:val="0000261B"/>
    <w:rsid w:val="00003092"/>
    <w:rsid w:val="000031E2"/>
    <w:rsid w:val="000039BB"/>
    <w:rsid w:val="00006C73"/>
    <w:rsid w:val="00006E6D"/>
    <w:rsid w:val="000074F8"/>
    <w:rsid w:val="00007C3C"/>
    <w:rsid w:val="00010419"/>
    <w:rsid w:val="0001049C"/>
    <w:rsid w:val="000109BB"/>
    <w:rsid w:val="00010C75"/>
    <w:rsid w:val="00010EFA"/>
    <w:rsid w:val="000110B7"/>
    <w:rsid w:val="00011F3A"/>
    <w:rsid w:val="00011F5D"/>
    <w:rsid w:val="00012F6F"/>
    <w:rsid w:val="000146AA"/>
    <w:rsid w:val="000151A2"/>
    <w:rsid w:val="0001709C"/>
    <w:rsid w:val="00017D53"/>
    <w:rsid w:val="000214FF"/>
    <w:rsid w:val="000218CE"/>
    <w:rsid w:val="00022A0B"/>
    <w:rsid w:val="0002333C"/>
    <w:rsid w:val="00023BE8"/>
    <w:rsid w:val="00024810"/>
    <w:rsid w:val="0002509E"/>
    <w:rsid w:val="00031D69"/>
    <w:rsid w:val="0003314D"/>
    <w:rsid w:val="00034F63"/>
    <w:rsid w:val="00035419"/>
    <w:rsid w:val="00035609"/>
    <w:rsid w:val="000360E5"/>
    <w:rsid w:val="000367B6"/>
    <w:rsid w:val="00037F78"/>
    <w:rsid w:val="00040749"/>
    <w:rsid w:val="00040DC2"/>
    <w:rsid w:val="00041239"/>
    <w:rsid w:val="00041388"/>
    <w:rsid w:val="00043107"/>
    <w:rsid w:val="000431EC"/>
    <w:rsid w:val="00046000"/>
    <w:rsid w:val="0004705A"/>
    <w:rsid w:val="000503C7"/>
    <w:rsid w:val="00050D4E"/>
    <w:rsid w:val="00051291"/>
    <w:rsid w:val="000525DF"/>
    <w:rsid w:val="00052669"/>
    <w:rsid w:val="00052DD2"/>
    <w:rsid w:val="000530A1"/>
    <w:rsid w:val="000551BC"/>
    <w:rsid w:val="00056396"/>
    <w:rsid w:val="00056532"/>
    <w:rsid w:val="00056E20"/>
    <w:rsid w:val="0005710F"/>
    <w:rsid w:val="0006066B"/>
    <w:rsid w:val="00060F58"/>
    <w:rsid w:val="000613FD"/>
    <w:rsid w:val="00061403"/>
    <w:rsid w:val="00062150"/>
    <w:rsid w:val="0006276C"/>
    <w:rsid w:val="00064129"/>
    <w:rsid w:val="00066DF2"/>
    <w:rsid w:val="00067C69"/>
    <w:rsid w:val="00070530"/>
    <w:rsid w:val="00070541"/>
    <w:rsid w:val="0007062A"/>
    <w:rsid w:val="00070BF9"/>
    <w:rsid w:val="0007142D"/>
    <w:rsid w:val="0007169B"/>
    <w:rsid w:val="00077412"/>
    <w:rsid w:val="0007794E"/>
    <w:rsid w:val="00080164"/>
    <w:rsid w:val="0008099B"/>
    <w:rsid w:val="000811B2"/>
    <w:rsid w:val="00081579"/>
    <w:rsid w:val="00082142"/>
    <w:rsid w:val="00082B3C"/>
    <w:rsid w:val="000844A1"/>
    <w:rsid w:val="000860F4"/>
    <w:rsid w:val="000864AB"/>
    <w:rsid w:val="000904A7"/>
    <w:rsid w:val="00090BA0"/>
    <w:rsid w:val="0009383E"/>
    <w:rsid w:val="0009567B"/>
    <w:rsid w:val="00095A55"/>
    <w:rsid w:val="00095CE5"/>
    <w:rsid w:val="000A3BF2"/>
    <w:rsid w:val="000A577C"/>
    <w:rsid w:val="000A6243"/>
    <w:rsid w:val="000B01CD"/>
    <w:rsid w:val="000B0FE7"/>
    <w:rsid w:val="000B45AF"/>
    <w:rsid w:val="000B601C"/>
    <w:rsid w:val="000B67C8"/>
    <w:rsid w:val="000B7372"/>
    <w:rsid w:val="000C1AFA"/>
    <w:rsid w:val="000C32CA"/>
    <w:rsid w:val="000C3E79"/>
    <w:rsid w:val="000C41AE"/>
    <w:rsid w:val="000C48EC"/>
    <w:rsid w:val="000C53EF"/>
    <w:rsid w:val="000C6CE6"/>
    <w:rsid w:val="000C725B"/>
    <w:rsid w:val="000C741C"/>
    <w:rsid w:val="000C7E32"/>
    <w:rsid w:val="000D05F9"/>
    <w:rsid w:val="000D0D75"/>
    <w:rsid w:val="000D168D"/>
    <w:rsid w:val="000D16BF"/>
    <w:rsid w:val="000D29C6"/>
    <w:rsid w:val="000D3228"/>
    <w:rsid w:val="000D35E5"/>
    <w:rsid w:val="000E1402"/>
    <w:rsid w:val="000E3BAF"/>
    <w:rsid w:val="000E3FF4"/>
    <w:rsid w:val="000E4A68"/>
    <w:rsid w:val="000E5253"/>
    <w:rsid w:val="000E5964"/>
    <w:rsid w:val="000E5FED"/>
    <w:rsid w:val="000E6437"/>
    <w:rsid w:val="000E6480"/>
    <w:rsid w:val="000F266F"/>
    <w:rsid w:val="000F4938"/>
    <w:rsid w:val="000F5038"/>
    <w:rsid w:val="000F54CF"/>
    <w:rsid w:val="0010234E"/>
    <w:rsid w:val="00103F08"/>
    <w:rsid w:val="0010728C"/>
    <w:rsid w:val="00111410"/>
    <w:rsid w:val="00113D10"/>
    <w:rsid w:val="00113DCD"/>
    <w:rsid w:val="0011422D"/>
    <w:rsid w:val="00117615"/>
    <w:rsid w:val="00121605"/>
    <w:rsid w:val="00122831"/>
    <w:rsid w:val="0012395D"/>
    <w:rsid w:val="0012553F"/>
    <w:rsid w:val="00126842"/>
    <w:rsid w:val="00127CEF"/>
    <w:rsid w:val="00130928"/>
    <w:rsid w:val="001318B9"/>
    <w:rsid w:val="00131DE0"/>
    <w:rsid w:val="0013369E"/>
    <w:rsid w:val="001355CC"/>
    <w:rsid w:val="00136312"/>
    <w:rsid w:val="00136427"/>
    <w:rsid w:val="001365AD"/>
    <w:rsid w:val="00136ACB"/>
    <w:rsid w:val="00141B81"/>
    <w:rsid w:val="0014610D"/>
    <w:rsid w:val="001465A4"/>
    <w:rsid w:val="00146D87"/>
    <w:rsid w:val="00146E92"/>
    <w:rsid w:val="00146FF3"/>
    <w:rsid w:val="001502B5"/>
    <w:rsid w:val="00151CD0"/>
    <w:rsid w:val="001526E5"/>
    <w:rsid w:val="00152F88"/>
    <w:rsid w:val="00154F8E"/>
    <w:rsid w:val="001555BF"/>
    <w:rsid w:val="001556B4"/>
    <w:rsid w:val="00156593"/>
    <w:rsid w:val="001576CD"/>
    <w:rsid w:val="00157B2B"/>
    <w:rsid w:val="00160201"/>
    <w:rsid w:val="001609F8"/>
    <w:rsid w:val="001615D5"/>
    <w:rsid w:val="00162600"/>
    <w:rsid w:val="00165860"/>
    <w:rsid w:val="001667F7"/>
    <w:rsid w:val="00170455"/>
    <w:rsid w:val="00171437"/>
    <w:rsid w:val="00171C50"/>
    <w:rsid w:val="00172187"/>
    <w:rsid w:val="00172473"/>
    <w:rsid w:val="00173582"/>
    <w:rsid w:val="00173A14"/>
    <w:rsid w:val="00174108"/>
    <w:rsid w:val="0017622D"/>
    <w:rsid w:val="001777A2"/>
    <w:rsid w:val="00181E75"/>
    <w:rsid w:val="00184818"/>
    <w:rsid w:val="00187F35"/>
    <w:rsid w:val="001907EE"/>
    <w:rsid w:val="001910CC"/>
    <w:rsid w:val="00191C62"/>
    <w:rsid w:val="00192C47"/>
    <w:rsid w:val="00196DB4"/>
    <w:rsid w:val="001972B0"/>
    <w:rsid w:val="001A0A2F"/>
    <w:rsid w:val="001A118E"/>
    <w:rsid w:val="001A2C34"/>
    <w:rsid w:val="001A7A31"/>
    <w:rsid w:val="001B0C91"/>
    <w:rsid w:val="001B121D"/>
    <w:rsid w:val="001B329E"/>
    <w:rsid w:val="001B7DBB"/>
    <w:rsid w:val="001C3008"/>
    <w:rsid w:val="001C7B2B"/>
    <w:rsid w:val="001C7F0E"/>
    <w:rsid w:val="001D0B35"/>
    <w:rsid w:val="001D429E"/>
    <w:rsid w:val="001D527E"/>
    <w:rsid w:val="001D5682"/>
    <w:rsid w:val="001E1DB3"/>
    <w:rsid w:val="001E27AB"/>
    <w:rsid w:val="001E2C14"/>
    <w:rsid w:val="001E2EDB"/>
    <w:rsid w:val="001E3768"/>
    <w:rsid w:val="001E4F02"/>
    <w:rsid w:val="001E5E64"/>
    <w:rsid w:val="001E6CF6"/>
    <w:rsid w:val="001E6F88"/>
    <w:rsid w:val="001E7137"/>
    <w:rsid w:val="001F0A0C"/>
    <w:rsid w:val="001F1DCA"/>
    <w:rsid w:val="001F2CBA"/>
    <w:rsid w:val="001F56B6"/>
    <w:rsid w:val="001F660B"/>
    <w:rsid w:val="00200372"/>
    <w:rsid w:val="00200C49"/>
    <w:rsid w:val="00201E6E"/>
    <w:rsid w:val="00203E19"/>
    <w:rsid w:val="00203F14"/>
    <w:rsid w:val="00204E07"/>
    <w:rsid w:val="002073D6"/>
    <w:rsid w:val="00207F7B"/>
    <w:rsid w:val="00210FBA"/>
    <w:rsid w:val="002134D3"/>
    <w:rsid w:val="00214A54"/>
    <w:rsid w:val="00215B2F"/>
    <w:rsid w:val="00216253"/>
    <w:rsid w:val="002172F3"/>
    <w:rsid w:val="0021777C"/>
    <w:rsid w:val="002221F7"/>
    <w:rsid w:val="00222E03"/>
    <w:rsid w:val="00224513"/>
    <w:rsid w:val="002256C9"/>
    <w:rsid w:val="002277BF"/>
    <w:rsid w:val="002307DB"/>
    <w:rsid w:val="0023241A"/>
    <w:rsid w:val="00232566"/>
    <w:rsid w:val="00233A61"/>
    <w:rsid w:val="00237206"/>
    <w:rsid w:val="00240FF6"/>
    <w:rsid w:val="00241E12"/>
    <w:rsid w:val="00246074"/>
    <w:rsid w:val="0024681A"/>
    <w:rsid w:val="002473EE"/>
    <w:rsid w:val="00250AC0"/>
    <w:rsid w:val="002544B1"/>
    <w:rsid w:val="002568A8"/>
    <w:rsid w:val="002575C3"/>
    <w:rsid w:val="00257C6C"/>
    <w:rsid w:val="00257FF5"/>
    <w:rsid w:val="00260AC7"/>
    <w:rsid w:val="00261CB8"/>
    <w:rsid w:val="00262BE4"/>
    <w:rsid w:val="00262F4A"/>
    <w:rsid w:val="002631D3"/>
    <w:rsid w:val="00264B91"/>
    <w:rsid w:val="0026541F"/>
    <w:rsid w:val="00266ADD"/>
    <w:rsid w:val="00270035"/>
    <w:rsid w:val="0027347D"/>
    <w:rsid w:val="0027499C"/>
    <w:rsid w:val="00275ECA"/>
    <w:rsid w:val="00277884"/>
    <w:rsid w:val="0028065C"/>
    <w:rsid w:val="002820CF"/>
    <w:rsid w:val="00282661"/>
    <w:rsid w:val="00283DBA"/>
    <w:rsid w:val="0028647D"/>
    <w:rsid w:val="00286BE0"/>
    <w:rsid w:val="00286E9F"/>
    <w:rsid w:val="002913A1"/>
    <w:rsid w:val="00293AB6"/>
    <w:rsid w:val="00295827"/>
    <w:rsid w:val="00297EC0"/>
    <w:rsid w:val="002A2596"/>
    <w:rsid w:val="002A31F7"/>
    <w:rsid w:val="002A3414"/>
    <w:rsid w:val="002A753D"/>
    <w:rsid w:val="002A7D42"/>
    <w:rsid w:val="002A7EAC"/>
    <w:rsid w:val="002B12FF"/>
    <w:rsid w:val="002B31B8"/>
    <w:rsid w:val="002B36D9"/>
    <w:rsid w:val="002B3E4B"/>
    <w:rsid w:val="002B5760"/>
    <w:rsid w:val="002B5C3D"/>
    <w:rsid w:val="002B5F1E"/>
    <w:rsid w:val="002B6E6F"/>
    <w:rsid w:val="002C13D1"/>
    <w:rsid w:val="002C1E48"/>
    <w:rsid w:val="002C2564"/>
    <w:rsid w:val="002C4C2B"/>
    <w:rsid w:val="002C61CB"/>
    <w:rsid w:val="002C6255"/>
    <w:rsid w:val="002C7EF4"/>
    <w:rsid w:val="002D0B11"/>
    <w:rsid w:val="002D2FF5"/>
    <w:rsid w:val="002D4AD3"/>
    <w:rsid w:val="002D5E61"/>
    <w:rsid w:val="002D7084"/>
    <w:rsid w:val="002D771F"/>
    <w:rsid w:val="002D77B2"/>
    <w:rsid w:val="002E158A"/>
    <w:rsid w:val="002E17B5"/>
    <w:rsid w:val="002E1859"/>
    <w:rsid w:val="002E40B1"/>
    <w:rsid w:val="002E7290"/>
    <w:rsid w:val="002E72B5"/>
    <w:rsid w:val="002E7527"/>
    <w:rsid w:val="002F2D81"/>
    <w:rsid w:val="002F4570"/>
    <w:rsid w:val="002F5058"/>
    <w:rsid w:val="002F7117"/>
    <w:rsid w:val="00300492"/>
    <w:rsid w:val="00300EA4"/>
    <w:rsid w:val="003016D6"/>
    <w:rsid w:val="00302B05"/>
    <w:rsid w:val="0030311F"/>
    <w:rsid w:val="00303970"/>
    <w:rsid w:val="00303DFF"/>
    <w:rsid w:val="00305F2F"/>
    <w:rsid w:val="003079D8"/>
    <w:rsid w:val="00313A87"/>
    <w:rsid w:val="00313B64"/>
    <w:rsid w:val="00314DF2"/>
    <w:rsid w:val="003204C7"/>
    <w:rsid w:val="003224AB"/>
    <w:rsid w:val="003237F3"/>
    <w:rsid w:val="003247F1"/>
    <w:rsid w:val="0032741B"/>
    <w:rsid w:val="00331D70"/>
    <w:rsid w:val="00332BBE"/>
    <w:rsid w:val="00334F60"/>
    <w:rsid w:val="0033659E"/>
    <w:rsid w:val="00337738"/>
    <w:rsid w:val="00341BAE"/>
    <w:rsid w:val="003506BE"/>
    <w:rsid w:val="003507D6"/>
    <w:rsid w:val="00350A0B"/>
    <w:rsid w:val="00353D7A"/>
    <w:rsid w:val="00354798"/>
    <w:rsid w:val="003559DC"/>
    <w:rsid w:val="00355A1F"/>
    <w:rsid w:val="0035772C"/>
    <w:rsid w:val="00360852"/>
    <w:rsid w:val="003608E8"/>
    <w:rsid w:val="0036138B"/>
    <w:rsid w:val="00362807"/>
    <w:rsid w:val="00363D35"/>
    <w:rsid w:val="003641AB"/>
    <w:rsid w:val="00364B59"/>
    <w:rsid w:val="00366139"/>
    <w:rsid w:val="003662BC"/>
    <w:rsid w:val="00367738"/>
    <w:rsid w:val="0037166A"/>
    <w:rsid w:val="00371D4A"/>
    <w:rsid w:val="00375AC2"/>
    <w:rsid w:val="0037750D"/>
    <w:rsid w:val="00380819"/>
    <w:rsid w:val="0038086E"/>
    <w:rsid w:val="00380BBE"/>
    <w:rsid w:val="00381586"/>
    <w:rsid w:val="003820FC"/>
    <w:rsid w:val="00383504"/>
    <w:rsid w:val="003835E2"/>
    <w:rsid w:val="00383FAC"/>
    <w:rsid w:val="0038720D"/>
    <w:rsid w:val="00387C77"/>
    <w:rsid w:val="00390A97"/>
    <w:rsid w:val="00391159"/>
    <w:rsid w:val="00391160"/>
    <w:rsid w:val="00391F54"/>
    <w:rsid w:val="00392579"/>
    <w:rsid w:val="00392E35"/>
    <w:rsid w:val="00393786"/>
    <w:rsid w:val="00394607"/>
    <w:rsid w:val="00394771"/>
    <w:rsid w:val="00394979"/>
    <w:rsid w:val="00395690"/>
    <w:rsid w:val="00395CBA"/>
    <w:rsid w:val="00396A24"/>
    <w:rsid w:val="003A240C"/>
    <w:rsid w:val="003A2C4E"/>
    <w:rsid w:val="003A3203"/>
    <w:rsid w:val="003A34BA"/>
    <w:rsid w:val="003A46B1"/>
    <w:rsid w:val="003A504D"/>
    <w:rsid w:val="003A53F9"/>
    <w:rsid w:val="003A5FA8"/>
    <w:rsid w:val="003A5FE7"/>
    <w:rsid w:val="003A7B1C"/>
    <w:rsid w:val="003A7C0F"/>
    <w:rsid w:val="003B06DD"/>
    <w:rsid w:val="003B1ADC"/>
    <w:rsid w:val="003B298E"/>
    <w:rsid w:val="003B2B4B"/>
    <w:rsid w:val="003B4D42"/>
    <w:rsid w:val="003B70EC"/>
    <w:rsid w:val="003B7F01"/>
    <w:rsid w:val="003C3311"/>
    <w:rsid w:val="003C4431"/>
    <w:rsid w:val="003C4F6B"/>
    <w:rsid w:val="003C5ABE"/>
    <w:rsid w:val="003C7B16"/>
    <w:rsid w:val="003D00A2"/>
    <w:rsid w:val="003D02BC"/>
    <w:rsid w:val="003D4D38"/>
    <w:rsid w:val="003D53CD"/>
    <w:rsid w:val="003D6D65"/>
    <w:rsid w:val="003D77FD"/>
    <w:rsid w:val="003D7F8B"/>
    <w:rsid w:val="003E03F1"/>
    <w:rsid w:val="003E180C"/>
    <w:rsid w:val="003E3223"/>
    <w:rsid w:val="003E41C7"/>
    <w:rsid w:val="003E4466"/>
    <w:rsid w:val="003E522E"/>
    <w:rsid w:val="003E6D1A"/>
    <w:rsid w:val="003F0CCA"/>
    <w:rsid w:val="003F2590"/>
    <w:rsid w:val="003F47E1"/>
    <w:rsid w:val="003F5A32"/>
    <w:rsid w:val="003F6C9F"/>
    <w:rsid w:val="003F7329"/>
    <w:rsid w:val="00400B2B"/>
    <w:rsid w:val="00403721"/>
    <w:rsid w:val="00405866"/>
    <w:rsid w:val="00406AEA"/>
    <w:rsid w:val="0040753C"/>
    <w:rsid w:val="00407FAF"/>
    <w:rsid w:val="004102A5"/>
    <w:rsid w:val="0041179B"/>
    <w:rsid w:val="00411A65"/>
    <w:rsid w:val="004162EC"/>
    <w:rsid w:val="00416A24"/>
    <w:rsid w:val="00416B14"/>
    <w:rsid w:val="00416D68"/>
    <w:rsid w:val="00417494"/>
    <w:rsid w:val="00422371"/>
    <w:rsid w:val="0042345A"/>
    <w:rsid w:val="0042508D"/>
    <w:rsid w:val="0042562C"/>
    <w:rsid w:val="0042608D"/>
    <w:rsid w:val="00426922"/>
    <w:rsid w:val="00426BE1"/>
    <w:rsid w:val="00430ADA"/>
    <w:rsid w:val="004313BC"/>
    <w:rsid w:val="00431AD3"/>
    <w:rsid w:val="00434F3B"/>
    <w:rsid w:val="0043787A"/>
    <w:rsid w:val="00440F86"/>
    <w:rsid w:val="00442A39"/>
    <w:rsid w:val="00445D54"/>
    <w:rsid w:val="0044680A"/>
    <w:rsid w:val="004476A2"/>
    <w:rsid w:val="004476EA"/>
    <w:rsid w:val="00450C7D"/>
    <w:rsid w:val="0045162C"/>
    <w:rsid w:val="00451DD6"/>
    <w:rsid w:val="00452D28"/>
    <w:rsid w:val="00455D12"/>
    <w:rsid w:val="00457E78"/>
    <w:rsid w:val="004602BE"/>
    <w:rsid w:val="00461726"/>
    <w:rsid w:val="00463624"/>
    <w:rsid w:val="00464BEC"/>
    <w:rsid w:val="00471B1C"/>
    <w:rsid w:val="004730FA"/>
    <w:rsid w:val="00473C7E"/>
    <w:rsid w:val="00473CE4"/>
    <w:rsid w:val="00475117"/>
    <w:rsid w:val="00477E7F"/>
    <w:rsid w:val="00477EF4"/>
    <w:rsid w:val="00480E5D"/>
    <w:rsid w:val="00484245"/>
    <w:rsid w:val="00485611"/>
    <w:rsid w:val="004922E9"/>
    <w:rsid w:val="0049665A"/>
    <w:rsid w:val="00496D47"/>
    <w:rsid w:val="00496DC6"/>
    <w:rsid w:val="00496E6F"/>
    <w:rsid w:val="004A1344"/>
    <w:rsid w:val="004A31C1"/>
    <w:rsid w:val="004A4EEC"/>
    <w:rsid w:val="004A5CB4"/>
    <w:rsid w:val="004A6D66"/>
    <w:rsid w:val="004B23ED"/>
    <w:rsid w:val="004B37CB"/>
    <w:rsid w:val="004B3F49"/>
    <w:rsid w:val="004B43A3"/>
    <w:rsid w:val="004B4673"/>
    <w:rsid w:val="004B47F4"/>
    <w:rsid w:val="004B5954"/>
    <w:rsid w:val="004B6600"/>
    <w:rsid w:val="004B7082"/>
    <w:rsid w:val="004B75C0"/>
    <w:rsid w:val="004B76E3"/>
    <w:rsid w:val="004C042D"/>
    <w:rsid w:val="004C0F74"/>
    <w:rsid w:val="004C4DF7"/>
    <w:rsid w:val="004C595B"/>
    <w:rsid w:val="004C6875"/>
    <w:rsid w:val="004D0C5B"/>
    <w:rsid w:val="004D0ED5"/>
    <w:rsid w:val="004D2052"/>
    <w:rsid w:val="004D23E9"/>
    <w:rsid w:val="004D2799"/>
    <w:rsid w:val="004D3157"/>
    <w:rsid w:val="004D6E7E"/>
    <w:rsid w:val="004D7496"/>
    <w:rsid w:val="004D74DC"/>
    <w:rsid w:val="004E1557"/>
    <w:rsid w:val="004E2CA2"/>
    <w:rsid w:val="004E6531"/>
    <w:rsid w:val="004E6F3F"/>
    <w:rsid w:val="004E787B"/>
    <w:rsid w:val="004E7E81"/>
    <w:rsid w:val="004F04AA"/>
    <w:rsid w:val="004F0EE8"/>
    <w:rsid w:val="004F185A"/>
    <w:rsid w:val="004F1B79"/>
    <w:rsid w:val="00500084"/>
    <w:rsid w:val="005005E4"/>
    <w:rsid w:val="00500A46"/>
    <w:rsid w:val="00500D71"/>
    <w:rsid w:val="00501042"/>
    <w:rsid w:val="00501E8B"/>
    <w:rsid w:val="00502C65"/>
    <w:rsid w:val="00503079"/>
    <w:rsid w:val="0050379B"/>
    <w:rsid w:val="005061C9"/>
    <w:rsid w:val="0050644F"/>
    <w:rsid w:val="00507055"/>
    <w:rsid w:val="00507204"/>
    <w:rsid w:val="00510109"/>
    <w:rsid w:val="005140B4"/>
    <w:rsid w:val="00514734"/>
    <w:rsid w:val="00514F82"/>
    <w:rsid w:val="0051506B"/>
    <w:rsid w:val="005156B0"/>
    <w:rsid w:val="00515E38"/>
    <w:rsid w:val="00515F71"/>
    <w:rsid w:val="005167F3"/>
    <w:rsid w:val="00516BBD"/>
    <w:rsid w:val="00521F0E"/>
    <w:rsid w:val="005240DB"/>
    <w:rsid w:val="005240E8"/>
    <w:rsid w:val="00525C33"/>
    <w:rsid w:val="00532970"/>
    <w:rsid w:val="00535003"/>
    <w:rsid w:val="005359AC"/>
    <w:rsid w:val="005365D3"/>
    <w:rsid w:val="005377BD"/>
    <w:rsid w:val="00537BD7"/>
    <w:rsid w:val="0054172D"/>
    <w:rsid w:val="00543EEC"/>
    <w:rsid w:val="0054459E"/>
    <w:rsid w:val="00544678"/>
    <w:rsid w:val="0054493E"/>
    <w:rsid w:val="00545600"/>
    <w:rsid w:val="00545B7D"/>
    <w:rsid w:val="005512E5"/>
    <w:rsid w:val="00552930"/>
    <w:rsid w:val="00552C88"/>
    <w:rsid w:val="00553205"/>
    <w:rsid w:val="00555E33"/>
    <w:rsid w:val="005601D1"/>
    <w:rsid w:val="00560749"/>
    <w:rsid w:val="0056169C"/>
    <w:rsid w:val="005623E0"/>
    <w:rsid w:val="00563032"/>
    <w:rsid w:val="0056386E"/>
    <w:rsid w:val="00566C65"/>
    <w:rsid w:val="00567E8B"/>
    <w:rsid w:val="0057056A"/>
    <w:rsid w:val="00570908"/>
    <w:rsid w:val="005721F1"/>
    <w:rsid w:val="00572482"/>
    <w:rsid w:val="00576EBA"/>
    <w:rsid w:val="00576F55"/>
    <w:rsid w:val="00580277"/>
    <w:rsid w:val="00581815"/>
    <w:rsid w:val="00582C2E"/>
    <w:rsid w:val="00583DC6"/>
    <w:rsid w:val="0058560F"/>
    <w:rsid w:val="00585E9B"/>
    <w:rsid w:val="00587FC4"/>
    <w:rsid w:val="005914E8"/>
    <w:rsid w:val="005919E5"/>
    <w:rsid w:val="00591F3C"/>
    <w:rsid w:val="00593875"/>
    <w:rsid w:val="00593B3D"/>
    <w:rsid w:val="005A01AF"/>
    <w:rsid w:val="005A0B03"/>
    <w:rsid w:val="005A1A34"/>
    <w:rsid w:val="005A2AA2"/>
    <w:rsid w:val="005A3734"/>
    <w:rsid w:val="005A5CEA"/>
    <w:rsid w:val="005B00E7"/>
    <w:rsid w:val="005B0D1C"/>
    <w:rsid w:val="005B0DDC"/>
    <w:rsid w:val="005B0F5A"/>
    <w:rsid w:val="005B163C"/>
    <w:rsid w:val="005B17FC"/>
    <w:rsid w:val="005B1885"/>
    <w:rsid w:val="005B2F8D"/>
    <w:rsid w:val="005B3E89"/>
    <w:rsid w:val="005B4935"/>
    <w:rsid w:val="005B4C30"/>
    <w:rsid w:val="005B6A93"/>
    <w:rsid w:val="005B77C2"/>
    <w:rsid w:val="005C093B"/>
    <w:rsid w:val="005C160E"/>
    <w:rsid w:val="005C38FA"/>
    <w:rsid w:val="005C3B06"/>
    <w:rsid w:val="005C47CA"/>
    <w:rsid w:val="005C59F6"/>
    <w:rsid w:val="005C6341"/>
    <w:rsid w:val="005C674F"/>
    <w:rsid w:val="005D317D"/>
    <w:rsid w:val="005D36ED"/>
    <w:rsid w:val="005E0632"/>
    <w:rsid w:val="005E2284"/>
    <w:rsid w:val="005E265F"/>
    <w:rsid w:val="005E3264"/>
    <w:rsid w:val="005E33C7"/>
    <w:rsid w:val="005E3CE6"/>
    <w:rsid w:val="005E435A"/>
    <w:rsid w:val="005E4378"/>
    <w:rsid w:val="005E555D"/>
    <w:rsid w:val="005F0A80"/>
    <w:rsid w:val="005F1EDE"/>
    <w:rsid w:val="005F3188"/>
    <w:rsid w:val="005F32A2"/>
    <w:rsid w:val="005F32B1"/>
    <w:rsid w:val="005F56C5"/>
    <w:rsid w:val="00603663"/>
    <w:rsid w:val="0060587A"/>
    <w:rsid w:val="006117B7"/>
    <w:rsid w:val="00611A09"/>
    <w:rsid w:val="00612607"/>
    <w:rsid w:val="0061266F"/>
    <w:rsid w:val="00614487"/>
    <w:rsid w:val="0061527A"/>
    <w:rsid w:val="006156F2"/>
    <w:rsid w:val="00615947"/>
    <w:rsid w:val="006159DB"/>
    <w:rsid w:val="006179D7"/>
    <w:rsid w:val="0062171A"/>
    <w:rsid w:val="00621B7B"/>
    <w:rsid w:val="00622AE8"/>
    <w:rsid w:val="00622E25"/>
    <w:rsid w:val="00625B36"/>
    <w:rsid w:val="0062699A"/>
    <w:rsid w:val="006274E4"/>
    <w:rsid w:val="00637AD2"/>
    <w:rsid w:val="0064052D"/>
    <w:rsid w:val="006408A2"/>
    <w:rsid w:val="00640CEA"/>
    <w:rsid w:val="0064378F"/>
    <w:rsid w:val="00646863"/>
    <w:rsid w:val="00647438"/>
    <w:rsid w:val="00647D1A"/>
    <w:rsid w:val="00651305"/>
    <w:rsid w:val="00652C33"/>
    <w:rsid w:val="00652DD8"/>
    <w:rsid w:val="00656C39"/>
    <w:rsid w:val="00662BA9"/>
    <w:rsid w:val="0066393D"/>
    <w:rsid w:val="0066559A"/>
    <w:rsid w:val="00671079"/>
    <w:rsid w:val="00673308"/>
    <w:rsid w:val="00673E01"/>
    <w:rsid w:val="00677A97"/>
    <w:rsid w:val="00680958"/>
    <w:rsid w:val="00681DF8"/>
    <w:rsid w:val="00683198"/>
    <w:rsid w:val="006831B3"/>
    <w:rsid w:val="006832E2"/>
    <w:rsid w:val="006838C3"/>
    <w:rsid w:val="00686187"/>
    <w:rsid w:val="006863F1"/>
    <w:rsid w:val="006873E6"/>
    <w:rsid w:val="0069119B"/>
    <w:rsid w:val="006918D1"/>
    <w:rsid w:val="0069327B"/>
    <w:rsid w:val="00694081"/>
    <w:rsid w:val="00696948"/>
    <w:rsid w:val="00697002"/>
    <w:rsid w:val="00697703"/>
    <w:rsid w:val="006A20BA"/>
    <w:rsid w:val="006A2588"/>
    <w:rsid w:val="006A2AF2"/>
    <w:rsid w:val="006A54CC"/>
    <w:rsid w:val="006B0099"/>
    <w:rsid w:val="006B07EB"/>
    <w:rsid w:val="006B0B3B"/>
    <w:rsid w:val="006B291C"/>
    <w:rsid w:val="006B2D7D"/>
    <w:rsid w:val="006B4217"/>
    <w:rsid w:val="006B55CA"/>
    <w:rsid w:val="006B58CE"/>
    <w:rsid w:val="006B7946"/>
    <w:rsid w:val="006B79B9"/>
    <w:rsid w:val="006C1AC7"/>
    <w:rsid w:val="006C445E"/>
    <w:rsid w:val="006C54A7"/>
    <w:rsid w:val="006C5950"/>
    <w:rsid w:val="006D01A1"/>
    <w:rsid w:val="006D0368"/>
    <w:rsid w:val="006D36F9"/>
    <w:rsid w:val="006D58AA"/>
    <w:rsid w:val="006D6268"/>
    <w:rsid w:val="006D66B7"/>
    <w:rsid w:val="006D6B6D"/>
    <w:rsid w:val="006D7B70"/>
    <w:rsid w:val="006E137A"/>
    <w:rsid w:val="006E16A9"/>
    <w:rsid w:val="006E20E9"/>
    <w:rsid w:val="006E31D3"/>
    <w:rsid w:val="006E3B16"/>
    <w:rsid w:val="006E5708"/>
    <w:rsid w:val="006E6F71"/>
    <w:rsid w:val="006E7B75"/>
    <w:rsid w:val="006F3A76"/>
    <w:rsid w:val="006F501B"/>
    <w:rsid w:val="006F6823"/>
    <w:rsid w:val="006F7BB9"/>
    <w:rsid w:val="00702DDB"/>
    <w:rsid w:val="0070333D"/>
    <w:rsid w:val="00704BC5"/>
    <w:rsid w:val="007062ED"/>
    <w:rsid w:val="007072FB"/>
    <w:rsid w:val="007075C2"/>
    <w:rsid w:val="007076EA"/>
    <w:rsid w:val="007079FC"/>
    <w:rsid w:val="00707D46"/>
    <w:rsid w:val="007118B0"/>
    <w:rsid w:val="0071315E"/>
    <w:rsid w:val="0071322B"/>
    <w:rsid w:val="00714A19"/>
    <w:rsid w:val="00720FAD"/>
    <w:rsid w:val="00722628"/>
    <w:rsid w:val="007229D8"/>
    <w:rsid w:val="007247DA"/>
    <w:rsid w:val="00726BC6"/>
    <w:rsid w:val="0073097D"/>
    <w:rsid w:val="007309D9"/>
    <w:rsid w:val="00732B67"/>
    <w:rsid w:val="007342B2"/>
    <w:rsid w:val="00734CA3"/>
    <w:rsid w:val="00742FD6"/>
    <w:rsid w:val="00743D85"/>
    <w:rsid w:val="00744789"/>
    <w:rsid w:val="00750AB9"/>
    <w:rsid w:val="00753AFF"/>
    <w:rsid w:val="007544C9"/>
    <w:rsid w:val="0075655D"/>
    <w:rsid w:val="00760C79"/>
    <w:rsid w:val="00761491"/>
    <w:rsid w:val="007616CA"/>
    <w:rsid w:val="00762790"/>
    <w:rsid w:val="007630BD"/>
    <w:rsid w:val="007636B6"/>
    <w:rsid w:val="007636EA"/>
    <w:rsid w:val="00765DD7"/>
    <w:rsid w:val="00766D28"/>
    <w:rsid w:val="00770064"/>
    <w:rsid w:val="007707E8"/>
    <w:rsid w:val="00770852"/>
    <w:rsid w:val="0077182C"/>
    <w:rsid w:val="007729E3"/>
    <w:rsid w:val="00775F59"/>
    <w:rsid w:val="007827BE"/>
    <w:rsid w:val="00783E7A"/>
    <w:rsid w:val="00785A28"/>
    <w:rsid w:val="007873F5"/>
    <w:rsid w:val="0079095C"/>
    <w:rsid w:val="00791F55"/>
    <w:rsid w:val="00792F2E"/>
    <w:rsid w:val="00794301"/>
    <w:rsid w:val="0079545B"/>
    <w:rsid w:val="007A02C3"/>
    <w:rsid w:val="007A0C60"/>
    <w:rsid w:val="007A152D"/>
    <w:rsid w:val="007A186E"/>
    <w:rsid w:val="007A474C"/>
    <w:rsid w:val="007A4DE2"/>
    <w:rsid w:val="007A5355"/>
    <w:rsid w:val="007A6227"/>
    <w:rsid w:val="007A70D3"/>
    <w:rsid w:val="007A71EF"/>
    <w:rsid w:val="007B1BD8"/>
    <w:rsid w:val="007B4A23"/>
    <w:rsid w:val="007B4E1C"/>
    <w:rsid w:val="007B56E9"/>
    <w:rsid w:val="007B646A"/>
    <w:rsid w:val="007B6A7B"/>
    <w:rsid w:val="007C04E1"/>
    <w:rsid w:val="007C0696"/>
    <w:rsid w:val="007C122A"/>
    <w:rsid w:val="007C297B"/>
    <w:rsid w:val="007C3E12"/>
    <w:rsid w:val="007C6A19"/>
    <w:rsid w:val="007D121D"/>
    <w:rsid w:val="007D3B90"/>
    <w:rsid w:val="007D61DC"/>
    <w:rsid w:val="007D64FB"/>
    <w:rsid w:val="007D7F55"/>
    <w:rsid w:val="007E1C66"/>
    <w:rsid w:val="007E3856"/>
    <w:rsid w:val="007E3AFF"/>
    <w:rsid w:val="007E5167"/>
    <w:rsid w:val="007E565C"/>
    <w:rsid w:val="007E58B9"/>
    <w:rsid w:val="007F10FC"/>
    <w:rsid w:val="007F2B65"/>
    <w:rsid w:val="007F39FA"/>
    <w:rsid w:val="007F3DB5"/>
    <w:rsid w:val="007F3EA2"/>
    <w:rsid w:val="007F5850"/>
    <w:rsid w:val="007F5FDD"/>
    <w:rsid w:val="007F760D"/>
    <w:rsid w:val="0080026A"/>
    <w:rsid w:val="00801993"/>
    <w:rsid w:val="008019CD"/>
    <w:rsid w:val="00802FD9"/>
    <w:rsid w:val="00803E3E"/>
    <w:rsid w:val="00804E97"/>
    <w:rsid w:val="00805C05"/>
    <w:rsid w:val="00806BC5"/>
    <w:rsid w:val="00807293"/>
    <w:rsid w:val="00810534"/>
    <w:rsid w:val="008120FB"/>
    <w:rsid w:val="00813C45"/>
    <w:rsid w:val="008169FE"/>
    <w:rsid w:val="00816BD5"/>
    <w:rsid w:val="00820171"/>
    <w:rsid w:val="00820EB1"/>
    <w:rsid w:val="00821370"/>
    <w:rsid w:val="00822B86"/>
    <w:rsid w:val="00825115"/>
    <w:rsid w:val="008260F5"/>
    <w:rsid w:val="00826F03"/>
    <w:rsid w:val="0083019C"/>
    <w:rsid w:val="00831DB5"/>
    <w:rsid w:val="00831F32"/>
    <w:rsid w:val="00832BB2"/>
    <w:rsid w:val="008346E1"/>
    <w:rsid w:val="00834F47"/>
    <w:rsid w:val="00835DFF"/>
    <w:rsid w:val="00836BDE"/>
    <w:rsid w:val="00841C6D"/>
    <w:rsid w:val="00842AFC"/>
    <w:rsid w:val="00843872"/>
    <w:rsid w:val="0084587F"/>
    <w:rsid w:val="00845997"/>
    <w:rsid w:val="00846663"/>
    <w:rsid w:val="00846793"/>
    <w:rsid w:val="008471FA"/>
    <w:rsid w:val="008501D8"/>
    <w:rsid w:val="0085050D"/>
    <w:rsid w:val="00851253"/>
    <w:rsid w:val="00851D74"/>
    <w:rsid w:val="00856972"/>
    <w:rsid w:val="0086014E"/>
    <w:rsid w:val="00860AAE"/>
    <w:rsid w:val="00860ED3"/>
    <w:rsid w:val="00861F3A"/>
    <w:rsid w:val="00862586"/>
    <w:rsid w:val="00862C58"/>
    <w:rsid w:val="0086331E"/>
    <w:rsid w:val="00865FCF"/>
    <w:rsid w:val="00871292"/>
    <w:rsid w:val="008714B9"/>
    <w:rsid w:val="00871D54"/>
    <w:rsid w:val="0087311D"/>
    <w:rsid w:val="008739EE"/>
    <w:rsid w:val="00876E2B"/>
    <w:rsid w:val="00877E8A"/>
    <w:rsid w:val="008806FD"/>
    <w:rsid w:val="00881091"/>
    <w:rsid w:val="00881460"/>
    <w:rsid w:val="00882405"/>
    <w:rsid w:val="00882BDE"/>
    <w:rsid w:val="008839BC"/>
    <w:rsid w:val="008842F3"/>
    <w:rsid w:val="00884600"/>
    <w:rsid w:val="00884780"/>
    <w:rsid w:val="00884CF1"/>
    <w:rsid w:val="008855CB"/>
    <w:rsid w:val="008859E1"/>
    <w:rsid w:val="00885CC9"/>
    <w:rsid w:val="00886995"/>
    <w:rsid w:val="00886AF2"/>
    <w:rsid w:val="00891343"/>
    <w:rsid w:val="00892252"/>
    <w:rsid w:val="0089473B"/>
    <w:rsid w:val="00895765"/>
    <w:rsid w:val="00895FC0"/>
    <w:rsid w:val="008A0D8C"/>
    <w:rsid w:val="008A0EA7"/>
    <w:rsid w:val="008A101B"/>
    <w:rsid w:val="008A1242"/>
    <w:rsid w:val="008A2867"/>
    <w:rsid w:val="008A3F98"/>
    <w:rsid w:val="008A50AE"/>
    <w:rsid w:val="008A57ED"/>
    <w:rsid w:val="008A5C17"/>
    <w:rsid w:val="008A7D6F"/>
    <w:rsid w:val="008B1C6D"/>
    <w:rsid w:val="008B25EE"/>
    <w:rsid w:val="008B2C67"/>
    <w:rsid w:val="008B4301"/>
    <w:rsid w:val="008B44FE"/>
    <w:rsid w:val="008B5358"/>
    <w:rsid w:val="008B5EFB"/>
    <w:rsid w:val="008C06BB"/>
    <w:rsid w:val="008C16EE"/>
    <w:rsid w:val="008C7430"/>
    <w:rsid w:val="008C7456"/>
    <w:rsid w:val="008D2146"/>
    <w:rsid w:val="008D575B"/>
    <w:rsid w:val="008D5EF4"/>
    <w:rsid w:val="008D6EA7"/>
    <w:rsid w:val="008E0131"/>
    <w:rsid w:val="008E100E"/>
    <w:rsid w:val="008E29A7"/>
    <w:rsid w:val="008E416D"/>
    <w:rsid w:val="008E4341"/>
    <w:rsid w:val="008E47BA"/>
    <w:rsid w:val="008E4C5F"/>
    <w:rsid w:val="008E68A2"/>
    <w:rsid w:val="008E70F3"/>
    <w:rsid w:val="008E7593"/>
    <w:rsid w:val="008F1BE3"/>
    <w:rsid w:val="008F1F43"/>
    <w:rsid w:val="008F215C"/>
    <w:rsid w:val="008F27CC"/>
    <w:rsid w:val="008F37CC"/>
    <w:rsid w:val="008F3C3A"/>
    <w:rsid w:val="008F3E96"/>
    <w:rsid w:val="008F4475"/>
    <w:rsid w:val="008F5865"/>
    <w:rsid w:val="008F5B2C"/>
    <w:rsid w:val="008F5F5B"/>
    <w:rsid w:val="008F6197"/>
    <w:rsid w:val="008F7F71"/>
    <w:rsid w:val="009015F4"/>
    <w:rsid w:val="009027C9"/>
    <w:rsid w:val="00904176"/>
    <w:rsid w:val="00905EB4"/>
    <w:rsid w:val="0090671B"/>
    <w:rsid w:val="00906BB3"/>
    <w:rsid w:val="00907673"/>
    <w:rsid w:val="0091154A"/>
    <w:rsid w:val="00912472"/>
    <w:rsid w:val="00912AC6"/>
    <w:rsid w:val="00912DAA"/>
    <w:rsid w:val="00915D57"/>
    <w:rsid w:val="00916C5B"/>
    <w:rsid w:val="0091774A"/>
    <w:rsid w:val="00917F05"/>
    <w:rsid w:val="00920488"/>
    <w:rsid w:val="009232F4"/>
    <w:rsid w:val="0092368D"/>
    <w:rsid w:val="00923E3D"/>
    <w:rsid w:val="009241B5"/>
    <w:rsid w:val="00924362"/>
    <w:rsid w:val="00924E00"/>
    <w:rsid w:val="00933350"/>
    <w:rsid w:val="00935D36"/>
    <w:rsid w:val="009371B7"/>
    <w:rsid w:val="009374A9"/>
    <w:rsid w:val="009414F0"/>
    <w:rsid w:val="00941ED6"/>
    <w:rsid w:val="00941F13"/>
    <w:rsid w:val="009424B5"/>
    <w:rsid w:val="00942E08"/>
    <w:rsid w:val="00943524"/>
    <w:rsid w:val="00945C72"/>
    <w:rsid w:val="00946646"/>
    <w:rsid w:val="00946DD6"/>
    <w:rsid w:val="00950A9E"/>
    <w:rsid w:val="00950E05"/>
    <w:rsid w:val="00951A19"/>
    <w:rsid w:val="0095388F"/>
    <w:rsid w:val="00953969"/>
    <w:rsid w:val="00954012"/>
    <w:rsid w:val="00954605"/>
    <w:rsid w:val="00955359"/>
    <w:rsid w:val="00957FF2"/>
    <w:rsid w:val="00961C7E"/>
    <w:rsid w:val="009643D3"/>
    <w:rsid w:val="009649B4"/>
    <w:rsid w:val="00964F19"/>
    <w:rsid w:val="0096589B"/>
    <w:rsid w:val="00966AE1"/>
    <w:rsid w:val="0096763E"/>
    <w:rsid w:val="009676BD"/>
    <w:rsid w:val="009710C0"/>
    <w:rsid w:val="0097380C"/>
    <w:rsid w:val="00973B72"/>
    <w:rsid w:val="009741DE"/>
    <w:rsid w:val="0097488B"/>
    <w:rsid w:val="009748BF"/>
    <w:rsid w:val="0097633F"/>
    <w:rsid w:val="009764F7"/>
    <w:rsid w:val="00977517"/>
    <w:rsid w:val="009809C8"/>
    <w:rsid w:val="009819B6"/>
    <w:rsid w:val="00981FB5"/>
    <w:rsid w:val="00982722"/>
    <w:rsid w:val="0098386B"/>
    <w:rsid w:val="00983E0C"/>
    <w:rsid w:val="0098544E"/>
    <w:rsid w:val="009935B1"/>
    <w:rsid w:val="00994E9B"/>
    <w:rsid w:val="00996F85"/>
    <w:rsid w:val="009976DE"/>
    <w:rsid w:val="009A0C13"/>
    <w:rsid w:val="009A0F06"/>
    <w:rsid w:val="009A190D"/>
    <w:rsid w:val="009A1C81"/>
    <w:rsid w:val="009A1CFB"/>
    <w:rsid w:val="009A2153"/>
    <w:rsid w:val="009A53E6"/>
    <w:rsid w:val="009A61D2"/>
    <w:rsid w:val="009A76EE"/>
    <w:rsid w:val="009A79D9"/>
    <w:rsid w:val="009B2EC4"/>
    <w:rsid w:val="009B4295"/>
    <w:rsid w:val="009B4B25"/>
    <w:rsid w:val="009B51E0"/>
    <w:rsid w:val="009B6914"/>
    <w:rsid w:val="009B77EB"/>
    <w:rsid w:val="009C1BE5"/>
    <w:rsid w:val="009C3587"/>
    <w:rsid w:val="009C4842"/>
    <w:rsid w:val="009D12B1"/>
    <w:rsid w:val="009D3FA7"/>
    <w:rsid w:val="009D554D"/>
    <w:rsid w:val="009D66D0"/>
    <w:rsid w:val="009D73C0"/>
    <w:rsid w:val="009D7EE5"/>
    <w:rsid w:val="009E0A3E"/>
    <w:rsid w:val="009E1802"/>
    <w:rsid w:val="009E3299"/>
    <w:rsid w:val="009E45FE"/>
    <w:rsid w:val="009E544D"/>
    <w:rsid w:val="009E581A"/>
    <w:rsid w:val="009F033C"/>
    <w:rsid w:val="009F0C70"/>
    <w:rsid w:val="009F2001"/>
    <w:rsid w:val="009F2411"/>
    <w:rsid w:val="009F24C5"/>
    <w:rsid w:val="009F2F5B"/>
    <w:rsid w:val="009F345B"/>
    <w:rsid w:val="009F3820"/>
    <w:rsid w:val="009F4170"/>
    <w:rsid w:val="009F45FB"/>
    <w:rsid w:val="009F499D"/>
    <w:rsid w:val="009F6544"/>
    <w:rsid w:val="00A01AA2"/>
    <w:rsid w:val="00A02C54"/>
    <w:rsid w:val="00A03090"/>
    <w:rsid w:val="00A063E6"/>
    <w:rsid w:val="00A108C3"/>
    <w:rsid w:val="00A111A5"/>
    <w:rsid w:val="00A13096"/>
    <w:rsid w:val="00A14374"/>
    <w:rsid w:val="00A147AA"/>
    <w:rsid w:val="00A1632E"/>
    <w:rsid w:val="00A2022F"/>
    <w:rsid w:val="00A20D54"/>
    <w:rsid w:val="00A21320"/>
    <w:rsid w:val="00A30BE6"/>
    <w:rsid w:val="00A3102E"/>
    <w:rsid w:val="00A31883"/>
    <w:rsid w:val="00A31E45"/>
    <w:rsid w:val="00A32B16"/>
    <w:rsid w:val="00A35A3D"/>
    <w:rsid w:val="00A363D0"/>
    <w:rsid w:val="00A36634"/>
    <w:rsid w:val="00A36835"/>
    <w:rsid w:val="00A37985"/>
    <w:rsid w:val="00A42145"/>
    <w:rsid w:val="00A44AD0"/>
    <w:rsid w:val="00A46FE2"/>
    <w:rsid w:val="00A504AB"/>
    <w:rsid w:val="00A51C34"/>
    <w:rsid w:val="00A522F2"/>
    <w:rsid w:val="00A53300"/>
    <w:rsid w:val="00A54294"/>
    <w:rsid w:val="00A55612"/>
    <w:rsid w:val="00A56655"/>
    <w:rsid w:val="00A603FF"/>
    <w:rsid w:val="00A61482"/>
    <w:rsid w:val="00A616D6"/>
    <w:rsid w:val="00A622DA"/>
    <w:rsid w:val="00A63422"/>
    <w:rsid w:val="00A635C7"/>
    <w:rsid w:val="00A65F01"/>
    <w:rsid w:val="00A705A8"/>
    <w:rsid w:val="00A721F8"/>
    <w:rsid w:val="00A737B5"/>
    <w:rsid w:val="00A76623"/>
    <w:rsid w:val="00A772BA"/>
    <w:rsid w:val="00A77433"/>
    <w:rsid w:val="00A81826"/>
    <w:rsid w:val="00A8187D"/>
    <w:rsid w:val="00A907E8"/>
    <w:rsid w:val="00A91010"/>
    <w:rsid w:val="00A911C9"/>
    <w:rsid w:val="00A93038"/>
    <w:rsid w:val="00A933EF"/>
    <w:rsid w:val="00A941D1"/>
    <w:rsid w:val="00A952EC"/>
    <w:rsid w:val="00A955E0"/>
    <w:rsid w:val="00A96719"/>
    <w:rsid w:val="00A96772"/>
    <w:rsid w:val="00A9732C"/>
    <w:rsid w:val="00A97742"/>
    <w:rsid w:val="00A97EDA"/>
    <w:rsid w:val="00AA1041"/>
    <w:rsid w:val="00AA1D9B"/>
    <w:rsid w:val="00AA59DB"/>
    <w:rsid w:val="00AA67CD"/>
    <w:rsid w:val="00AA77BD"/>
    <w:rsid w:val="00AA7A1B"/>
    <w:rsid w:val="00AA7B28"/>
    <w:rsid w:val="00AB0057"/>
    <w:rsid w:val="00AB06F0"/>
    <w:rsid w:val="00AB0D66"/>
    <w:rsid w:val="00AB32A0"/>
    <w:rsid w:val="00AB488A"/>
    <w:rsid w:val="00AB488C"/>
    <w:rsid w:val="00AB4F2A"/>
    <w:rsid w:val="00AB54D6"/>
    <w:rsid w:val="00AB5A20"/>
    <w:rsid w:val="00AB76E4"/>
    <w:rsid w:val="00AC0A59"/>
    <w:rsid w:val="00AC21F9"/>
    <w:rsid w:val="00AC32E6"/>
    <w:rsid w:val="00AC4061"/>
    <w:rsid w:val="00AC4CC8"/>
    <w:rsid w:val="00AC52A4"/>
    <w:rsid w:val="00AC6FDA"/>
    <w:rsid w:val="00AD0103"/>
    <w:rsid w:val="00AD0FED"/>
    <w:rsid w:val="00AD1AF4"/>
    <w:rsid w:val="00AD415B"/>
    <w:rsid w:val="00AE0700"/>
    <w:rsid w:val="00AE2544"/>
    <w:rsid w:val="00AE4CF4"/>
    <w:rsid w:val="00AF098C"/>
    <w:rsid w:val="00AF0E73"/>
    <w:rsid w:val="00AF1E1F"/>
    <w:rsid w:val="00AF2B04"/>
    <w:rsid w:val="00AF415B"/>
    <w:rsid w:val="00AF535F"/>
    <w:rsid w:val="00AF5AFB"/>
    <w:rsid w:val="00AF65E3"/>
    <w:rsid w:val="00AF70AD"/>
    <w:rsid w:val="00B0042F"/>
    <w:rsid w:val="00B06157"/>
    <w:rsid w:val="00B07D50"/>
    <w:rsid w:val="00B11390"/>
    <w:rsid w:val="00B12CA4"/>
    <w:rsid w:val="00B13225"/>
    <w:rsid w:val="00B134A5"/>
    <w:rsid w:val="00B14809"/>
    <w:rsid w:val="00B162B6"/>
    <w:rsid w:val="00B17AC2"/>
    <w:rsid w:val="00B210FF"/>
    <w:rsid w:val="00B217B8"/>
    <w:rsid w:val="00B22E42"/>
    <w:rsid w:val="00B2300C"/>
    <w:rsid w:val="00B24050"/>
    <w:rsid w:val="00B24CB9"/>
    <w:rsid w:val="00B26007"/>
    <w:rsid w:val="00B26D03"/>
    <w:rsid w:val="00B2792B"/>
    <w:rsid w:val="00B31482"/>
    <w:rsid w:val="00B31744"/>
    <w:rsid w:val="00B3290C"/>
    <w:rsid w:val="00B332C7"/>
    <w:rsid w:val="00B34FF8"/>
    <w:rsid w:val="00B410CC"/>
    <w:rsid w:val="00B41C3E"/>
    <w:rsid w:val="00B41DF4"/>
    <w:rsid w:val="00B449CF"/>
    <w:rsid w:val="00B45B13"/>
    <w:rsid w:val="00B4682E"/>
    <w:rsid w:val="00B473C2"/>
    <w:rsid w:val="00B50FFA"/>
    <w:rsid w:val="00B51EC6"/>
    <w:rsid w:val="00B54322"/>
    <w:rsid w:val="00B54C87"/>
    <w:rsid w:val="00B551A2"/>
    <w:rsid w:val="00B6185C"/>
    <w:rsid w:val="00B63C61"/>
    <w:rsid w:val="00B63CBC"/>
    <w:rsid w:val="00B64061"/>
    <w:rsid w:val="00B64C2E"/>
    <w:rsid w:val="00B654BF"/>
    <w:rsid w:val="00B65D2C"/>
    <w:rsid w:val="00B718CD"/>
    <w:rsid w:val="00B71D78"/>
    <w:rsid w:val="00B7408D"/>
    <w:rsid w:val="00B749CD"/>
    <w:rsid w:val="00B75FC0"/>
    <w:rsid w:val="00B76ABE"/>
    <w:rsid w:val="00B8065E"/>
    <w:rsid w:val="00B81929"/>
    <w:rsid w:val="00B822D3"/>
    <w:rsid w:val="00B8259B"/>
    <w:rsid w:val="00B83074"/>
    <w:rsid w:val="00B830DB"/>
    <w:rsid w:val="00B8469A"/>
    <w:rsid w:val="00B85A2B"/>
    <w:rsid w:val="00B87FF6"/>
    <w:rsid w:val="00B908A9"/>
    <w:rsid w:val="00B90CB9"/>
    <w:rsid w:val="00B91C40"/>
    <w:rsid w:val="00B929AF"/>
    <w:rsid w:val="00B934A2"/>
    <w:rsid w:val="00B938A8"/>
    <w:rsid w:val="00B95585"/>
    <w:rsid w:val="00B95EED"/>
    <w:rsid w:val="00B976BE"/>
    <w:rsid w:val="00BA0273"/>
    <w:rsid w:val="00BA0637"/>
    <w:rsid w:val="00BA0A12"/>
    <w:rsid w:val="00BA0B5F"/>
    <w:rsid w:val="00BA0E72"/>
    <w:rsid w:val="00BA0F12"/>
    <w:rsid w:val="00BA2089"/>
    <w:rsid w:val="00BA3656"/>
    <w:rsid w:val="00BA3C55"/>
    <w:rsid w:val="00BA42B1"/>
    <w:rsid w:val="00BA4B46"/>
    <w:rsid w:val="00BA60BE"/>
    <w:rsid w:val="00BB09D3"/>
    <w:rsid w:val="00BB13AF"/>
    <w:rsid w:val="00BB3529"/>
    <w:rsid w:val="00BB4503"/>
    <w:rsid w:val="00BB584B"/>
    <w:rsid w:val="00BB5BDE"/>
    <w:rsid w:val="00BB5F09"/>
    <w:rsid w:val="00BB605C"/>
    <w:rsid w:val="00BB60E0"/>
    <w:rsid w:val="00BB61B4"/>
    <w:rsid w:val="00BB6B14"/>
    <w:rsid w:val="00BB7E3D"/>
    <w:rsid w:val="00BB7FE4"/>
    <w:rsid w:val="00BC1313"/>
    <w:rsid w:val="00BC2472"/>
    <w:rsid w:val="00BC304E"/>
    <w:rsid w:val="00BC5684"/>
    <w:rsid w:val="00BD200E"/>
    <w:rsid w:val="00BD27F1"/>
    <w:rsid w:val="00BD33BF"/>
    <w:rsid w:val="00BD44F9"/>
    <w:rsid w:val="00BD59B9"/>
    <w:rsid w:val="00BD6C8D"/>
    <w:rsid w:val="00BD7D6C"/>
    <w:rsid w:val="00BE00C4"/>
    <w:rsid w:val="00BE0284"/>
    <w:rsid w:val="00BE0AD3"/>
    <w:rsid w:val="00BE66EC"/>
    <w:rsid w:val="00BF0014"/>
    <w:rsid w:val="00BF0F11"/>
    <w:rsid w:val="00BF1C87"/>
    <w:rsid w:val="00BF213A"/>
    <w:rsid w:val="00BF297E"/>
    <w:rsid w:val="00BF3ECD"/>
    <w:rsid w:val="00BF4C6A"/>
    <w:rsid w:val="00BF6A55"/>
    <w:rsid w:val="00BF7919"/>
    <w:rsid w:val="00C015F4"/>
    <w:rsid w:val="00C03659"/>
    <w:rsid w:val="00C03E5B"/>
    <w:rsid w:val="00C05076"/>
    <w:rsid w:val="00C071E8"/>
    <w:rsid w:val="00C07BD1"/>
    <w:rsid w:val="00C107E9"/>
    <w:rsid w:val="00C11235"/>
    <w:rsid w:val="00C13081"/>
    <w:rsid w:val="00C200C1"/>
    <w:rsid w:val="00C22B18"/>
    <w:rsid w:val="00C25185"/>
    <w:rsid w:val="00C25BEA"/>
    <w:rsid w:val="00C26062"/>
    <w:rsid w:val="00C26BAC"/>
    <w:rsid w:val="00C26DE6"/>
    <w:rsid w:val="00C26FEE"/>
    <w:rsid w:val="00C30989"/>
    <w:rsid w:val="00C3114B"/>
    <w:rsid w:val="00C3230C"/>
    <w:rsid w:val="00C32BC0"/>
    <w:rsid w:val="00C33A45"/>
    <w:rsid w:val="00C3416E"/>
    <w:rsid w:val="00C34401"/>
    <w:rsid w:val="00C35FC7"/>
    <w:rsid w:val="00C417E3"/>
    <w:rsid w:val="00C42D29"/>
    <w:rsid w:val="00C437BA"/>
    <w:rsid w:val="00C44823"/>
    <w:rsid w:val="00C448AC"/>
    <w:rsid w:val="00C45122"/>
    <w:rsid w:val="00C46BBE"/>
    <w:rsid w:val="00C50BCA"/>
    <w:rsid w:val="00C53072"/>
    <w:rsid w:val="00C5363D"/>
    <w:rsid w:val="00C562EB"/>
    <w:rsid w:val="00C5766C"/>
    <w:rsid w:val="00C57ED2"/>
    <w:rsid w:val="00C64B08"/>
    <w:rsid w:val="00C766D8"/>
    <w:rsid w:val="00C76D56"/>
    <w:rsid w:val="00C76FCD"/>
    <w:rsid w:val="00C77602"/>
    <w:rsid w:val="00C81386"/>
    <w:rsid w:val="00C8291F"/>
    <w:rsid w:val="00C83CDD"/>
    <w:rsid w:val="00C84DB3"/>
    <w:rsid w:val="00C855C4"/>
    <w:rsid w:val="00C855D6"/>
    <w:rsid w:val="00C856D2"/>
    <w:rsid w:val="00C85D20"/>
    <w:rsid w:val="00C860A4"/>
    <w:rsid w:val="00C874A1"/>
    <w:rsid w:val="00C90342"/>
    <w:rsid w:val="00C903CC"/>
    <w:rsid w:val="00C9095E"/>
    <w:rsid w:val="00C90A05"/>
    <w:rsid w:val="00C95B95"/>
    <w:rsid w:val="00C9696E"/>
    <w:rsid w:val="00C97EA1"/>
    <w:rsid w:val="00CA02E0"/>
    <w:rsid w:val="00CA1475"/>
    <w:rsid w:val="00CA16BF"/>
    <w:rsid w:val="00CA4751"/>
    <w:rsid w:val="00CA4B0B"/>
    <w:rsid w:val="00CA529A"/>
    <w:rsid w:val="00CA6B71"/>
    <w:rsid w:val="00CA72BE"/>
    <w:rsid w:val="00CA78BE"/>
    <w:rsid w:val="00CB028E"/>
    <w:rsid w:val="00CB15A3"/>
    <w:rsid w:val="00CB185A"/>
    <w:rsid w:val="00CB1D33"/>
    <w:rsid w:val="00CB2082"/>
    <w:rsid w:val="00CB256B"/>
    <w:rsid w:val="00CB26B3"/>
    <w:rsid w:val="00CB33B1"/>
    <w:rsid w:val="00CB4214"/>
    <w:rsid w:val="00CB4AA1"/>
    <w:rsid w:val="00CB5154"/>
    <w:rsid w:val="00CB62B0"/>
    <w:rsid w:val="00CC0226"/>
    <w:rsid w:val="00CC0867"/>
    <w:rsid w:val="00CC0E60"/>
    <w:rsid w:val="00CC236C"/>
    <w:rsid w:val="00CC2ABB"/>
    <w:rsid w:val="00CC4486"/>
    <w:rsid w:val="00CC5437"/>
    <w:rsid w:val="00CC61A6"/>
    <w:rsid w:val="00CD09A8"/>
    <w:rsid w:val="00CD1F15"/>
    <w:rsid w:val="00CD27A4"/>
    <w:rsid w:val="00CD2A73"/>
    <w:rsid w:val="00CD2C52"/>
    <w:rsid w:val="00CD2DC4"/>
    <w:rsid w:val="00CD32F5"/>
    <w:rsid w:val="00CD3B7E"/>
    <w:rsid w:val="00CD3B90"/>
    <w:rsid w:val="00CD497D"/>
    <w:rsid w:val="00CD5427"/>
    <w:rsid w:val="00CD7C79"/>
    <w:rsid w:val="00CE0184"/>
    <w:rsid w:val="00CE0C11"/>
    <w:rsid w:val="00CE1AEE"/>
    <w:rsid w:val="00CE2F03"/>
    <w:rsid w:val="00CF06FC"/>
    <w:rsid w:val="00CF1764"/>
    <w:rsid w:val="00CF1C6D"/>
    <w:rsid w:val="00CF4FB6"/>
    <w:rsid w:val="00CF7206"/>
    <w:rsid w:val="00D001B2"/>
    <w:rsid w:val="00D0135C"/>
    <w:rsid w:val="00D02F31"/>
    <w:rsid w:val="00D0398B"/>
    <w:rsid w:val="00D05B06"/>
    <w:rsid w:val="00D05BCD"/>
    <w:rsid w:val="00D069E7"/>
    <w:rsid w:val="00D104DB"/>
    <w:rsid w:val="00D10837"/>
    <w:rsid w:val="00D139DC"/>
    <w:rsid w:val="00D14200"/>
    <w:rsid w:val="00D14701"/>
    <w:rsid w:val="00D14CF4"/>
    <w:rsid w:val="00D21602"/>
    <w:rsid w:val="00D21613"/>
    <w:rsid w:val="00D218D2"/>
    <w:rsid w:val="00D222EC"/>
    <w:rsid w:val="00D22F4A"/>
    <w:rsid w:val="00D23E5B"/>
    <w:rsid w:val="00D25EA5"/>
    <w:rsid w:val="00D26960"/>
    <w:rsid w:val="00D26BDA"/>
    <w:rsid w:val="00D26E18"/>
    <w:rsid w:val="00D3142B"/>
    <w:rsid w:val="00D32430"/>
    <w:rsid w:val="00D354C8"/>
    <w:rsid w:val="00D36268"/>
    <w:rsid w:val="00D37222"/>
    <w:rsid w:val="00D375FD"/>
    <w:rsid w:val="00D379FC"/>
    <w:rsid w:val="00D421F0"/>
    <w:rsid w:val="00D441E8"/>
    <w:rsid w:val="00D4442E"/>
    <w:rsid w:val="00D4443C"/>
    <w:rsid w:val="00D45ADC"/>
    <w:rsid w:val="00D45BD7"/>
    <w:rsid w:val="00D462A7"/>
    <w:rsid w:val="00D46BDF"/>
    <w:rsid w:val="00D473E9"/>
    <w:rsid w:val="00D50026"/>
    <w:rsid w:val="00D5104D"/>
    <w:rsid w:val="00D52EA0"/>
    <w:rsid w:val="00D5371D"/>
    <w:rsid w:val="00D54487"/>
    <w:rsid w:val="00D54D12"/>
    <w:rsid w:val="00D6208C"/>
    <w:rsid w:val="00D62295"/>
    <w:rsid w:val="00D6237E"/>
    <w:rsid w:val="00D627EB"/>
    <w:rsid w:val="00D63394"/>
    <w:rsid w:val="00D65015"/>
    <w:rsid w:val="00D66EE8"/>
    <w:rsid w:val="00D67B54"/>
    <w:rsid w:val="00D73E77"/>
    <w:rsid w:val="00D741BE"/>
    <w:rsid w:val="00D74D3F"/>
    <w:rsid w:val="00D74D7F"/>
    <w:rsid w:val="00D75887"/>
    <w:rsid w:val="00D771A0"/>
    <w:rsid w:val="00D80819"/>
    <w:rsid w:val="00D809BA"/>
    <w:rsid w:val="00D81B4D"/>
    <w:rsid w:val="00D825DF"/>
    <w:rsid w:val="00D83004"/>
    <w:rsid w:val="00D84DE8"/>
    <w:rsid w:val="00D84FE8"/>
    <w:rsid w:val="00D8661C"/>
    <w:rsid w:val="00D867D8"/>
    <w:rsid w:val="00D86A87"/>
    <w:rsid w:val="00D87202"/>
    <w:rsid w:val="00D87E21"/>
    <w:rsid w:val="00D90E8F"/>
    <w:rsid w:val="00D9353B"/>
    <w:rsid w:val="00D949AF"/>
    <w:rsid w:val="00D95498"/>
    <w:rsid w:val="00DA146E"/>
    <w:rsid w:val="00DA2257"/>
    <w:rsid w:val="00DA3593"/>
    <w:rsid w:val="00DA377F"/>
    <w:rsid w:val="00DA42FF"/>
    <w:rsid w:val="00DA52CB"/>
    <w:rsid w:val="00DA6699"/>
    <w:rsid w:val="00DA68DD"/>
    <w:rsid w:val="00DA7BC4"/>
    <w:rsid w:val="00DB0607"/>
    <w:rsid w:val="00DB19CF"/>
    <w:rsid w:val="00DB3C19"/>
    <w:rsid w:val="00DB4F51"/>
    <w:rsid w:val="00DB6374"/>
    <w:rsid w:val="00DB75C3"/>
    <w:rsid w:val="00DC1F9C"/>
    <w:rsid w:val="00DC3C0A"/>
    <w:rsid w:val="00DC5179"/>
    <w:rsid w:val="00DC5FAB"/>
    <w:rsid w:val="00DC7D5D"/>
    <w:rsid w:val="00DD0A42"/>
    <w:rsid w:val="00DD4CF0"/>
    <w:rsid w:val="00DD6524"/>
    <w:rsid w:val="00DD6684"/>
    <w:rsid w:val="00DE0348"/>
    <w:rsid w:val="00DE35F2"/>
    <w:rsid w:val="00DE3A4E"/>
    <w:rsid w:val="00DE4671"/>
    <w:rsid w:val="00DE661F"/>
    <w:rsid w:val="00DE75F5"/>
    <w:rsid w:val="00DF3086"/>
    <w:rsid w:val="00DF3E91"/>
    <w:rsid w:val="00DF3F20"/>
    <w:rsid w:val="00DF41E7"/>
    <w:rsid w:val="00DF62B6"/>
    <w:rsid w:val="00DF7C52"/>
    <w:rsid w:val="00E003E0"/>
    <w:rsid w:val="00E00C79"/>
    <w:rsid w:val="00E020FD"/>
    <w:rsid w:val="00E02293"/>
    <w:rsid w:val="00E02585"/>
    <w:rsid w:val="00E02C53"/>
    <w:rsid w:val="00E030A9"/>
    <w:rsid w:val="00E03262"/>
    <w:rsid w:val="00E05D0D"/>
    <w:rsid w:val="00E06C26"/>
    <w:rsid w:val="00E0732C"/>
    <w:rsid w:val="00E11074"/>
    <w:rsid w:val="00E12A76"/>
    <w:rsid w:val="00E12FF1"/>
    <w:rsid w:val="00E13B7F"/>
    <w:rsid w:val="00E14372"/>
    <w:rsid w:val="00E14A3C"/>
    <w:rsid w:val="00E1566C"/>
    <w:rsid w:val="00E1599A"/>
    <w:rsid w:val="00E16FDA"/>
    <w:rsid w:val="00E17410"/>
    <w:rsid w:val="00E20AB0"/>
    <w:rsid w:val="00E22BFE"/>
    <w:rsid w:val="00E22CB7"/>
    <w:rsid w:val="00E2387E"/>
    <w:rsid w:val="00E243E6"/>
    <w:rsid w:val="00E26780"/>
    <w:rsid w:val="00E2722E"/>
    <w:rsid w:val="00E30A02"/>
    <w:rsid w:val="00E31BCE"/>
    <w:rsid w:val="00E326D9"/>
    <w:rsid w:val="00E3708E"/>
    <w:rsid w:val="00E37BBC"/>
    <w:rsid w:val="00E40B3D"/>
    <w:rsid w:val="00E41698"/>
    <w:rsid w:val="00E4230E"/>
    <w:rsid w:val="00E42BF8"/>
    <w:rsid w:val="00E446F9"/>
    <w:rsid w:val="00E45EE6"/>
    <w:rsid w:val="00E46C27"/>
    <w:rsid w:val="00E47831"/>
    <w:rsid w:val="00E47A81"/>
    <w:rsid w:val="00E5117F"/>
    <w:rsid w:val="00E51716"/>
    <w:rsid w:val="00E51B9D"/>
    <w:rsid w:val="00E54A02"/>
    <w:rsid w:val="00E55479"/>
    <w:rsid w:val="00E633F7"/>
    <w:rsid w:val="00E63CD1"/>
    <w:rsid w:val="00E66E5D"/>
    <w:rsid w:val="00E66F10"/>
    <w:rsid w:val="00E67CD8"/>
    <w:rsid w:val="00E71E4C"/>
    <w:rsid w:val="00E72573"/>
    <w:rsid w:val="00E730C0"/>
    <w:rsid w:val="00E76A9B"/>
    <w:rsid w:val="00E81653"/>
    <w:rsid w:val="00E817E5"/>
    <w:rsid w:val="00E855E9"/>
    <w:rsid w:val="00E85EAD"/>
    <w:rsid w:val="00E87B04"/>
    <w:rsid w:val="00E87EA2"/>
    <w:rsid w:val="00E91AD1"/>
    <w:rsid w:val="00E94026"/>
    <w:rsid w:val="00E95BF7"/>
    <w:rsid w:val="00E962E4"/>
    <w:rsid w:val="00E97B21"/>
    <w:rsid w:val="00EA117B"/>
    <w:rsid w:val="00EA124A"/>
    <w:rsid w:val="00EA20B7"/>
    <w:rsid w:val="00EA3206"/>
    <w:rsid w:val="00EA494C"/>
    <w:rsid w:val="00EA5C0B"/>
    <w:rsid w:val="00EA5C25"/>
    <w:rsid w:val="00EA7E74"/>
    <w:rsid w:val="00EB0013"/>
    <w:rsid w:val="00EB1B1A"/>
    <w:rsid w:val="00EB1C9E"/>
    <w:rsid w:val="00EB2D24"/>
    <w:rsid w:val="00EB2F24"/>
    <w:rsid w:val="00EB5206"/>
    <w:rsid w:val="00EB5531"/>
    <w:rsid w:val="00EB5F89"/>
    <w:rsid w:val="00EB6550"/>
    <w:rsid w:val="00EC215C"/>
    <w:rsid w:val="00EC23AD"/>
    <w:rsid w:val="00EC25A7"/>
    <w:rsid w:val="00EC2E5B"/>
    <w:rsid w:val="00EC3820"/>
    <w:rsid w:val="00EC4451"/>
    <w:rsid w:val="00EC4801"/>
    <w:rsid w:val="00EC4CD4"/>
    <w:rsid w:val="00EC5A6A"/>
    <w:rsid w:val="00EC682C"/>
    <w:rsid w:val="00EC6DF9"/>
    <w:rsid w:val="00ED05C8"/>
    <w:rsid w:val="00ED076A"/>
    <w:rsid w:val="00ED1ACF"/>
    <w:rsid w:val="00ED3290"/>
    <w:rsid w:val="00ED38C8"/>
    <w:rsid w:val="00ED433D"/>
    <w:rsid w:val="00ED4704"/>
    <w:rsid w:val="00ED7D05"/>
    <w:rsid w:val="00ED7FAC"/>
    <w:rsid w:val="00EE15BE"/>
    <w:rsid w:val="00EE4C2E"/>
    <w:rsid w:val="00EE516B"/>
    <w:rsid w:val="00EE5A6F"/>
    <w:rsid w:val="00EE7817"/>
    <w:rsid w:val="00EF0AE6"/>
    <w:rsid w:val="00EF2075"/>
    <w:rsid w:val="00EF2A4C"/>
    <w:rsid w:val="00EF5226"/>
    <w:rsid w:val="00EF5D22"/>
    <w:rsid w:val="00EF6365"/>
    <w:rsid w:val="00EF684E"/>
    <w:rsid w:val="00EF68FE"/>
    <w:rsid w:val="00EF7418"/>
    <w:rsid w:val="00F005B2"/>
    <w:rsid w:val="00F00A12"/>
    <w:rsid w:val="00F0317B"/>
    <w:rsid w:val="00F044BD"/>
    <w:rsid w:val="00F04D7D"/>
    <w:rsid w:val="00F06D7F"/>
    <w:rsid w:val="00F07089"/>
    <w:rsid w:val="00F0769D"/>
    <w:rsid w:val="00F10329"/>
    <w:rsid w:val="00F108EA"/>
    <w:rsid w:val="00F1099F"/>
    <w:rsid w:val="00F11D94"/>
    <w:rsid w:val="00F12014"/>
    <w:rsid w:val="00F142AD"/>
    <w:rsid w:val="00F1585A"/>
    <w:rsid w:val="00F16168"/>
    <w:rsid w:val="00F178A8"/>
    <w:rsid w:val="00F20366"/>
    <w:rsid w:val="00F22E3D"/>
    <w:rsid w:val="00F2309D"/>
    <w:rsid w:val="00F264F2"/>
    <w:rsid w:val="00F277E7"/>
    <w:rsid w:val="00F27B60"/>
    <w:rsid w:val="00F3176F"/>
    <w:rsid w:val="00F33182"/>
    <w:rsid w:val="00F34107"/>
    <w:rsid w:val="00F34681"/>
    <w:rsid w:val="00F35DB4"/>
    <w:rsid w:val="00F364E2"/>
    <w:rsid w:val="00F40373"/>
    <w:rsid w:val="00F41103"/>
    <w:rsid w:val="00F417B6"/>
    <w:rsid w:val="00F4193F"/>
    <w:rsid w:val="00F41D87"/>
    <w:rsid w:val="00F42379"/>
    <w:rsid w:val="00F431E4"/>
    <w:rsid w:val="00F435E9"/>
    <w:rsid w:val="00F44B6D"/>
    <w:rsid w:val="00F45EAA"/>
    <w:rsid w:val="00F46EA9"/>
    <w:rsid w:val="00F47312"/>
    <w:rsid w:val="00F47697"/>
    <w:rsid w:val="00F50CB3"/>
    <w:rsid w:val="00F53551"/>
    <w:rsid w:val="00F54307"/>
    <w:rsid w:val="00F559B3"/>
    <w:rsid w:val="00F55B69"/>
    <w:rsid w:val="00F55B9D"/>
    <w:rsid w:val="00F56271"/>
    <w:rsid w:val="00F60DE4"/>
    <w:rsid w:val="00F60E98"/>
    <w:rsid w:val="00F64EB1"/>
    <w:rsid w:val="00F66B27"/>
    <w:rsid w:val="00F67876"/>
    <w:rsid w:val="00F7107F"/>
    <w:rsid w:val="00F73A9E"/>
    <w:rsid w:val="00F77740"/>
    <w:rsid w:val="00F77882"/>
    <w:rsid w:val="00F800BE"/>
    <w:rsid w:val="00F811B4"/>
    <w:rsid w:val="00F81FAE"/>
    <w:rsid w:val="00F83611"/>
    <w:rsid w:val="00F91088"/>
    <w:rsid w:val="00F92929"/>
    <w:rsid w:val="00F93BD2"/>
    <w:rsid w:val="00F941EC"/>
    <w:rsid w:val="00F943AA"/>
    <w:rsid w:val="00F952C7"/>
    <w:rsid w:val="00F96789"/>
    <w:rsid w:val="00FA0E61"/>
    <w:rsid w:val="00FA3156"/>
    <w:rsid w:val="00FA31BA"/>
    <w:rsid w:val="00FA6CD1"/>
    <w:rsid w:val="00FA7CD0"/>
    <w:rsid w:val="00FB06AB"/>
    <w:rsid w:val="00FB0936"/>
    <w:rsid w:val="00FB1E0F"/>
    <w:rsid w:val="00FB2FC1"/>
    <w:rsid w:val="00FB3396"/>
    <w:rsid w:val="00FB3CD9"/>
    <w:rsid w:val="00FB6327"/>
    <w:rsid w:val="00FB6662"/>
    <w:rsid w:val="00FB7005"/>
    <w:rsid w:val="00FC159B"/>
    <w:rsid w:val="00FC33E7"/>
    <w:rsid w:val="00FC5242"/>
    <w:rsid w:val="00FC56F9"/>
    <w:rsid w:val="00FC6B53"/>
    <w:rsid w:val="00FD08DE"/>
    <w:rsid w:val="00FD19AC"/>
    <w:rsid w:val="00FD1C17"/>
    <w:rsid w:val="00FD3489"/>
    <w:rsid w:val="00FD5DAE"/>
    <w:rsid w:val="00FD6295"/>
    <w:rsid w:val="00FD7516"/>
    <w:rsid w:val="00FD7890"/>
    <w:rsid w:val="00FD7EEA"/>
    <w:rsid w:val="00FE002A"/>
    <w:rsid w:val="00FE2D80"/>
    <w:rsid w:val="00FE478C"/>
    <w:rsid w:val="00FE54AE"/>
    <w:rsid w:val="00FE5CF4"/>
    <w:rsid w:val="00FE6475"/>
    <w:rsid w:val="00FE64E5"/>
    <w:rsid w:val="00FF007C"/>
    <w:rsid w:val="00FF13F2"/>
    <w:rsid w:val="00FF1546"/>
    <w:rsid w:val="00FF419F"/>
    <w:rsid w:val="00FF53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45E"/>
    <w:pPr>
      <w:autoSpaceDE w:val="0"/>
      <w:autoSpaceDN w:val="0"/>
      <w:adjustRightInd w:val="0"/>
      <w:jc w:val="both"/>
    </w:pPr>
    <w:rPr>
      <w:sz w:val="22"/>
      <w:szCs w:val="24"/>
      <w:lang w:eastAsia="en-US"/>
    </w:rPr>
  </w:style>
  <w:style w:type="paragraph" w:styleId="Heading1">
    <w:name w:val="heading 1"/>
    <w:basedOn w:val="Normal"/>
    <w:next w:val="Normal"/>
    <w:qFormat/>
    <w:rsid w:val="006C445E"/>
    <w:pPr>
      <w:numPr>
        <w:numId w:val="15"/>
      </w:numPr>
      <w:outlineLvl w:val="0"/>
    </w:pPr>
  </w:style>
  <w:style w:type="paragraph" w:styleId="Heading2">
    <w:name w:val="heading 2"/>
    <w:basedOn w:val="Normal"/>
    <w:next w:val="Normal"/>
    <w:qFormat/>
    <w:rsid w:val="009A2153"/>
    <w:pPr>
      <w:numPr>
        <w:ilvl w:val="1"/>
        <w:numId w:val="5"/>
      </w:numPr>
      <w:outlineLvl w:val="1"/>
    </w:pPr>
    <w:rPr>
      <w:b/>
      <w:bCs/>
      <w:sz w:val="28"/>
      <w:szCs w:val="28"/>
    </w:rPr>
  </w:style>
  <w:style w:type="paragraph" w:styleId="Heading3">
    <w:name w:val="heading 3"/>
    <w:basedOn w:val="Normal"/>
    <w:next w:val="Normal"/>
    <w:qFormat/>
    <w:rsid w:val="006C445E"/>
    <w:pPr>
      <w:numPr>
        <w:ilvl w:val="2"/>
        <w:numId w:val="9"/>
      </w:numPr>
      <w:outlineLvl w:val="2"/>
    </w:pPr>
    <w:rPr>
      <w:b/>
      <w:bCs/>
    </w:rPr>
  </w:style>
  <w:style w:type="paragraph" w:styleId="Heading4">
    <w:name w:val="heading 4"/>
    <w:basedOn w:val="Normal"/>
    <w:next w:val="Normal"/>
    <w:qFormat/>
    <w:rsid w:val="006C445E"/>
    <w:pPr>
      <w:numPr>
        <w:ilvl w:val="3"/>
        <w:numId w:val="10"/>
      </w:numPr>
      <w:ind w:right="2880"/>
      <w:outlineLvl w:val="3"/>
    </w:pPr>
    <w:rPr>
      <w:b/>
      <w:bCs/>
    </w:rPr>
  </w:style>
  <w:style w:type="paragraph" w:styleId="Heading5">
    <w:name w:val="heading 5"/>
    <w:basedOn w:val="Normal"/>
    <w:next w:val="Normal"/>
    <w:qFormat/>
    <w:rsid w:val="006C445E"/>
    <w:pPr>
      <w:numPr>
        <w:ilvl w:val="4"/>
        <w:numId w:val="11"/>
      </w:numPr>
      <w:ind w:right="2880"/>
      <w:outlineLvl w:val="4"/>
    </w:pPr>
    <w:rPr>
      <w:i/>
      <w:iCs/>
    </w:rPr>
  </w:style>
  <w:style w:type="paragraph" w:styleId="Heading6">
    <w:name w:val="heading 6"/>
    <w:basedOn w:val="Normal"/>
    <w:next w:val="Normal"/>
    <w:qFormat/>
    <w:rsid w:val="006C445E"/>
    <w:pPr>
      <w:numPr>
        <w:ilvl w:val="5"/>
        <w:numId w:val="12"/>
      </w:numPr>
      <w:spacing w:before="240" w:after="60"/>
      <w:outlineLvl w:val="5"/>
    </w:pPr>
    <w:rPr>
      <w:b/>
      <w:bCs/>
      <w:szCs w:val="22"/>
    </w:rPr>
  </w:style>
  <w:style w:type="paragraph" w:styleId="Heading7">
    <w:name w:val="heading 7"/>
    <w:basedOn w:val="Normal"/>
    <w:next w:val="Normal"/>
    <w:qFormat/>
    <w:rsid w:val="006C445E"/>
    <w:pPr>
      <w:numPr>
        <w:ilvl w:val="6"/>
        <w:numId w:val="13"/>
      </w:numPr>
      <w:spacing w:before="240" w:after="60"/>
      <w:outlineLvl w:val="6"/>
    </w:pPr>
  </w:style>
  <w:style w:type="paragraph" w:styleId="Heading8">
    <w:name w:val="heading 8"/>
    <w:basedOn w:val="Normal"/>
    <w:next w:val="Normal"/>
    <w:qFormat/>
    <w:rsid w:val="006C445E"/>
    <w:pPr>
      <w:numPr>
        <w:ilvl w:val="7"/>
        <w:numId w:val="14"/>
      </w:numPr>
      <w:spacing w:before="240" w:after="60"/>
      <w:outlineLvl w:val="7"/>
    </w:pPr>
    <w:rPr>
      <w:i/>
      <w:iCs/>
    </w:rPr>
  </w:style>
  <w:style w:type="paragraph" w:styleId="Heading9">
    <w:name w:val="heading 9"/>
    <w:basedOn w:val="Normal"/>
    <w:next w:val="Normal"/>
    <w:qFormat/>
    <w:rsid w:val="006C445E"/>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6C445E"/>
    <w:pPr>
      <w:numPr>
        <w:numId w:val="2"/>
      </w:numPr>
      <w:spacing w:after="260"/>
      <w:jc w:val="both"/>
    </w:pPr>
    <w:rPr>
      <w:i/>
      <w:sz w:val="22"/>
      <w:szCs w:val="24"/>
      <w:lang w:eastAsia="en-US"/>
    </w:rPr>
  </w:style>
  <w:style w:type="paragraph" w:customStyle="1" w:styleId="1Para">
    <w:name w:val="1Para"/>
    <w:basedOn w:val="Normal"/>
    <w:rsid w:val="006C445E"/>
    <w:pPr>
      <w:numPr>
        <w:numId w:val="16"/>
      </w:numPr>
      <w:tabs>
        <w:tab w:val="left" w:pos="1440"/>
      </w:tabs>
      <w:autoSpaceDE/>
      <w:autoSpaceDN/>
      <w:adjustRightInd/>
      <w:spacing w:before="260" w:after="260"/>
    </w:pPr>
    <w:rPr>
      <w:szCs w:val="22"/>
    </w:rPr>
  </w:style>
  <w:style w:type="paragraph" w:customStyle="1" w:styleId="2Para">
    <w:name w:val="2Para"/>
    <w:basedOn w:val="Normal"/>
    <w:link w:val="2ParaChar"/>
    <w:rsid w:val="006C445E"/>
    <w:pPr>
      <w:numPr>
        <w:ilvl w:val="1"/>
        <w:numId w:val="27"/>
      </w:numPr>
      <w:tabs>
        <w:tab w:val="left" w:pos="1440"/>
      </w:tabs>
      <w:autoSpaceDE/>
      <w:autoSpaceDN/>
      <w:adjustRightInd/>
      <w:spacing w:before="260" w:after="260"/>
    </w:pPr>
    <w:rPr>
      <w:szCs w:val="22"/>
    </w:rPr>
  </w:style>
  <w:style w:type="paragraph" w:customStyle="1" w:styleId="3Heading">
    <w:name w:val="3Heading"/>
    <w:basedOn w:val="TOC3"/>
    <w:next w:val="3Para"/>
    <w:rsid w:val="006C445E"/>
    <w:pPr>
      <w:keepNext/>
      <w:spacing w:before="260" w:after="260"/>
      <w:ind w:left="0" w:right="2880"/>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6C445E"/>
    <w:pPr>
      <w:numPr>
        <w:ilvl w:val="2"/>
        <w:numId w:val="27"/>
      </w:numPr>
      <w:tabs>
        <w:tab w:val="left" w:pos="1440"/>
      </w:tabs>
      <w:spacing w:before="260" w:after="260"/>
    </w:pPr>
  </w:style>
  <w:style w:type="paragraph" w:customStyle="1" w:styleId="4Para">
    <w:name w:val="4Para"/>
    <w:basedOn w:val="Normal"/>
    <w:rsid w:val="006C445E"/>
    <w:pPr>
      <w:numPr>
        <w:ilvl w:val="3"/>
        <w:numId w:val="27"/>
      </w:numPr>
      <w:tabs>
        <w:tab w:val="left" w:pos="1440"/>
      </w:tabs>
      <w:autoSpaceDE/>
      <w:autoSpaceDN/>
      <w:adjustRightInd/>
      <w:spacing w:before="260" w:after="260"/>
    </w:pPr>
  </w:style>
  <w:style w:type="paragraph" w:customStyle="1" w:styleId="5Para">
    <w:name w:val="5Para"/>
    <w:basedOn w:val="Normal"/>
    <w:rsid w:val="006C445E"/>
    <w:pPr>
      <w:numPr>
        <w:ilvl w:val="4"/>
        <w:numId w:val="27"/>
      </w:numPr>
      <w:tabs>
        <w:tab w:val="left" w:pos="1440"/>
      </w:tabs>
      <w:autoSpaceDE/>
      <w:autoSpaceDN/>
      <w:adjustRightInd/>
      <w:spacing w:before="260" w:after="260"/>
    </w:pPr>
  </w:style>
  <w:style w:type="paragraph" w:customStyle="1" w:styleId="6Para">
    <w:name w:val="6Para"/>
    <w:basedOn w:val="Normal"/>
    <w:rsid w:val="006C445E"/>
    <w:pPr>
      <w:numPr>
        <w:ilvl w:val="5"/>
        <w:numId w:val="27"/>
      </w:numPr>
      <w:tabs>
        <w:tab w:val="left" w:pos="1440"/>
      </w:tabs>
      <w:autoSpaceDE/>
      <w:autoSpaceDN/>
      <w:adjustRightInd/>
      <w:spacing w:before="260" w:after="260"/>
    </w:pPr>
  </w:style>
  <w:style w:type="paragraph" w:customStyle="1" w:styleId="7Para">
    <w:name w:val="7Para"/>
    <w:basedOn w:val="Normal"/>
    <w:rsid w:val="006C445E"/>
    <w:pPr>
      <w:numPr>
        <w:ilvl w:val="6"/>
        <w:numId w:val="27"/>
      </w:numPr>
      <w:tabs>
        <w:tab w:val="left" w:pos="1440"/>
      </w:tabs>
      <w:autoSpaceDE/>
      <w:autoSpaceDN/>
      <w:adjustRightInd/>
      <w:spacing w:before="260" w:after="260"/>
    </w:pPr>
  </w:style>
  <w:style w:type="paragraph" w:customStyle="1" w:styleId="8Para">
    <w:name w:val="8Para"/>
    <w:basedOn w:val="Normal"/>
    <w:rsid w:val="006C445E"/>
    <w:pPr>
      <w:numPr>
        <w:ilvl w:val="7"/>
        <w:numId w:val="27"/>
      </w:numPr>
      <w:tabs>
        <w:tab w:val="left" w:pos="1440"/>
      </w:tabs>
      <w:autoSpaceDE/>
      <w:autoSpaceDN/>
      <w:adjustRightInd/>
      <w:spacing w:before="260" w:after="260"/>
    </w:pPr>
  </w:style>
  <w:style w:type="paragraph" w:customStyle="1" w:styleId="Blockquote">
    <w:name w:val="Blockquote"/>
    <w:basedOn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6C445E"/>
    <w:pPr>
      <w:numPr>
        <w:numId w:val="1"/>
      </w:numPr>
      <w:spacing w:line="480" w:lineRule="auto"/>
    </w:pPr>
  </w:style>
  <w:style w:type="character" w:styleId="FootnoteReference">
    <w:name w:val="footnote reference"/>
    <w:aliases w:val="Appel note de bas de p,Footnote Reference/"/>
    <w:rsid w:val="008E47BA"/>
    <w:rPr>
      <w:vertAlign w:val="superscript"/>
    </w:rPr>
  </w:style>
  <w:style w:type="paragraph" w:customStyle="1" w:styleId="List-">
    <w:name w:val="List_-"/>
    <w:basedOn w:val="Normal"/>
    <w:rsid w:val="006C445E"/>
    <w:pPr>
      <w:numPr>
        <w:numId w:val="5"/>
      </w:numPr>
      <w:spacing w:before="260" w:after="260"/>
    </w:pPr>
  </w:style>
  <w:style w:type="paragraph" w:customStyle="1" w:styleId="List123">
    <w:name w:val="List_1_2_3"/>
    <w:basedOn w:val="Normal"/>
    <w:rsid w:val="006C445E"/>
    <w:pPr>
      <w:numPr>
        <w:numId w:val="4"/>
      </w:numPr>
      <w:tabs>
        <w:tab w:val="clear" w:pos="1800"/>
      </w:tabs>
      <w:spacing w:before="260" w:after="260"/>
    </w:pPr>
  </w:style>
  <w:style w:type="paragraph" w:customStyle="1" w:styleId="Listabc">
    <w:name w:val="List_a_b_c"/>
    <w:basedOn w:val="Normal"/>
    <w:rsid w:val="006C445E"/>
    <w:pPr>
      <w:spacing w:before="260" w:after="260"/>
    </w:pPr>
  </w:style>
  <w:style w:type="paragraph" w:customStyle="1" w:styleId="ListIndt2">
    <w:name w:val="ListIndt_2"/>
    <w:basedOn w:val="Normal"/>
    <w:rsid w:val="006C445E"/>
    <w:pPr>
      <w:spacing w:before="260" w:after="260"/>
      <w:ind w:left="1440"/>
    </w:pPr>
  </w:style>
  <w:style w:type="paragraph" w:customStyle="1" w:styleId="ListIndt3">
    <w:name w:val="ListIndt_3"/>
    <w:basedOn w:val="Normal"/>
    <w:rsid w:val="006C445E"/>
    <w:pPr>
      <w:spacing w:before="260" w:after="260"/>
      <w:ind w:left="1800"/>
    </w:pPr>
  </w:style>
  <w:style w:type="paragraph" w:customStyle="1" w:styleId="ListIndt4">
    <w:name w:val="ListIndt_4"/>
    <w:basedOn w:val="Normal"/>
    <w:rsid w:val="006C445E"/>
    <w:pPr>
      <w:spacing w:before="260" w:after="260"/>
      <w:ind w:left="2160"/>
    </w:pPr>
  </w:style>
  <w:style w:type="paragraph" w:customStyle="1" w:styleId="ListTab0">
    <w:name w:val="ListTab_0"/>
    <w:basedOn w:val="Normal"/>
    <w:rsid w:val="006C445E"/>
    <w:pPr>
      <w:spacing w:before="260" w:after="260"/>
    </w:pPr>
  </w:style>
  <w:style w:type="paragraph" w:customStyle="1" w:styleId="ListTab2">
    <w:name w:val="ListTab_2"/>
    <w:basedOn w:val="Normal"/>
    <w:rsid w:val="006C445E"/>
    <w:pPr>
      <w:spacing w:before="260" w:after="260"/>
      <w:ind w:firstLine="1440"/>
    </w:pPr>
  </w:style>
  <w:style w:type="paragraph" w:customStyle="1" w:styleId="ListTab3">
    <w:name w:val="ListTab_3"/>
    <w:basedOn w:val="Normal"/>
    <w:rsid w:val="006C445E"/>
    <w:pPr>
      <w:spacing w:before="260" w:after="260"/>
      <w:ind w:firstLine="1800"/>
    </w:pPr>
  </w:style>
  <w:style w:type="paragraph" w:customStyle="1" w:styleId="ListTab4">
    <w:name w:val="ListTab_4"/>
    <w:basedOn w:val="Normal"/>
    <w:rsid w:val="006C445E"/>
    <w:pPr>
      <w:spacing w:before="260" w:after="260"/>
      <w:ind w:firstLine="2160"/>
    </w:pPr>
  </w:style>
  <w:style w:type="paragraph" w:customStyle="1" w:styleId="Note">
    <w:name w:val="Note"/>
    <w:link w:val="NoteChar"/>
    <w:rsid w:val="006C445E"/>
    <w:pPr>
      <w:numPr>
        <w:numId w:val="7"/>
      </w:numPr>
      <w:spacing w:after="260"/>
      <w:ind w:firstLine="1800"/>
      <w:jc w:val="both"/>
    </w:pPr>
    <w:rPr>
      <w:i/>
      <w:sz w:val="22"/>
      <w:szCs w:val="24"/>
      <w:lang w:eastAsia="en-US"/>
    </w:rPr>
  </w:style>
  <w:style w:type="paragraph" w:customStyle="1" w:styleId="ParaIndt2">
    <w:name w:val="ParaIndt_2"/>
    <w:basedOn w:val="Normal"/>
    <w:rsid w:val="006C445E"/>
    <w:pPr>
      <w:spacing w:before="260" w:after="260"/>
      <w:ind w:left="1440"/>
    </w:pPr>
  </w:style>
  <w:style w:type="paragraph" w:customStyle="1" w:styleId="ParaIndt3">
    <w:name w:val="ParaIndt_3"/>
    <w:basedOn w:val="Normal"/>
    <w:rsid w:val="006C445E"/>
    <w:pPr>
      <w:spacing w:before="260" w:after="260"/>
      <w:ind w:left="1800"/>
    </w:pPr>
  </w:style>
  <w:style w:type="paragraph" w:customStyle="1" w:styleId="ParaIndt4">
    <w:name w:val="ParaIndt_4"/>
    <w:basedOn w:val="Normal"/>
    <w:rsid w:val="006C445E"/>
    <w:pPr>
      <w:spacing w:before="260" w:after="260"/>
      <w:ind w:left="2160"/>
    </w:pPr>
  </w:style>
  <w:style w:type="paragraph" w:customStyle="1" w:styleId="ParaTab0">
    <w:name w:val="ParaTab_0"/>
    <w:basedOn w:val="Normal"/>
    <w:rsid w:val="006C445E"/>
    <w:pPr>
      <w:spacing w:before="260" w:after="260"/>
    </w:pPr>
  </w:style>
  <w:style w:type="paragraph" w:customStyle="1" w:styleId="ParaTab2">
    <w:name w:val="ParaTab_2"/>
    <w:basedOn w:val="Normal"/>
    <w:rsid w:val="006C445E"/>
    <w:pPr>
      <w:spacing w:before="260" w:after="260"/>
      <w:ind w:firstLine="1440"/>
    </w:pPr>
  </w:style>
  <w:style w:type="paragraph" w:customStyle="1" w:styleId="ParaTab3">
    <w:name w:val="ParaTab_3"/>
    <w:basedOn w:val="Normal"/>
    <w:rsid w:val="006C445E"/>
    <w:pPr>
      <w:spacing w:before="260" w:after="260"/>
      <w:ind w:firstLine="1800"/>
    </w:pPr>
  </w:style>
  <w:style w:type="paragraph" w:customStyle="1" w:styleId="ParaTab4">
    <w:name w:val="ParaTab_4"/>
    <w:basedOn w:val="Normal"/>
    <w:rsid w:val="006C445E"/>
    <w:pPr>
      <w:spacing w:before="260" w:after="260"/>
      <w:ind w:firstLine="2160"/>
    </w:pPr>
  </w:style>
  <w:style w:type="paragraph" w:customStyle="1" w:styleId="1Heading">
    <w:name w:val="1Heading"/>
    <w:basedOn w:val="TOC1"/>
    <w:next w:val="2Para"/>
    <w:rsid w:val="006C445E"/>
    <w:pPr>
      <w:keepNext/>
      <w:numPr>
        <w:numId w:val="27"/>
      </w:numPr>
      <w:autoSpaceDE/>
      <w:autoSpaceDN/>
      <w:adjustRightInd/>
      <w:spacing w:before="520" w:after="260"/>
      <w:ind w:right="288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6C445E"/>
    <w:pPr>
      <w:keepNext/>
      <w:tabs>
        <w:tab w:val="left" w:pos="720"/>
      </w:tabs>
      <w:ind w:left="720" w:right="2880" w:hanging="720"/>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6C445E"/>
    <w:pPr>
      <w:numPr>
        <w:numId w:val="6"/>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pPr>
    <w:rPr>
      <w:b/>
      <w:szCs w:val="22"/>
    </w:rPr>
  </w:style>
  <w:style w:type="paragraph" w:customStyle="1" w:styleId="RefPrincipal">
    <w:name w:val="RefPrincipal"/>
    <w:basedOn w:val="Normal"/>
    <w:rsid w:val="00C5363D"/>
    <w:pPr>
      <w:numPr>
        <w:numId w:val="3"/>
      </w:numPr>
      <w:tabs>
        <w:tab w:val="clear" w:pos="205"/>
        <w:tab w:val="num" w:pos="115"/>
      </w:tabs>
      <w:ind w:left="331"/>
    </w:pPr>
  </w:style>
  <w:style w:type="paragraph" w:customStyle="1" w:styleId="RefRegular">
    <w:name w:val="RefRegular"/>
    <w:basedOn w:val="Normal"/>
    <w:rsid w:val="00507204"/>
    <w:pPr>
      <w:ind w:left="331" w:hanging="216"/>
    </w:pPr>
  </w:style>
  <w:style w:type="paragraph" w:customStyle="1" w:styleId="ParaIndt1">
    <w:name w:val="ParaIndt_1"/>
    <w:basedOn w:val="Normal"/>
    <w:rsid w:val="006C445E"/>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6C445E"/>
    <w:pPr>
      <w:numPr>
        <w:numId w:val="8"/>
      </w:numPr>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686187"/>
    <w:pPr>
      <w:ind w:left="115" w:hanging="115"/>
    </w:pPr>
    <w:rPr>
      <w:sz w:val="18"/>
      <w:szCs w:val="20"/>
    </w:rPr>
  </w:style>
  <w:style w:type="paragraph" w:customStyle="1" w:styleId="ListExSum">
    <w:name w:val="List_ExSum"/>
    <w:basedOn w:val="Normal"/>
    <w:rsid w:val="006C445E"/>
  </w:style>
  <w:style w:type="paragraph" w:customStyle="1" w:styleId="Char">
    <w:name w:val="Char"/>
    <w:basedOn w:val="Normal"/>
    <w:rsid w:val="00B17AC2"/>
    <w:pPr>
      <w:autoSpaceDE/>
      <w:autoSpaceDN/>
      <w:adjustRightInd/>
      <w:spacing w:after="160" w:line="240" w:lineRule="exact"/>
      <w:jc w:val="left"/>
    </w:pPr>
    <w:rPr>
      <w:rFonts w:ascii="Arial" w:hAnsi="Arial"/>
      <w:sz w:val="20"/>
      <w:szCs w:val="20"/>
      <w:lang w:val="fr-FR" w:eastAsia="zh-CN"/>
    </w:rPr>
  </w:style>
  <w:style w:type="paragraph" w:styleId="BodyText3">
    <w:name w:val="Body Text 3"/>
    <w:basedOn w:val="Normal"/>
    <w:rsid w:val="005B4935"/>
    <w:pPr>
      <w:autoSpaceDE/>
      <w:autoSpaceDN/>
      <w:adjustRightInd/>
      <w:spacing w:after="120" w:line="276" w:lineRule="auto"/>
      <w:jc w:val="left"/>
    </w:pPr>
    <w:rPr>
      <w:rFonts w:ascii="Calibri" w:eastAsia="Calibri" w:hAnsi="Calibri"/>
      <w:sz w:val="16"/>
      <w:szCs w:val="16"/>
      <w:lang w:val="en-US"/>
    </w:rPr>
  </w:style>
  <w:style w:type="character" w:styleId="Hyperlink">
    <w:name w:val="Hyperlink"/>
    <w:basedOn w:val="DefaultParagraphFont"/>
    <w:rsid w:val="00F1099F"/>
    <w:rPr>
      <w:color w:val="0000FF"/>
      <w:u w:val="single"/>
    </w:rPr>
  </w:style>
  <w:style w:type="paragraph" w:styleId="BalloonText">
    <w:name w:val="Balloon Text"/>
    <w:basedOn w:val="Normal"/>
    <w:link w:val="BalloonTextChar"/>
    <w:uiPriority w:val="99"/>
    <w:rsid w:val="000E6480"/>
    <w:rPr>
      <w:rFonts w:ascii="Tahoma" w:hAnsi="Tahoma" w:cs="Tahoma"/>
      <w:sz w:val="16"/>
      <w:szCs w:val="16"/>
    </w:rPr>
  </w:style>
  <w:style w:type="paragraph" w:styleId="ListParagraph">
    <w:name w:val="List Paragraph"/>
    <w:basedOn w:val="Normal"/>
    <w:uiPriority w:val="34"/>
    <w:qFormat/>
    <w:rsid w:val="00CA16BF"/>
    <w:pPr>
      <w:ind w:left="720"/>
      <w:contextualSpacing/>
    </w:pPr>
  </w:style>
  <w:style w:type="paragraph" w:styleId="BodyText">
    <w:name w:val="Body Text"/>
    <w:basedOn w:val="Normal"/>
    <w:link w:val="BodyTextChar"/>
    <w:rsid w:val="007C3E12"/>
    <w:pPr>
      <w:spacing w:after="120"/>
    </w:pPr>
  </w:style>
  <w:style w:type="character" w:customStyle="1" w:styleId="BodyTextChar">
    <w:name w:val="Body Text Char"/>
    <w:basedOn w:val="DefaultParagraphFont"/>
    <w:link w:val="BodyText"/>
    <w:rsid w:val="007C3E12"/>
    <w:rPr>
      <w:sz w:val="22"/>
      <w:szCs w:val="24"/>
      <w:lang w:eastAsia="en-US"/>
    </w:rPr>
  </w:style>
  <w:style w:type="paragraph" w:customStyle="1" w:styleId="Headingb">
    <w:name w:val="Heading_b"/>
    <w:basedOn w:val="Normal"/>
    <w:next w:val="Normal"/>
    <w:link w:val="HeadingbChar"/>
    <w:rsid w:val="007C3E12"/>
    <w:pPr>
      <w:keepNext/>
      <w:tabs>
        <w:tab w:val="left" w:pos="1134"/>
        <w:tab w:val="left" w:pos="1871"/>
        <w:tab w:val="left" w:pos="2268"/>
      </w:tabs>
      <w:overflowPunct w:val="0"/>
      <w:spacing w:before="160"/>
      <w:jc w:val="left"/>
      <w:textAlignment w:val="baseline"/>
    </w:pPr>
    <w:rPr>
      <w:rFonts w:ascii="Times" w:hAnsi="Times"/>
      <w:b/>
      <w:sz w:val="24"/>
      <w:szCs w:val="20"/>
    </w:rPr>
  </w:style>
  <w:style w:type="character" w:customStyle="1" w:styleId="HeadingbChar">
    <w:name w:val="Heading_b Char"/>
    <w:link w:val="Headingb"/>
    <w:locked/>
    <w:rsid w:val="007C3E12"/>
    <w:rPr>
      <w:rFonts w:ascii="Times" w:hAnsi="Times"/>
      <w:b/>
      <w:sz w:val="24"/>
      <w:lang w:eastAsia="en-US"/>
    </w:rPr>
  </w:style>
  <w:style w:type="character" w:customStyle="1" w:styleId="Artdef">
    <w:name w:val="Art_def"/>
    <w:basedOn w:val="DefaultParagraphFont"/>
    <w:rsid w:val="00B22E42"/>
    <w:rPr>
      <w:rFonts w:ascii="Times New Roman" w:hAnsi="Times New Roman"/>
      <w:b/>
    </w:rPr>
  </w:style>
  <w:style w:type="character" w:customStyle="1" w:styleId="NoteChar">
    <w:name w:val="Note Char"/>
    <w:basedOn w:val="DefaultParagraphFont"/>
    <w:link w:val="Note"/>
    <w:locked/>
    <w:rsid w:val="00B22E42"/>
    <w:rPr>
      <w:i/>
      <w:sz w:val="22"/>
      <w:szCs w:val="24"/>
      <w:lang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AD0FED"/>
    <w:rPr>
      <w:sz w:val="18"/>
      <w:lang w:eastAsia="en-US"/>
    </w:rPr>
  </w:style>
  <w:style w:type="paragraph" w:customStyle="1" w:styleId="Char0">
    <w:name w:val="Char"/>
    <w:basedOn w:val="Normal"/>
    <w:rsid w:val="000844A1"/>
    <w:pPr>
      <w:autoSpaceDE/>
      <w:autoSpaceDN/>
      <w:adjustRightInd/>
      <w:spacing w:after="160" w:line="240" w:lineRule="exact"/>
      <w:jc w:val="left"/>
    </w:pPr>
    <w:rPr>
      <w:rFonts w:ascii="Arial" w:hAnsi="Arial"/>
      <w:sz w:val="20"/>
      <w:szCs w:val="20"/>
      <w:lang w:val="fr-FR" w:eastAsia="zh-CN"/>
    </w:rPr>
  </w:style>
  <w:style w:type="character" w:styleId="CommentReference">
    <w:name w:val="annotation reference"/>
    <w:basedOn w:val="DefaultParagraphFont"/>
    <w:rsid w:val="007B6A7B"/>
    <w:rPr>
      <w:sz w:val="16"/>
      <w:szCs w:val="16"/>
    </w:rPr>
  </w:style>
  <w:style w:type="paragraph" w:styleId="CommentText">
    <w:name w:val="annotation text"/>
    <w:basedOn w:val="Normal"/>
    <w:link w:val="CommentTextChar"/>
    <w:rsid w:val="007B6A7B"/>
    <w:rPr>
      <w:sz w:val="20"/>
      <w:szCs w:val="20"/>
    </w:rPr>
  </w:style>
  <w:style w:type="character" w:customStyle="1" w:styleId="CommentTextChar">
    <w:name w:val="Comment Text Char"/>
    <w:basedOn w:val="DefaultParagraphFont"/>
    <w:link w:val="CommentText"/>
    <w:rsid w:val="007B6A7B"/>
    <w:rPr>
      <w:lang w:eastAsia="en-US"/>
    </w:rPr>
  </w:style>
  <w:style w:type="paragraph" w:styleId="CommentSubject">
    <w:name w:val="annotation subject"/>
    <w:basedOn w:val="CommentText"/>
    <w:next w:val="CommentText"/>
    <w:link w:val="CommentSubjectChar"/>
    <w:rsid w:val="007B6A7B"/>
    <w:rPr>
      <w:b/>
      <w:bCs/>
    </w:rPr>
  </w:style>
  <w:style w:type="character" w:customStyle="1" w:styleId="CommentSubjectChar">
    <w:name w:val="Comment Subject Char"/>
    <w:basedOn w:val="CommentTextChar"/>
    <w:link w:val="CommentSubject"/>
    <w:rsid w:val="007B6A7B"/>
    <w:rPr>
      <w:b/>
      <w:bCs/>
      <w:lang w:eastAsia="en-US"/>
    </w:rPr>
  </w:style>
  <w:style w:type="paragraph" w:customStyle="1" w:styleId="Default">
    <w:name w:val="Default"/>
    <w:rsid w:val="00BD27F1"/>
    <w:pPr>
      <w:autoSpaceDE w:val="0"/>
      <w:autoSpaceDN w:val="0"/>
      <w:adjustRightInd w:val="0"/>
    </w:pPr>
    <w:rPr>
      <w:color w:val="000000"/>
      <w:sz w:val="24"/>
      <w:szCs w:val="24"/>
    </w:rPr>
  </w:style>
  <w:style w:type="character" w:customStyle="1" w:styleId="BalloonTextChar">
    <w:name w:val="Balloon Text Char"/>
    <w:basedOn w:val="DefaultParagraphFont"/>
    <w:link w:val="BalloonText"/>
    <w:uiPriority w:val="99"/>
    <w:rsid w:val="00CD32F5"/>
    <w:rPr>
      <w:rFonts w:ascii="Tahoma" w:hAnsi="Tahoma" w:cs="Tahoma"/>
      <w:sz w:val="16"/>
      <w:szCs w:val="16"/>
      <w:lang w:eastAsia="en-US"/>
    </w:rPr>
  </w:style>
  <w:style w:type="character" w:customStyle="1" w:styleId="2ParaChar">
    <w:name w:val="2Para Char"/>
    <w:link w:val="2Para"/>
    <w:rsid w:val="00BB6B14"/>
    <w:rPr>
      <w:sz w:val="22"/>
      <w:szCs w:val="22"/>
      <w:lang w:eastAsia="en-US"/>
    </w:rPr>
  </w:style>
  <w:style w:type="paragraph" w:customStyle="1" w:styleId="enumlev1">
    <w:name w:val="enumlev1"/>
    <w:basedOn w:val="Normal"/>
    <w:rsid w:val="00766D28"/>
    <w:pPr>
      <w:tabs>
        <w:tab w:val="left" w:pos="1134"/>
        <w:tab w:val="left" w:pos="1871"/>
        <w:tab w:val="left" w:pos="2608"/>
        <w:tab w:val="left" w:pos="3345"/>
      </w:tabs>
      <w:overflowPunct w:val="0"/>
      <w:spacing w:before="80"/>
      <w:ind w:left="1134" w:hanging="1134"/>
      <w:jc w:val="left"/>
      <w:textAlignment w:val="baseline"/>
    </w:pPr>
    <w:rPr>
      <w:sz w:val="24"/>
      <w:szCs w:val="20"/>
    </w:rPr>
  </w:style>
  <w:style w:type="character" w:customStyle="1" w:styleId="BRNormal">
    <w:name w:val="BR_Normal"/>
    <w:basedOn w:val="DefaultParagraphFont"/>
    <w:uiPriority w:val="1"/>
    <w:qFormat/>
    <w:rsid w:val="0026541F"/>
  </w:style>
  <w:style w:type="paragraph" w:customStyle="1" w:styleId="Annexref">
    <w:name w:val="Annex_ref"/>
    <w:basedOn w:val="Normal"/>
    <w:next w:val="Normal"/>
    <w:rsid w:val="00744789"/>
    <w:pPr>
      <w:keepNext/>
      <w:keepLines/>
      <w:tabs>
        <w:tab w:val="left" w:pos="1134"/>
        <w:tab w:val="left" w:pos="1871"/>
        <w:tab w:val="left" w:pos="2268"/>
      </w:tabs>
      <w:overflowPunct w:val="0"/>
      <w:spacing w:before="120" w:after="280"/>
      <w:jc w:val="center"/>
      <w:textAlignment w:val="baseline"/>
    </w:pPr>
    <w:rPr>
      <w:sz w:val="24"/>
      <w:szCs w:val="20"/>
    </w:rPr>
  </w:style>
  <w:style w:type="character" w:customStyle="1" w:styleId="HeaderChar">
    <w:name w:val="Header Char"/>
    <w:basedOn w:val="DefaultParagraphFont"/>
    <w:link w:val="Header"/>
    <w:rsid w:val="00354798"/>
    <w:rPr>
      <w:sz w:val="22"/>
      <w:szCs w:val="24"/>
      <w:lang w:eastAsia="en-US"/>
    </w:rPr>
  </w:style>
  <w:style w:type="paragraph" w:customStyle="1" w:styleId="AnnexNo">
    <w:name w:val="Annex_No"/>
    <w:basedOn w:val="Normal"/>
    <w:next w:val="Normal"/>
    <w:rsid w:val="00417494"/>
    <w:pPr>
      <w:keepNext/>
      <w:keepLines/>
      <w:tabs>
        <w:tab w:val="left" w:pos="1134"/>
        <w:tab w:val="left" w:pos="1871"/>
        <w:tab w:val="left" w:pos="2268"/>
      </w:tabs>
      <w:overflowPunct w:val="0"/>
      <w:spacing w:before="480" w:after="80"/>
      <w:jc w:val="center"/>
      <w:textAlignment w:val="baseline"/>
    </w:pPr>
    <w:rPr>
      <w:caps/>
      <w:sz w:val="28"/>
      <w:szCs w:val="20"/>
    </w:rPr>
  </w:style>
  <w:style w:type="paragraph" w:customStyle="1" w:styleId="Annextitle">
    <w:name w:val="Annex_title"/>
    <w:basedOn w:val="Normal"/>
    <w:next w:val="Normal"/>
    <w:rsid w:val="00417494"/>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Call">
    <w:name w:val="Call"/>
    <w:basedOn w:val="Normal"/>
    <w:next w:val="Normal"/>
    <w:rsid w:val="00417494"/>
    <w:pPr>
      <w:keepNext/>
      <w:keepLines/>
      <w:tabs>
        <w:tab w:val="left" w:pos="1134"/>
        <w:tab w:val="left" w:pos="1871"/>
        <w:tab w:val="left" w:pos="2268"/>
      </w:tabs>
      <w:overflowPunct w:val="0"/>
      <w:spacing w:before="160"/>
      <w:ind w:left="1134"/>
      <w:jc w:val="left"/>
      <w:textAlignment w:val="baseline"/>
    </w:pPr>
    <w:rPr>
      <w:i/>
      <w:sz w:val="24"/>
      <w:szCs w:val="20"/>
    </w:rPr>
  </w:style>
  <w:style w:type="paragraph" w:customStyle="1" w:styleId="FigureNo">
    <w:name w:val="Figure_No"/>
    <w:basedOn w:val="Normal"/>
    <w:next w:val="Normal"/>
    <w:rsid w:val="00417494"/>
    <w:pPr>
      <w:keepNext/>
      <w:keepLines/>
      <w:tabs>
        <w:tab w:val="left" w:pos="1134"/>
        <w:tab w:val="left" w:pos="1871"/>
        <w:tab w:val="left" w:pos="2268"/>
      </w:tabs>
      <w:overflowPunct w:val="0"/>
      <w:spacing w:before="480" w:after="120"/>
      <w:jc w:val="center"/>
      <w:textAlignment w:val="baseline"/>
    </w:pPr>
    <w:rPr>
      <w:caps/>
      <w:sz w:val="20"/>
      <w:szCs w:val="20"/>
    </w:rPr>
  </w:style>
  <w:style w:type="paragraph" w:customStyle="1" w:styleId="Figuretitle">
    <w:name w:val="Figure_title"/>
    <w:basedOn w:val="Normal"/>
    <w:next w:val="Normal"/>
    <w:rsid w:val="00417494"/>
    <w:pPr>
      <w:keepNext/>
      <w:keepLines/>
      <w:tabs>
        <w:tab w:val="left" w:pos="1134"/>
        <w:tab w:val="left" w:pos="1871"/>
        <w:tab w:val="left" w:pos="2268"/>
      </w:tabs>
      <w:overflowPunct w:val="0"/>
      <w:spacing w:after="480"/>
      <w:jc w:val="center"/>
      <w:textAlignment w:val="baseline"/>
    </w:pPr>
    <w:rPr>
      <w:rFonts w:ascii="Times New Roman Bold" w:hAnsi="Times New Roman Bold"/>
      <w:b/>
      <w:sz w:val="20"/>
      <w:szCs w:val="20"/>
    </w:rPr>
  </w:style>
  <w:style w:type="paragraph" w:customStyle="1" w:styleId="Normalaftertitle">
    <w:name w:val="Normal after title"/>
    <w:basedOn w:val="Normal"/>
    <w:next w:val="Normal"/>
    <w:rsid w:val="00417494"/>
    <w:pPr>
      <w:tabs>
        <w:tab w:val="left" w:pos="1134"/>
        <w:tab w:val="left" w:pos="1871"/>
        <w:tab w:val="left" w:pos="2268"/>
      </w:tabs>
      <w:overflowPunct w:val="0"/>
      <w:spacing w:before="280"/>
      <w:jc w:val="left"/>
      <w:textAlignment w:val="baseline"/>
    </w:pPr>
    <w:rPr>
      <w:sz w:val="24"/>
      <w:szCs w:val="20"/>
    </w:rPr>
  </w:style>
  <w:style w:type="paragraph" w:customStyle="1" w:styleId="Proposal">
    <w:name w:val="Proposal"/>
    <w:basedOn w:val="Normal"/>
    <w:next w:val="Normal"/>
    <w:rsid w:val="00417494"/>
    <w:pPr>
      <w:keepNext/>
      <w:tabs>
        <w:tab w:val="left" w:pos="1134"/>
        <w:tab w:val="left" w:pos="1871"/>
        <w:tab w:val="left" w:pos="2268"/>
      </w:tabs>
      <w:overflowPunct w:val="0"/>
      <w:spacing w:before="240"/>
      <w:jc w:val="left"/>
      <w:textAlignment w:val="baseline"/>
    </w:pPr>
    <w:rPr>
      <w:rFonts w:hAnsi="Times New Roman Bold"/>
      <w:b/>
      <w:sz w:val="24"/>
      <w:szCs w:val="20"/>
    </w:rPr>
  </w:style>
  <w:style w:type="paragraph" w:customStyle="1" w:styleId="Reasons">
    <w:name w:val="Reasons"/>
    <w:basedOn w:val="Normal"/>
    <w:qFormat/>
    <w:rsid w:val="00417494"/>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417494"/>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417494"/>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Artref">
    <w:name w:val="Art_ref"/>
    <w:basedOn w:val="DefaultParagraphFont"/>
    <w:rsid w:val="00417494"/>
  </w:style>
  <w:style w:type="character" w:customStyle="1" w:styleId="Tablefreq">
    <w:name w:val="Table_freq"/>
    <w:basedOn w:val="DefaultParagraphFont"/>
    <w:rsid w:val="00417494"/>
    <w:rPr>
      <w:b/>
      <w:color w:val="auto"/>
      <w:sz w:val="20"/>
    </w:rPr>
  </w:style>
  <w:style w:type="paragraph" w:customStyle="1" w:styleId="Tablehead">
    <w:name w:val="Table_head"/>
    <w:basedOn w:val="Normal"/>
    <w:rsid w:val="00417494"/>
    <w:pPr>
      <w:keepNext/>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rsid w:val="00417494"/>
    <w:pPr>
      <w:tabs>
        <w:tab w:val="left" w:pos="170"/>
        <w:tab w:val="left" w:pos="567"/>
        <w:tab w:val="left" w:pos="737"/>
        <w:tab w:val="left" w:pos="2977"/>
        <w:tab w:val="left" w:pos="3266"/>
      </w:tabs>
      <w:overflowPunct w:val="0"/>
      <w:spacing w:before="40" w:after="40"/>
      <w:jc w:val="left"/>
      <w:textAlignment w:val="baseline"/>
    </w:pPr>
    <w:rPr>
      <w:sz w:val="20"/>
      <w:szCs w:val="20"/>
    </w:rPr>
  </w:style>
  <w:style w:type="paragraph" w:customStyle="1" w:styleId="Tabletitle">
    <w:name w:val="Table_title"/>
    <w:basedOn w:val="Normal"/>
    <w:next w:val="Normal"/>
    <w:rsid w:val="00417494"/>
    <w:pPr>
      <w:keepNext/>
      <w:keepLines/>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character" w:customStyle="1" w:styleId="href">
    <w:name w:val="href"/>
    <w:basedOn w:val="DefaultParagraphFont"/>
    <w:rsid w:val="000C1AFA"/>
  </w:style>
  <w:style w:type="paragraph" w:customStyle="1" w:styleId="enumlev2">
    <w:name w:val="enumlev2"/>
    <w:basedOn w:val="enumlev1"/>
    <w:rsid w:val="00D14CF4"/>
    <w:pPr>
      <w:ind w:left="1871" w:hanging="737"/>
    </w:pPr>
  </w:style>
  <w:style w:type="paragraph" w:customStyle="1" w:styleId="Maintitle">
    <w:name w:val="Main title"/>
    <w:basedOn w:val="Normal"/>
    <w:rsid w:val="00DA7BC4"/>
    <w:pPr>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45E"/>
    <w:pPr>
      <w:autoSpaceDE w:val="0"/>
      <w:autoSpaceDN w:val="0"/>
      <w:adjustRightInd w:val="0"/>
      <w:jc w:val="both"/>
    </w:pPr>
    <w:rPr>
      <w:sz w:val="22"/>
      <w:szCs w:val="24"/>
      <w:lang w:eastAsia="en-US"/>
    </w:rPr>
  </w:style>
  <w:style w:type="paragraph" w:styleId="Heading1">
    <w:name w:val="heading 1"/>
    <w:basedOn w:val="Normal"/>
    <w:next w:val="Normal"/>
    <w:qFormat/>
    <w:rsid w:val="006C445E"/>
    <w:pPr>
      <w:numPr>
        <w:numId w:val="15"/>
      </w:numPr>
      <w:outlineLvl w:val="0"/>
    </w:pPr>
  </w:style>
  <w:style w:type="paragraph" w:styleId="Heading2">
    <w:name w:val="heading 2"/>
    <w:basedOn w:val="Normal"/>
    <w:next w:val="Normal"/>
    <w:qFormat/>
    <w:rsid w:val="009A2153"/>
    <w:pPr>
      <w:numPr>
        <w:ilvl w:val="1"/>
        <w:numId w:val="5"/>
      </w:numPr>
      <w:outlineLvl w:val="1"/>
    </w:pPr>
    <w:rPr>
      <w:b/>
      <w:bCs/>
      <w:sz w:val="28"/>
      <w:szCs w:val="28"/>
    </w:rPr>
  </w:style>
  <w:style w:type="paragraph" w:styleId="Heading3">
    <w:name w:val="heading 3"/>
    <w:basedOn w:val="Normal"/>
    <w:next w:val="Normal"/>
    <w:qFormat/>
    <w:rsid w:val="006C445E"/>
    <w:pPr>
      <w:numPr>
        <w:ilvl w:val="2"/>
        <w:numId w:val="9"/>
      </w:numPr>
      <w:outlineLvl w:val="2"/>
    </w:pPr>
    <w:rPr>
      <w:b/>
      <w:bCs/>
    </w:rPr>
  </w:style>
  <w:style w:type="paragraph" w:styleId="Heading4">
    <w:name w:val="heading 4"/>
    <w:basedOn w:val="Normal"/>
    <w:next w:val="Normal"/>
    <w:qFormat/>
    <w:rsid w:val="006C445E"/>
    <w:pPr>
      <w:numPr>
        <w:ilvl w:val="3"/>
        <w:numId w:val="10"/>
      </w:numPr>
      <w:ind w:right="2880"/>
      <w:outlineLvl w:val="3"/>
    </w:pPr>
    <w:rPr>
      <w:b/>
      <w:bCs/>
    </w:rPr>
  </w:style>
  <w:style w:type="paragraph" w:styleId="Heading5">
    <w:name w:val="heading 5"/>
    <w:basedOn w:val="Normal"/>
    <w:next w:val="Normal"/>
    <w:qFormat/>
    <w:rsid w:val="006C445E"/>
    <w:pPr>
      <w:numPr>
        <w:ilvl w:val="4"/>
        <w:numId w:val="11"/>
      </w:numPr>
      <w:ind w:right="2880"/>
      <w:outlineLvl w:val="4"/>
    </w:pPr>
    <w:rPr>
      <w:i/>
      <w:iCs/>
    </w:rPr>
  </w:style>
  <w:style w:type="paragraph" w:styleId="Heading6">
    <w:name w:val="heading 6"/>
    <w:basedOn w:val="Normal"/>
    <w:next w:val="Normal"/>
    <w:qFormat/>
    <w:rsid w:val="006C445E"/>
    <w:pPr>
      <w:numPr>
        <w:ilvl w:val="5"/>
        <w:numId w:val="12"/>
      </w:numPr>
      <w:spacing w:before="240" w:after="60"/>
      <w:outlineLvl w:val="5"/>
    </w:pPr>
    <w:rPr>
      <w:b/>
      <w:bCs/>
      <w:szCs w:val="22"/>
    </w:rPr>
  </w:style>
  <w:style w:type="paragraph" w:styleId="Heading7">
    <w:name w:val="heading 7"/>
    <w:basedOn w:val="Normal"/>
    <w:next w:val="Normal"/>
    <w:qFormat/>
    <w:rsid w:val="006C445E"/>
    <w:pPr>
      <w:numPr>
        <w:ilvl w:val="6"/>
        <w:numId w:val="13"/>
      </w:numPr>
      <w:spacing w:before="240" w:after="60"/>
      <w:outlineLvl w:val="6"/>
    </w:pPr>
  </w:style>
  <w:style w:type="paragraph" w:styleId="Heading8">
    <w:name w:val="heading 8"/>
    <w:basedOn w:val="Normal"/>
    <w:next w:val="Normal"/>
    <w:qFormat/>
    <w:rsid w:val="006C445E"/>
    <w:pPr>
      <w:numPr>
        <w:ilvl w:val="7"/>
        <w:numId w:val="14"/>
      </w:numPr>
      <w:spacing w:before="240" w:after="60"/>
      <w:outlineLvl w:val="7"/>
    </w:pPr>
    <w:rPr>
      <w:i/>
      <w:iCs/>
    </w:rPr>
  </w:style>
  <w:style w:type="paragraph" w:styleId="Heading9">
    <w:name w:val="heading 9"/>
    <w:basedOn w:val="Normal"/>
    <w:next w:val="Normal"/>
    <w:qFormat/>
    <w:rsid w:val="006C445E"/>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6C445E"/>
    <w:pPr>
      <w:numPr>
        <w:numId w:val="2"/>
      </w:numPr>
      <w:spacing w:after="260"/>
      <w:jc w:val="both"/>
    </w:pPr>
    <w:rPr>
      <w:i/>
      <w:sz w:val="22"/>
      <w:szCs w:val="24"/>
      <w:lang w:eastAsia="en-US"/>
    </w:rPr>
  </w:style>
  <w:style w:type="paragraph" w:customStyle="1" w:styleId="1Para">
    <w:name w:val="1Para"/>
    <w:basedOn w:val="Normal"/>
    <w:rsid w:val="006C445E"/>
    <w:pPr>
      <w:numPr>
        <w:numId w:val="16"/>
      </w:numPr>
      <w:tabs>
        <w:tab w:val="left" w:pos="1440"/>
      </w:tabs>
      <w:autoSpaceDE/>
      <w:autoSpaceDN/>
      <w:adjustRightInd/>
      <w:spacing w:before="260" w:after="260"/>
    </w:pPr>
    <w:rPr>
      <w:szCs w:val="22"/>
    </w:rPr>
  </w:style>
  <w:style w:type="paragraph" w:customStyle="1" w:styleId="2Para">
    <w:name w:val="2Para"/>
    <w:basedOn w:val="Normal"/>
    <w:link w:val="2ParaChar"/>
    <w:rsid w:val="006C445E"/>
    <w:pPr>
      <w:numPr>
        <w:ilvl w:val="1"/>
        <w:numId w:val="27"/>
      </w:numPr>
      <w:tabs>
        <w:tab w:val="left" w:pos="1440"/>
      </w:tabs>
      <w:autoSpaceDE/>
      <w:autoSpaceDN/>
      <w:adjustRightInd/>
      <w:spacing w:before="260" w:after="260"/>
    </w:pPr>
    <w:rPr>
      <w:szCs w:val="22"/>
    </w:rPr>
  </w:style>
  <w:style w:type="paragraph" w:customStyle="1" w:styleId="3Heading">
    <w:name w:val="3Heading"/>
    <w:basedOn w:val="TOC3"/>
    <w:next w:val="3Para"/>
    <w:rsid w:val="006C445E"/>
    <w:pPr>
      <w:keepNext/>
      <w:spacing w:before="260" w:after="260"/>
      <w:ind w:left="0" w:right="2880"/>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6C445E"/>
    <w:pPr>
      <w:numPr>
        <w:ilvl w:val="2"/>
        <w:numId w:val="27"/>
      </w:numPr>
      <w:tabs>
        <w:tab w:val="left" w:pos="1440"/>
      </w:tabs>
      <w:spacing w:before="260" w:after="260"/>
    </w:pPr>
  </w:style>
  <w:style w:type="paragraph" w:customStyle="1" w:styleId="4Para">
    <w:name w:val="4Para"/>
    <w:basedOn w:val="Normal"/>
    <w:rsid w:val="006C445E"/>
    <w:pPr>
      <w:numPr>
        <w:ilvl w:val="3"/>
        <w:numId w:val="27"/>
      </w:numPr>
      <w:tabs>
        <w:tab w:val="left" w:pos="1440"/>
      </w:tabs>
      <w:autoSpaceDE/>
      <w:autoSpaceDN/>
      <w:adjustRightInd/>
      <w:spacing w:before="260" w:after="260"/>
    </w:pPr>
  </w:style>
  <w:style w:type="paragraph" w:customStyle="1" w:styleId="5Para">
    <w:name w:val="5Para"/>
    <w:basedOn w:val="Normal"/>
    <w:rsid w:val="006C445E"/>
    <w:pPr>
      <w:numPr>
        <w:ilvl w:val="4"/>
        <w:numId w:val="27"/>
      </w:numPr>
      <w:tabs>
        <w:tab w:val="left" w:pos="1440"/>
      </w:tabs>
      <w:autoSpaceDE/>
      <w:autoSpaceDN/>
      <w:adjustRightInd/>
      <w:spacing w:before="260" w:after="260"/>
    </w:pPr>
  </w:style>
  <w:style w:type="paragraph" w:customStyle="1" w:styleId="6Para">
    <w:name w:val="6Para"/>
    <w:basedOn w:val="Normal"/>
    <w:rsid w:val="006C445E"/>
    <w:pPr>
      <w:numPr>
        <w:ilvl w:val="5"/>
        <w:numId w:val="27"/>
      </w:numPr>
      <w:tabs>
        <w:tab w:val="left" w:pos="1440"/>
      </w:tabs>
      <w:autoSpaceDE/>
      <w:autoSpaceDN/>
      <w:adjustRightInd/>
      <w:spacing w:before="260" w:after="260"/>
    </w:pPr>
  </w:style>
  <w:style w:type="paragraph" w:customStyle="1" w:styleId="7Para">
    <w:name w:val="7Para"/>
    <w:basedOn w:val="Normal"/>
    <w:rsid w:val="006C445E"/>
    <w:pPr>
      <w:numPr>
        <w:ilvl w:val="6"/>
        <w:numId w:val="27"/>
      </w:numPr>
      <w:tabs>
        <w:tab w:val="left" w:pos="1440"/>
      </w:tabs>
      <w:autoSpaceDE/>
      <w:autoSpaceDN/>
      <w:adjustRightInd/>
      <w:spacing w:before="260" w:after="260"/>
    </w:pPr>
  </w:style>
  <w:style w:type="paragraph" w:customStyle="1" w:styleId="8Para">
    <w:name w:val="8Para"/>
    <w:basedOn w:val="Normal"/>
    <w:rsid w:val="006C445E"/>
    <w:pPr>
      <w:numPr>
        <w:ilvl w:val="7"/>
        <w:numId w:val="27"/>
      </w:numPr>
      <w:tabs>
        <w:tab w:val="left" w:pos="1440"/>
      </w:tabs>
      <w:autoSpaceDE/>
      <w:autoSpaceDN/>
      <w:adjustRightInd/>
      <w:spacing w:before="260" w:after="260"/>
    </w:pPr>
  </w:style>
  <w:style w:type="paragraph" w:customStyle="1" w:styleId="Blockquote">
    <w:name w:val="Blockquote"/>
    <w:basedOn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6C445E"/>
    <w:pPr>
      <w:numPr>
        <w:numId w:val="1"/>
      </w:numPr>
      <w:spacing w:line="480" w:lineRule="auto"/>
    </w:pPr>
  </w:style>
  <w:style w:type="character" w:styleId="FootnoteReference">
    <w:name w:val="footnote reference"/>
    <w:aliases w:val="Appel note de bas de p,Footnote Reference/"/>
    <w:rsid w:val="008E47BA"/>
    <w:rPr>
      <w:vertAlign w:val="superscript"/>
    </w:rPr>
  </w:style>
  <w:style w:type="paragraph" w:customStyle="1" w:styleId="List-">
    <w:name w:val="List_-"/>
    <w:basedOn w:val="Normal"/>
    <w:rsid w:val="006C445E"/>
    <w:pPr>
      <w:numPr>
        <w:numId w:val="5"/>
      </w:numPr>
      <w:spacing w:before="260" w:after="260"/>
    </w:pPr>
  </w:style>
  <w:style w:type="paragraph" w:customStyle="1" w:styleId="List123">
    <w:name w:val="List_1_2_3"/>
    <w:basedOn w:val="Normal"/>
    <w:rsid w:val="006C445E"/>
    <w:pPr>
      <w:numPr>
        <w:numId w:val="4"/>
      </w:numPr>
      <w:tabs>
        <w:tab w:val="clear" w:pos="1800"/>
      </w:tabs>
      <w:spacing w:before="260" w:after="260"/>
    </w:pPr>
  </w:style>
  <w:style w:type="paragraph" w:customStyle="1" w:styleId="Listabc">
    <w:name w:val="List_a_b_c"/>
    <w:basedOn w:val="Normal"/>
    <w:rsid w:val="006C445E"/>
    <w:pPr>
      <w:spacing w:before="260" w:after="260"/>
    </w:pPr>
  </w:style>
  <w:style w:type="paragraph" w:customStyle="1" w:styleId="ListIndt2">
    <w:name w:val="ListIndt_2"/>
    <w:basedOn w:val="Normal"/>
    <w:rsid w:val="006C445E"/>
    <w:pPr>
      <w:spacing w:before="260" w:after="260"/>
      <w:ind w:left="1440"/>
    </w:pPr>
  </w:style>
  <w:style w:type="paragraph" w:customStyle="1" w:styleId="ListIndt3">
    <w:name w:val="ListIndt_3"/>
    <w:basedOn w:val="Normal"/>
    <w:rsid w:val="006C445E"/>
    <w:pPr>
      <w:spacing w:before="260" w:after="260"/>
      <w:ind w:left="1800"/>
    </w:pPr>
  </w:style>
  <w:style w:type="paragraph" w:customStyle="1" w:styleId="ListIndt4">
    <w:name w:val="ListIndt_4"/>
    <w:basedOn w:val="Normal"/>
    <w:rsid w:val="006C445E"/>
    <w:pPr>
      <w:spacing w:before="260" w:after="260"/>
      <w:ind w:left="2160"/>
    </w:pPr>
  </w:style>
  <w:style w:type="paragraph" w:customStyle="1" w:styleId="ListTab0">
    <w:name w:val="ListTab_0"/>
    <w:basedOn w:val="Normal"/>
    <w:rsid w:val="006C445E"/>
    <w:pPr>
      <w:spacing w:before="260" w:after="260"/>
    </w:pPr>
  </w:style>
  <w:style w:type="paragraph" w:customStyle="1" w:styleId="ListTab2">
    <w:name w:val="ListTab_2"/>
    <w:basedOn w:val="Normal"/>
    <w:rsid w:val="006C445E"/>
    <w:pPr>
      <w:spacing w:before="260" w:after="260"/>
      <w:ind w:firstLine="1440"/>
    </w:pPr>
  </w:style>
  <w:style w:type="paragraph" w:customStyle="1" w:styleId="ListTab3">
    <w:name w:val="ListTab_3"/>
    <w:basedOn w:val="Normal"/>
    <w:rsid w:val="006C445E"/>
    <w:pPr>
      <w:spacing w:before="260" w:after="260"/>
      <w:ind w:firstLine="1800"/>
    </w:pPr>
  </w:style>
  <w:style w:type="paragraph" w:customStyle="1" w:styleId="ListTab4">
    <w:name w:val="ListTab_4"/>
    <w:basedOn w:val="Normal"/>
    <w:rsid w:val="006C445E"/>
    <w:pPr>
      <w:spacing w:before="260" w:after="260"/>
      <w:ind w:firstLine="2160"/>
    </w:pPr>
  </w:style>
  <w:style w:type="paragraph" w:customStyle="1" w:styleId="Note">
    <w:name w:val="Note"/>
    <w:link w:val="NoteChar"/>
    <w:rsid w:val="006C445E"/>
    <w:pPr>
      <w:numPr>
        <w:numId w:val="7"/>
      </w:numPr>
      <w:spacing w:after="260"/>
      <w:ind w:firstLine="1800"/>
      <w:jc w:val="both"/>
    </w:pPr>
    <w:rPr>
      <w:i/>
      <w:sz w:val="22"/>
      <w:szCs w:val="24"/>
      <w:lang w:eastAsia="en-US"/>
    </w:rPr>
  </w:style>
  <w:style w:type="paragraph" w:customStyle="1" w:styleId="ParaIndt2">
    <w:name w:val="ParaIndt_2"/>
    <w:basedOn w:val="Normal"/>
    <w:rsid w:val="006C445E"/>
    <w:pPr>
      <w:spacing w:before="260" w:after="260"/>
      <w:ind w:left="1440"/>
    </w:pPr>
  </w:style>
  <w:style w:type="paragraph" w:customStyle="1" w:styleId="ParaIndt3">
    <w:name w:val="ParaIndt_3"/>
    <w:basedOn w:val="Normal"/>
    <w:rsid w:val="006C445E"/>
    <w:pPr>
      <w:spacing w:before="260" w:after="260"/>
      <w:ind w:left="1800"/>
    </w:pPr>
  </w:style>
  <w:style w:type="paragraph" w:customStyle="1" w:styleId="ParaIndt4">
    <w:name w:val="ParaIndt_4"/>
    <w:basedOn w:val="Normal"/>
    <w:rsid w:val="006C445E"/>
    <w:pPr>
      <w:spacing w:before="260" w:after="260"/>
      <w:ind w:left="2160"/>
    </w:pPr>
  </w:style>
  <w:style w:type="paragraph" w:customStyle="1" w:styleId="ParaTab0">
    <w:name w:val="ParaTab_0"/>
    <w:basedOn w:val="Normal"/>
    <w:rsid w:val="006C445E"/>
    <w:pPr>
      <w:spacing w:before="260" w:after="260"/>
    </w:pPr>
  </w:style>
  <w:style w:type="paragraph" w:customStyle="1" w:styleId="ParaTab2">
    <w:name w:val="ParaTab_2"/>
    <w:basedOn w:val="Normal"/>
    <w:rsid w:val="006C445E"/>
    <w:pPr>
      <w:spacing w:before="260" w:after="260"/>
      <w:ind w:firstLine="1440"/>
    </w:pPr>
  </w:style>
  <w:style w:type="paragraph" w:customStyle="1" w:styleId="ParaTab3">
    <w:name w:val="ParaTab_3"/>
    <w:basedOn w:val="Normal"/>
    <w:rsid w:val="006C445E"/>
    <w:pPr>
      <w:spacing w:before="260" w:after="260"/>
      <w:ind w:firstLine="1800"/>
    </w:pPr>
  </w:style>
  <w:style w:type="paragraph" w:customStyle="1" w:styleId="ParaTab4">
    <w:name w:val="ParaTab_4"/>
    <w:basedOn w:val="Normal"/>
    <w:rsid w:val="006C445E"/>
    <w:pPr>
      <w:spacing w:before="260" w:after="260"/>
      <w:ind w:firstLine="2160"/>
    </w:pPr>
  </w:style>
  <w:style w:type="paragraph" w:customStyle="1" w:styleId="1Heading">
    <w:name w:val="1Heading"/>
    <w:basedOn w:val="TOC1"/>
    <w:next w:val="2Para"/>
    <w:rsid w:val="006C445E"/>
    <w:pPr>
      <w:keepNext/>
      <w:numPr>
        <w:numId w:val="27"/>
      </w:numPr>
      <w:autoSpaceDE/>
      <w:autoSpaceDN/>
      <w:adjustRightInd/>
      <w:spacing w:before="520" w:after="260"/>
      <w:ind w:right="288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6C445E"/>
    <w:pPr>
      <w:keepNext/>
      <w:tabs>
        <w:tab w:val="left" w:pos="720"/>
      </w:tabs>
      <w:ind w:left="720" w:right="2880" w:hanging="720"/>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6C445E"/>
    <w:pPr>
      <w:numPr>
        <w:numId w:val="6"/>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pPr>
    <w:rPr>
      <w:b/>
      <w:szCs w:val="22"/>
    </w:rPr>
  </w:style>
  <w:style w:type="paragraph" w:customStyle="1" w:styleId="RefPrincipal">
    <w:name w:val="RefPrincipal"/>
    <w:basedOn w:val="Normal"/>
    <w:rsid w:val="00C5363D"/>
    <w:pPr>
      <w:numPr>
        <w:numId w:val="3"/>
      </w:numPr>
      <w:tabs>
        <w:tab w:val="clear" w:pos="205"/>
        <w:tab w:val="num" w:pos="115"/>
      </w:tabs>
      <w:ind w:left="331"/>
    </w:pPr>
  </w:style>
  <w:style w:type="paragraph" w:customStyle="1" w:styleId="RefRegular">
    <w:name w:val="RefRegular"/>
    <w:basedOn w:val="Normal"/>
    <w:rsid w:val="00507204"/>
    <w:pPr>
      <w:ind w:left="331" w:hanging="216"/>
    </w:pPr>
  </w:style>
  <w:style w:type="paragraph" w:customStyle="1" w:styleId="ParaIndt1">
    <w:name w:val="ParaIndt_1"/>
    <w:basedOn w:val="Normal"/>
    <w:rsid w:val="006C445E"/>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6C445E"/>
    <w:pPr>
      <w:numPr>
        <w:numId w:val="8"/>
      </w:numPr>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686187"/>
    <w:pPr>
      <w:ind w:left="115" w:hanging="115"/>
    </w:pPr>
    <w:rPr>
      <w:sz w:val="18"/>
      <w:szCs w:val="20"/>
    </w:rPr>
  </w:style>
  <w:style w:type="paragraph" w:customStyle="1" w:styleId="ListExSum">
    <w:name w:val="List_ExSum"/>
    <w:basedOn w:val="Normal"/>
    <w:rsid w:val="006C445E"/>
  </w:style>
  <w:style w:type="paragraph" w:customStyle="1" w:styleId="Char">
    <w:name w:val="Char"/>
    <w:basedOn w:val="Normal"/>
    <w:rsid w:val="00B17AC2"/>
    <w:pPr>
      <w:autoSpaceDE/>
      <w:autoSpaceDN/>
      <w:adjustRightInd/>
      <w:spacing w:after="160" w:line="240" w:lineRule="exact"/>
      <w:jc w:val="left"/>
    </w:pPr>
    <w:rPr>
      <w:rFonts w:ascii="Arial" w:hAnsi="Arial"/>
      <w:sz w:val="20"/>
      <w:szCs w:val="20"/>
      <w:lang w:val="fr-FR" w:eastAsia="zh-CN"/>
    </w:rPr>
  </w:style>
  <w:style w:type="paragraph" w:styleId="BodyText3">
    <w:name w:val="Body Text 3"/>
    <w:basedOn w:val="Normal"/>
    <w:rsid w:val="005B4935"/>
    <w:pPr>
      <w:autoSpaceDE/>
      <w:autoSpaceDN/>
      <w:adjustRightInd/>
      <w:spacing w:after="120" w:line="276" w:lineRule="auto"/>
      <w:jc w:val="left"/>
    </w:pPr>
    <w:rPr>
      <w:rFonts w:ascii="Calibri" w:eastAsia="Calibri" w:hAnsi="Calibri"/>
      <w:sz w:val="16"/>
      <w:szCs w:val="16"/>
      <w:lang w:val="en-US"/>
    </w:rPr>
  </w:style>
  <w:style w:type="character" w:styleId="Hyperlink">
    <w:name w:val="Hyperlink"/>
    <w:basedOn w:val="DefaultParagraphFont"/>
    <w:rsid w:val="00F1099F"/>
    <w:rPr>
      <w:color w:val="0000FF"/>
      <w:u w:val="single"/>
    </w:rPr>
  </w:style>
  <w:style w:type="paragraph" w:styleId="BalloonText">
    <w:name w:val="Balloon Text"/>
    <w:basedOn w:val="Normal"/>
    <w:link w:val="BalloonTextChar"/>
    <w:uiPriority w:val="99"/>
    <w:rsid w:val="000E6480"/>
    <w:rPr>
      <w:rFonts w:ascii="Tahoma" w:hAnsi="Tahoma" w:cs="Tahoma"/>
      <w:sz w:val="16"/>
      <w:szCs w:val="16"/>
    </w:rPr>
  </w:style>
  <w:style w:type="paragraph" w:styleId="ListParagraph">
    <w:name w:val="List Paragraph"/>
    <w:basedOn w:val="Normal"/>
    <w:uiPriority w:val="34"/>
    <w:qFormat/>
    <w:rsid w:val="00CA16BF"/>
    <w:pPr>
      <w:ind w:left="720"/>
      <w:contextualSpacing/>
    </w:pPr>
  </w:style>
  <w:style w:type="paragraph" w:styleId="BodyText">
    <w:name w:val="Body Text"/>
    <w:basedOn w:val="Normal"/>
    <w:link w:val="BodyTextChar"/>
    <w:rsid w:val="007C3E12"/>
    <w:pPr>
      <w:spacing w:after="120"/>
    </w:pPr>
  </w:style>
  <w:style w:type="character" w:customStyle="1" w:styleId="BodyTextChar">
    <w:name w:val="Body Text Char"/>
    <w:basedOn w:val="DefaultParagraphFont"/>
    <w:link w:val="BodyText"/>
    <w:rsid w:val="007C3E12"/>
    <w:rPr>
      <w:sz w:val="22"/>
      <w:szCs w:val="24"/>
      <w:lang w:eastAsia="en-US"/>
    </w:rPr>
  </w:style>
  <w:style w:type="paragraph" w:customStyle="1" w:styleId="Headingb">
    <w:name w:val="Heading_b"/>
    <w:basedOn w:val="Normal"/>
    <w:next w:val="Normal"/>
    <w:link w:val="HeadingbChar"/>
    <w:rsid w:val="007C3E12"/>
    <w:pPr>
      <w:keepNext/>
      <w:tabs>
        <w:tab w:val="left" w:pos="1134"/>
        <w:tab w:val="left" w:pos="1871"/>
        <w:tab w:val="left" w:pos="2268"/>
      </w:tabs>
      <w:overflowPunct w:val="0"/>
      <w:spacing w:before="160"/>
      <w:jc w:val="left"/>
      <w:textAlignment w:val="baseline"/>
    </w:pPr>
    <w:rPr>
      <w:rFonts w:ascii="Times" w:hAnsi="Times"/>
      <w:b/>
      <w:sz w:val="24"/>
      <w:szCs w:val="20"/>
    </w:rPr>
  </w:style>
  <w:style w:type="character" w:customStyle="1" w:styleId="HeadingbChar">
    <w:name w:val="Heading_b Char"/>
    <w:link w:val="Headingb"/>
    <w:locked/>
    <w:rsid w:val="007C3E12"/>
    <w:rPr>
      <w:rFonts w:ascii="Times" w:hAnsi="Times"/>
      <w:b/>
      <w:sz w:val="24"/>
      <w:lang w:eastAsia="en-US"/>
    </w:rPr>
  </w:style>
  <w:style w:type="character" w:customStyle="1" w:styleId="Artdef">
    <w:name w:val="Art_def"/>
    <w:basedOn w:val="DefaultParagraphFont"/>
    <w:rsid w:val="00B22E42"/>
    <w:rPr>
      <w:rFonts w:ascii="Times New Roman" w:hAnsi="Times New Roman"/>
      <w:b/>
    </w:rPr>
  </w:style>
  <w:style w:type="character" w:customStyle="1" w:styleId="NoteChar">
    <w:name w:val="Note Char"/>
    <w:basedOn w:val="DefaultParagraphFont"/>
    <w:link w:val="Note"/>
    <w:locked/>
    <w:rsid w:val="00B22E42"/>
    <w:rPr>
      <w:i/>
      <w:sz w:val="22"/>
      <w:szCs w:val="24"/>
      <w:lang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AD0FED"/>
    <w:rPr>
      <w:sz w:val="18"/>
      <w:lang w:eastAsia="en-US"/>
    </w:rPr>
  </w:style>
  <w:style w:type="paragraph" w:customStyle="1" w:styleId="Char0">
    <w:name w:val="Char"/>
    <w:basedOn w:val="Normal"/>
    <w:rsid w:val="000844A1"/>
    <w:pPr>
      <w:autoSpaceDE/>
      <w:autoSpaceDN/>
      <w:adjustRightInd/>
      <w:spacing w:after="160" w:line="240" w:lineRule="exact"/>
      <w:jc w:val="left"/>
    </w:pPr>
    <w:rPr>
      <w:rFonts w:ascii="Arial" w:hAnsi="Arial"/>
      <w:sz w:val="20"/>
      <w:szCs w:val="20"/>
      <w:lang w:val="fr-FR" w:eastAsia="zh-CN"/>
    </w:rPr>
  </w:style>
  <w:style w:type="character" w:styleId="CommentReference">
    <w:name w:val="annotation reference"/>
    <w:basedOn w:val="DefaultParagraphFont"/>
    <w:rsid w:val="007B6A7B"/>
    <w:rPr>
      <w:sz w:val="16"/>
      <w:szCs w:val="16"/>
    </w:rPr>
  </w:style>
  <w:style w:type="paragraph" w:styleId="CommentText">
    <w:name w:val="annotation text"/>
    <w:basedOn w:val="Normal"/>
    <w:link w:val="CommentTextChar"/>
    <w:rsid w:val="007B6A7B"/>
    <w:rPr>
      <w:sz w:val="20"/>
      <w:szCs w:val="20"/>
    </w:rPr>
  </w:style>
  <w:style w:type="character" w:customStyle="1" w:styleId="CommentTextChar">
    <w:name w:val="Comment Text Char"/>
    <w:basedOn w:val="DefaultParagraphFont"/>
    <w:link w:val="CommentText"/>
    <w:rsid w:val="007B6A7B"/>
    <w:rPr>
      <w:lang w:eastAsia="en-US"/>
    </w:rPr>
  </w:style>
  <w:style w:type="paragraph" w:styleId="CommentSubject">
    <w:name w:val="annotation subject"/>
    <w:basedOn w:val="CommentText"/>
    <w:next w:val="CommentText"/>
    <w:link w:val="CommentSubjectChar"/>
    <w:rsid w:val="007B6A7B"/>
    <w:rPr>
      <w:b/>
      <w:bCs/>
    </w:rPr>
  </w:style>
  <w:style w:type="character" w:customStyle="1" w:styleId="CommentSubjectChar">
    <w:name w:val="Comment Subject Char"/>
    <w:basedOn w:val="CommentTextChar"/>
    <w:link w:val="CommentSubject"/>
    <w:rsid w:val="007B6A7B"/>
    <w:rPr>
      <w:b/>
      <w:bCs/>
      <w:lang w:eastAsia="en-US"/>
    </w:rPr>
  </w:style>
  <w:style w:type="paragraph" w:customStyle="1" w:styleId="Default">
    <w:name w:val="Default"/>
    <w:rsid w:val="00BD27F1"/>
    <w:pPr>
      <w:autoSpaceDE w:val="0"/>
      <w:autoSpaceDN w:val="0"/>
      <w:adjustRightInd w:val="0"/>
    </w:pPr>
    <w:rPr>
      <w:color w:val="000000"/>
      <w:sz w:val="24"/>
      <w:szCs w:val="24"/>
    </w:rPr>
  </w:style>
  <w:style w:type="character" w:customStyle="1" w:styleId="BalloonTextChar">
    <w:name w:val="Balloon Text Char"/>
    <w:basedOn w:val="DefaultParagraphFont"/>
    <w:link w:val="BalloonText"/>
    <w:uiPriority w:val="99"/>
    <w:rsid w:val="00CD32F5"/>
    <w:rPr>
      <w:rFonts w:ascii="Tahoma" w:hAnsi="Tahoma" w:cs="Tahoma"/>
      <w:sz w:val="16"/>
      <w:szCs w:val="16"/>
      <w:lang w:eastAsia="en-US"/>
    </w:rPr>
  </w:style>
  <w:style w:type="character" w:customStyle="1" w:styleId="2ParaChar">
    <w:name w:val="2Para Char"/>
    <w:link w:val="2Para"/>
    <w:rsid w:val="00BB6B14"/>
    <w:rPr>
      <w:sz w:val="22"/>
      <w:szCs w:val="22"/>
      <w:lang w:eastAsia="en-US"/>
    </w:rPr>
  </w:style>
  <w:style w:type="paragraph" w:customStyle="1" w:styleId="enumlev1">
    <w:name w:val="enumlev1"/>
    <w:basedOn w:val="Normal"/>
    <w:rsid w:val="00766D28"/>
    <w:pPr>
      <w:tabs>
        <w:tab w:val="left" w:pos="1134"/>
        <w:tab w:val="left" w:pos="1871"/>
        <w:tab w:val="left" w:pos="2608"/>
        <w:tab w:val="left" w:pos="3345"/>
      </w:tabs>
      <w:overflowPunct w:val="0"/>
      <w:spacing w:before="80"/>
      <w:ind w:left="1134" w:hanging="1134"/>
      <w:jc w:val="left"/>
      <w:textAlignment w:val="baseline"/>
    </w:pPr>
    <w:rPr>
      <w:sz w:val="24"/>
      <w:szCs w:val="20"/>
    </w:rPr>
  </w:style>
  <w:style w:type="character" w:customStyle="1" w:styleId="BRNormal">
    <w:name w:val="BR_Normal"/>
    <w:basedOn w:val="DefaultParagraphFont"/>
    <w:uiPriority w:val="1"/>
    <w:qFormat/>
    <w:rsid w:val="0026541F"/>
  </w:style>
  <w:style w:type="paragraph" w:customStyle="1" w:styleId="Annexref">
    <w:name w:val="Annex_ref"/>
    <w:basedOn w:val="Normal"/>
    <w:next w:val="Normal"/>
    <w:rsid w:val="00744789"/>
    <w:pPr>
      <w:keepNext/>
      <w:keepLines/>
      <w:tabs>
        <w:tab w:val="left" w:pos="1134"/>
        <w:tab w:val="left" w:pos="1871"/>
        <w:tab w:val="left" w:pos="2268"/>
      </w:tabs>
      <w:overflowPunct w:val="0"/>
      <w:spacing w:before="120" w:after="280"/>
      <w:jc w:val="center"/>
      <w:textAlignment w:val="baseline"/>
    </w:pPr>
    <w:rPr>
      <w:sz w:val="24"/>
      <w:szCs w:val="20"/>
    </w:rPr>
  </w:style>
  <w:style w:type="character" w:customStyle="1" w:styleId="HeaderChar">
    <w:name w:val="Header Char"/>
    <w:basedOn w:val="DefaultParagraphFont"/>
    <w:link w:val="Header"/>
    <w:rsid w:val="00354798"/>
    <w:rPr>
      <w:sz w:val="22"/>
      <w:szCs w:val="24"/>
      <w:lang w:eastAsia="en-US"/>
    </w:rPr>
  </w:style>
  <w:style w:type="paragraph" w:customStyle="1" w:styleId="AnnexNo">
    <w:name w:val="Annex_No"/>
    <w:basedOn w:val="Normal"/>
    <w:next w:val="Normal"/>
    <w:rsid w:val="00417494"/>
    <w:pPr>
      <w:keepNext/>
      <w:keepLines/>
      <w:tabs>
        <w:tab w:val="left" w:pos="1134"/>
        <w:tab w:val="left" w:pos="1871"/>
        <w:tab w:val="left" w:pos="2268"/>
      </w:tabs>
      <w:overflowPunct w:val="0"/>
      <w:spacing w:before="480" w:after="80"/>
      <w:jc w:val="center"/>
      <w:textAlignment w:val="baseline"/>
    </w:pPr>
    <w:rPr>
      <w:caps/>
      <w:sz w:val="28"/>
      <w:szCs w:val="20"/>
    </w:rPr>
  </w:style>
  <w:style w:type="paragraph" w:customStyle="1" w:styleId="Annextitle">
    <w:name w:val="Annex_title"/>
    <w:basedOn w:val="Normal"/>
    <w:next w:val="Normal"/>
    <w:rsid w:val="00417494"/>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Call">
    <w:name w:val="Call"/>
    <w:basedOn w:val="Normal"/>
    <w:next w:val="Normal"/>
    <w:rsid w:val="00417494"/>
    <w:pPr>
      <w:keepNext/>
      <w:keepLines/>
      <w:tabs>
        <w:tab w:val="left" w:pos="1134"/>
        <w:tab w:val="left" w:pos="1871"/>
        <w:tab w:val="left" w:pos="2268"/>
      </w:tabs>
      <w:overflowPunct w:val="0"/>
      <w:spacing w:before="160"/>
      <w:ind w:left="1134"/>
      <w:jc w:val="left"/>
      <w:textAlignment w:val="baseline"/>
    </w:pPr>
    <w:rPr>
      <w:i/>
      <w:sz w:val="24"/>
      <w:szCs w:val="20"/>
    </w:rPr>
  </w:style>
  <w:style w:type="paragraph" w:customStyle="1" w:styleId="FigureNo">
    <w:name w:val="Figure_No"/>
    <w:basedOn w:val="Normal"/>
    <w:next w:val="Normal"/>
    <w:rsid w:val="00417494"/>
    <w:pPr>
      <w:keepNext/>
      <w:keepLines/>
      <w:tabs>
        <w:tab w:val="left" w:pos="1134"/>
        <w:tab w:val="left" w:pos="1871"/>
        <w:tab w:val="left" w:pos="2268"/>
      </w:tabs>
      <w:overflowPunct w:val="0"/>
      <w:spacing w:before="480" w:after="120"/>
      <w:jc w:val="center"/>
      <w:textAlignment w:val="baseline"/>
    </w:pPr>
    <w:rPr>
      <w:caps/>
      <w:sz w:val="20"/>
      <w:szCs w:val="20"/>
    </w:rPr>
  </w:style>
  <w:style w:type="paragraph" w:customStyle="1" w:styleId="Figuretitle">
    <w:name w:val="Figure_title"/>
    <w:basedOn w:val="Normal"/>
    <w:next w:val="Normal"/>
    <w:rsid w:val="00417494"/>
    <w:pPr>
      <w:keepNext/>
      <w:keepLines/>
      <w:tabs>
        <w:tab w:val="left" w:pos="1134"/>
        <w:tab w:val="left" w:pos="1871"/>
        <w:tab w:val="left" w:pos="2268"/>
      </w:tabs>
      <w:overflowPunct w:val="0"/>
      <w:spacing w:after="480"/>
      <w:jc w:val="center"/>
      <w:textAlignment w:val="baseline"/>
    </w:pPr>
    <w:rPr>
      <w:rFonts w:ascii="Times New Roman Bold" w:hAnsi="Times New Roman Bold"/>
      <w:b/>
      <w:sz w:val="20"/>
      <w:szCs w:val="20"/>
    </w:rPr>
  </w:style>
  <w:style w:type="paragraph" w:customStyle="1" w:styleId="Normalaftertitle">
    <w:name w:val="Normal after title"/>
    <w:basedOn w:val="Normal"/>
    <w:next w:val="Normal"/>
    <w:rsid w:val="00417494"/>
    <w:pPr>
      <w:tabs>
        <w:tab w:val="left" w:pos="1134"/>
        <w:tab w:val="left" w:pos="1871"/>
        <w:tab w:val="left" w:pos="2268"/>
      </w:tabs>
      <w:overflowPunct w:val="0"/>
      <w:spacing w:before="280"/>
      <w:jc w:val="left"/>
      <w:textAlignment w:val="baseline"/>
    </w:pPr>
    <w:rPr>
      <w:sz w:val="24"/>
      <w:szCs w:val="20"/>
    </w:rPr>
  </w:style>
  <w:style w:type="paragraph" w:customStyle="1" w:styleId="Proposal">
    <w:name w:val="Proposal"/>
    <w:basedOn w:val="Normal"/>
    <w:next w:val="Normal"/>
    <w:rsid w:val="00417494"/>
    <w:pPr>
      <w:keepNext/>
      <w:tabs>
        <w:tab w:val="left" w:pos="1134"/>
        <w:tab w:val="left" w:pos="1871"/>
        <w:tab w:val="left" w:pos="2268"/>
      </w:tabs>
      <w:overflowPunct w:val="0"/>
      <w:spacing w:before="240"/>
      <w:jc w:val="left"/>
      <w:textAlignment w:val="baseline"/>
    </w:pPr>
    <w:rPr>
      <w:rFonts w:hAnsi="Times New Roman Bold"/>
      <w:b/>
      <w:sz w:val="24"/>
      <w:szCs w:val="20"/>
    </w:rPr>
  </w:style>
  <w:style w:type="paragraph" w:customStyle="1" w:styleId="Reasons">
    <w:name w:val="Reasons"/>
    <w:basedOn w:val="Normal"/>
    <w:qFormat/>
    <w:rsid w:val="00417494"/>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417494"/>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417494"/>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Artref">
    <w:name w:val="Art_ref"/>
    <w:basedOn w:val="DefaultParagraphFont"/>
    <w:rsid w:val="00417494"/>
  </w:style>
  <w:style w:type="character" w:customStyle="1" w:styleId="Tablefreq">
    <w:name w:val="Table_freq"/>
    <w:basedOn w:val="DefaultParagraphFont"/>
    <w:rsid w:val="00417494"/>
    <w:rPr>
      <w:b/>
      <w:color w:val="auto"/>
      <w:sz w:val="20"/>
    </w:rPr>
  </w:style>
  <w:style w:type="paragraph" w:customStyle="1" w:styleId="Tablehead">
    <w:name w:val="Table_head"/>
    <w:basedOn w:val="Normal"/>
    <w:rsid w:val="00417494"/>
    <w:pPr>
      <w:keepNext/>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rsid w:val="00417494"/>
    <w:pPr>
      <w:tabs>
        <w:tab w:val="left" w:pos="170"/>
        <w:tab w:val="left" w:pos="567"/>
        <w:tab w:val="left" w:pos="737"/>
        <w:tab w:val="left" w:pos="2977"/>
        <w:tab w:val="left" w:pos="3266"/>
      </w:tabs>
      <w:overflowPunct w:val="0"/>
      <w:spacing w:before="40" w:after="40"/>
      <w:jc w:val="left"/>
      <w:textAlignment w:val="baseline"/>
    </w:pPr>
    <w:rPr>
      <w:sz w:val="20"/>
      <w:szCs w:val="20"/>
    </w:rPr>
  </w:style>
  <w:style w:type="paragraph" w:customStyle="1" w:styleId="Tabletitle">
    <w:name w:val="Table_title"/>
    <w:basedOn w:val="Normal"/>
    <w:next w:val="Normal"/>
    <w:rsid w:val="00417494"/>
    <w:pPr>
      <w:keepNext/>
      <w:keepLines/>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character" w:customStyle="1" w:styleId="href">
    <w:name w:val="href"/>
    <w:basedOn w:val="DefaultParagraphFont"/>
    <w:rsid w:val="000C1AFA"/>
  </w:style>
  <w:style w:type="paragraph" w:customStyle="1" w:styleId="enumlev2">
    <w:name w:val="enumlev2"/>
    <w:basedOn w:val="enumlev1"/>
    <w:rsid w:val="00D14CF4"/>
    <w:pPr>
      <w:ind w:left="1871" w:hanging="737"/>
    </w:pPr>
  </w:style>
  <w:style w:type="paragraph" w:customStyle="1" w:styleId="Maintitle">
    <w:name w:val="Main title"/>
    <w:basedOn w:val="Normal"/>
    <w:rsid w:val="00DA7BC4"/>
    <w:pPr>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11392">
      <w:bodyDiv w:val="1"/>
      <w:marLeft w:val="0"/>
      <w:marRight w:val="0"/>
      <w:marTop w:val="0"/>
      <w:marBottom w:val="0"/>
      <w:divBdr>
        <w:top w:val="none" w:sz="0" w:space="0" w:color="auto"/>
        <w:left w:val="none" w:sz="0" w:space="0" w:color="auto"/>
        <w:bottom w:val="none" w:sz="0" w:space="0" w:color="auto"/>
        <w:right w:val="none" w:sz="0" w:space="0" w:color="auto"/>
      </w:divBdr>
    </w:div>
    <w:div w:id="354813871">
      <w:bodyDiv w:val="1"/>
      <w:marLeft w:val="0"/>
      <w:marRight w:val="0"/>
      <w:marTop w:val="0"/>
      <w:marBottom w:val="0"/>
      <w:divBdr>
        <w:top w:val="none" w:sz="0" w:space="0" w:color="auto"/>
        <w:left w:val="none" w:sz="0" w:space="0" w:color="auto"/>
        <w:bottom w:val="none" w:sz="0" w:space="0" w:color="auto"/>
        <w:right w:val="none" w:sz="0" w:space="0" w:color="auto"/>
      </w:divBdr>
    </w:div>
    <w:div w:id="920220526">
      <w:bodyDiv w:val="1"/>
      <w:marLeft w:val="0"/>
      <w:marRight w:val="0"/>
      <w:marTop w:val="0"/>
      <w:marBottom w:val="0"/>
      <w:divBdr>
        <w:top w:val="none" w:sz="0" w:space="0" w:color="auto"/>
        <w:left w:val="none" w:sz="0" w:space="0" w:color="auto"/>
        <w:bottom w:val="none" w:sz="0" w:space="0" w:color="auto"/>
        <w:right w:val="none" w:sz="0" w:space="0" w:color="auto"/>
      </w:divBdr>
    </w:div>
    <w:div w:id="1158957450">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CAO-DPS\DPS%20Sept%206th%202007\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54596-D2AA-4A48-AC8C-25BB046AC7E5}"/>
</file>

<file path=customXml/itemProps2.xml><?xml version="1.0" encoding="utf-8"?>
<ds:datastoreItem xmlns:ds="http://schemas.openxmlformats.org/officeDocument/2006/customXml" ds:itemID="{C7A756C9-8AC1-4FCE-B0B7-CCDF8785993A}"/>
</file>

<file path=customXml/itemProps3.xml><?xml version="1.0" encoding="utf-8"?>
<ds:datastoreItem xmlns:ds="http://schemas.openxmlformats.org/officeDocument/2006/customXml" ds:itemID="{0930BF37-AC45-4C7F-93A6-641ACD748EEF}"/>
</file>

<file path=customXml/itemProps4.xml><?xml version="1.0" encoding="utf-8"?>
<ds:datastoreItem xmlns:ds="http://schemas.openxmlformats.org/officeDocument/2006/customXml" ds:itemID="{C0666EF2-76C8-4F9B-B8EB-2FE111EED0C5}"/>
</file>

<file path=docProps/app.xml><?xml version="1.0" encoding="utf-8"?>
<Properties xmlns="http://schemas.openxmlformats.org/officeDocument/2006/extended-properties" xmlns:vt="http://schemas.openxmlformats.org/officeDocument/2006/docPropsVTypes">
  <Template>WorkingPaper.dot</Template>
  <TotalTime>2</TotalTime>
  <Pages>37</Pages>
  <Words>15398</Words>
  <Characters>87003</Characters>
  <Application>Microsoft Office Word</Application>
  <DocSecurity>0</DocSecurity>
  <Lines>1526</Lines>
  <Paragraphs>660</Paragraphs>
  <ScaleCrop>false</ScaleCrop>
  <HeadingPairs>
    <vt:vector size="2" baseType="variant">
      <vt:variant>
        <vt:lpstr>Title</vt:lpstr>
      </vt:variant>
      <vt:variant>
        <vt:i4>1</vt:i4>
      </vt:variant>
    </vt:vector>
  </HeadingPairs>
  <TitlesOfParts>
    <vt:vector size="1" baseType="lpstr">
      <vt:lpstr>FA—SDFSDKOF</vt:lpstr>
    </vt:vector>
  </TitlesOfParts>
  <Company>tcs</Company>
  <LinksUpToDate>false</LinksUpToDate>
  <CharactersWithSpaces>101741</CharactersWithSpaces>
  <SharedDoc>false</SharedDoc>
  <HLinks>
    <vt:vector size="6" baseType="variant">
      <vt:variant>
        <vt:i4>7012476</vt:i4>
      </vt:variant>
      <vt:variant>
        <vt:i4>0</vt:i4>
      </vt:variant>
      <vt:variant>
        <vt:i4>0</vt:i4>
      </vt:variant>
      <vt:variant>
        <vt:i4>5</vt:i4>
      </vt:variant>
      <vt:variant>
        <vt:lpwstr>http://www.icao.int/anb/panels/acp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FA—SDFSDKOF</dc:title>
  <dc:creator>I.C.A.O.</dc:creator>
  <cp:lastModifiedBy>Loftur Jonasson2</cp:lastModifiedBy>
  <cp:revision>4</cp:revision>
  <cp:lastPrinted>2016-01-20T15:57:00Z</cp:lastPrinted>
  <dcterms:created xsi:type="dcterms:W3CDTF">2016-01-20T15:57:00Z</dcterms:created>
  <dcterms:modified xsi:type="dcterms:W3CDTF">2016-01-20T15:59:00Z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AN</vt:lpwstr>
  </property>
  <property fmtid="{D5CDD505-2E9C-101B-9397-08002B2CF9AE}" pid="3" name="BodySession">
    <vt:lpwstr>176</vt:lpwstr>
  </property>
  <property fmtid="{D5CDD505-2E9C-101B-9397-08002B2CF9AE}" pid="4" name="BodyAbbrev">
    <vt:lpwstr>ANC</vt:lpwstr>
  </property>
  <property fmtid="{D5CDD505-2E9C-101B-9397-08002B2CF9AE}" pid="5" name="SessionNum">
    <vt:lpwstr>176</vt:lpwstr>
  </property>
  <property fmtid="{D5CDD505-2E9C-101B-9397-08002B2CF9AE}" pid="6" name="BodyTypeID">
    <vt:lpwstr>3</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AGA-9204</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