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095A" w14:textId="77777777" w:rsidR="00C32F4A" w:rsidRDefault="00C32F4A" w:rsidP="00C32F4A">
      <w:pPr>
        <w:jc w:val="center"/>
        <w:rPr>
          <w:b/>
        </w:rPr>
      </w:pPr>
      <w:r>
        <w:rPr>
          <w:b/>
        </w:rPr>
        <w:t>FREQUENCY SPECTRUM MANAGEMENT PANEL (FSMP)</w:t>
      </w:r>
    </w:p>
    <w:p w14:paraId="097C89B4" w14:textId="77777777" w:rsidR="00C32F4A" w:rsidRDefault="00C32F4A" w:rsidP="00C32F4A">
      <w:pPr>
        <w:tabs>
          <w:tab w:val="left" w:pos="6972"/>
        </w:tabs>
        <w:jc w:val="center"/>
        <w:rPr>
          <w:b/>
        </w:rPr>
      </w:pPr>
    </w:p>
    <w:p w14:paraId="09BB8739" w14:textId="77777777" w:rsidR="001566B0" w:rsidRDefault="001566B0" w:rsidP="001566B0">
      <w:pPr>
        <w:pStyle w:val="Maintitle"/>
      </w:pPr>
      <w:r>
        <w:t>Thirteenth Working Group meeting</w:t>
      </w:r>
    </w:p>
    <w:p w14:paraId="7A3F5E76" w14:textId="77777777" w:rsidR="001566B0" w:rsidRDefault="001566B0" w:rsidP="001566B0"/>
    <w:p w14:paraId="6C17BD04" w14:textId="77777777" w:rsidR="001566B0" w:rsidRDefault="001566B0" w:rsidP="001566B0">
      <w:pPr>
        <w:jc w:val="center"/>
        <w:rPr>
          <w:b/>
          <w:bCs/>
          <w:szCs w:val="22"/>
        </w:rPr>
      </w:pPr>
      <w:bookmarkStart w:id="0" w:name="agenda_item"/>
      <w:bookmarkEnd w:id="0"/>
      <w:r>
        <w:rPr>
          <w:b/>
          <w:bCs/>
          <w:szCs w:val="22"/>
        </w:rPr>
        <w:t>Web Meeting, 21– 25 February 2022</w:t>
      </w:r>
    </w:p>
    <w:p w14:paraId="65BB2EDF" w14:textId="77777777" w:rsidR="00770160" w:rsidRDefault="00770160">
      <w:pPr>
        <w:tabs>
          <w:tab w:val="left" w:pos="0"/>
          <w:tab w:val="left" w:pos="1570"/>
          <w:tab w:val="left" w:pos="1857"/>
        </w:tabs>
      </w:pPr>
    </w:p>
    <w:p w14:paraId="59021AEB" w14:textId="77777777" w:rsidR="00770160" w:rsidRDefault="00770160">
      <w:pPr>
        <w:tabs>
          <w:tab w:val="left" w:pos="0"/>
          <w:tab w:val="left" w:pos="1570"/>
          <w:tab w:val="left" w:pos="1857"/>
        </w:tabs>
      </w:pPr>
    </w:p>
    <w:p w14:paraId="40CF9784" w14:textId="03CD38A6" w:rsidR="00770160" w:rsidRDefault="00770160">
      <w:pPr>
        <w:pStyle w:val="Agendaitemtitle"/>
        <w:rPr>
          <w:lang w:val="sv-SE"/>
        </w:rPr>
      </w:pPr>
      <w:r>
        <w:rPr>
          <w:lang w:val="sv-SE"/>
        </w:rPr>
        <w:t>Agenda Item </w:t>
      </w:r>
      <w:r w:rsidR="003A75B7" w:rsidRPr="003A75B7">
        <w:rPr>
          <w:lang w:val="sv-SE"/>
        </w:rPr>
        <w:t>3</w:t>
      </w:r>
      <w:r w:rsidR="003A75B7">
        <w:rPr>
          <w:lang w:val="sv-SE"/>
        </w:rPr>
        <w:t xml:space="preserve">: </w:t>
      </w:r>
      <w:r w:rsidR="003A75B7" w:rsidRPr="003A75B7">
        <w:rPr>
          <w:lang w:val="sv-SE"/>
        </w:rPr>
        <w:tab/>
        <w:t>Development of Material for ITU-R Studies on</w:t>
      </w:r>
      <w:r w:rsidR="00CB0ED3" w:rsidRPr="00CB0ED3">
        <w:t xml:space="preserve"> </w:t>
      </w:r>
      <w:r w:rsidR="00CB0ED3" w:rsidRPr="00CB0ED3">
        <w:rPr>
          <w:lang w:val="sv-SE"/>
        </w:rPr>
        <w:t>VHF AMS(R)S</w:t>
      </w:r>
      <w:r w:rsidR="00CB0ED3">
        <w:rPr>
          <w:lang w:val="sv-SE"/>
        </w:rPr>
        <w:t xml:space="preserve"> </w:t>
      </w:r>
      <w:r w:rsidR="005D1282">
        <w:rPr>
          <w:lang w:val="sv-SE"/>
        </w:rPr>
        <w:t>–</w:t>
      </w:r>
      <w:r w:rsidR="00CB0ED3">
        <w:rPr>
          <w:lang w:val="sv-SE"/>
        </w:rPr>
        <w:t xml:space="preserve"> </w:t>
      </w:r>
      <w:r w:rsidR="00CB0ED3" w:rsidRPr="00CB0ED3">
        <w:rPr>
          <w:lang w:val="sv-SE"/>
        </w:rPr>
        <w:t>AI</w:t>
      </w:r>
      <w:r w:rsidR="005D1282">
        <w:rPr>
          <w:lang w:val="sv-SE"/>
        </w:rPr>
        <w:t xml:space="preserve"> </w:t>
      </w:r>
      <w:r w:rsidR="00CB0ED3" w:rsidRPr="00CB0ED3">
        <w:rPr>
          <w:lang w:val="sv-SE"/>
        </w:rPr>
        <w:t>1.7</w:t>
      </w:r>
      <w:r>
        <w:rPr>
          <w:lang w:val="sv-SE"/>
        </w:rPr>
        <w:t>:</w:t>
      </w:r>
      <w:r>
        <w:rPr>
          <w:lang w:val="sv-SE"/>
        </w:rPr>
        <w:tab/>
      </w:r>
    </w:p>
    <w:p w14:paraId="7BB15956" w14:textId="77777777" w:rsidR="00F7187E" w:rsidRDefault="00F7187E">
      <w:pPr>
        <w:pStyle w:val="Agendaitemtitle"/>
        <w:rPr>
          <w:lang w:val="sv-SE"/>
        </w:rPr>
      </w:pPr>
    </w:p>
    <w:p w14:paraId="76F47D3D" w14:textId="77777777" w:rsidR="00770160" w:rsidRDefault="00770160">
      <w:pPr>
        <w:pStyle w:val="Agendaitemtitle"/>
        <w:rPr>
          <w:b w:val="0"/>
          <w:lang w:val="sv-SE"/>
        </w:rPr>
      </w:pPr>
    </w:p>
    <w:p w14:paraId="1C7588A5" w14:textId="77777777" w:rsidR="00770160" w:rsidRDefault="00770160">
      <w:pPr>
        <w:tabs>
          <w:tab w:val="left" w:pos="6972"/>
        </w:tabs>
        <w:rPr>
          <w:b/>
          <w:lang w:val="sv-SE"/>
        </w:rPr>
      </w:pPr>
    </w:p>
    <w:p w14:paraId="1D8D24C9" w14:textId="20781C2F" w:rsidR="00770160" w:rsidRDefault="00CC0472" w:rsidP="00CC0472">
      <w:pPr>
        <w:tabs>
          <w:tab w:val="left" w:pos="6972"/>
        </w:tabs>
        <w:jc w:val="center"/>
      </w:pPr>
      <w:r w:rsidRPr="00CC0472">
        <w:rPr>
          <w:b/>
          <w:snapToGrid w:val="0"/>
        </w:rPr>
        <w:t xml:space="preserve">CONSIDERATIONS FOR </w:t>
      </w:r>
      <w:r w:rsidR="00FB3E22">
        <w:rPr>
          <w:b/>
          <w:snapToGrid w:val="0"/>
        </w:rPr>
        <w:t>COORDINATION</w:t>
      </w:r>
      <w:r w:rsidRPr="00CC0472">
        <w:rPr>
          <w:b/>
          <w:snapToGrid w:val="0"/>
        </w:rPr>
        <w:t xml:space="preserve"> BETWEEN EXISTING AM(R)S AND PROPOSED AMS(R)S SYSTEMS</w:t>
      </w:r>
    </w:p>
    <w:p w14:paraId="4AC8E9A4" w14:textId="77777777" w:rsidR="00770160" w:rsidRDefault="00770160">
      <w:pPr>
        <w:tabs>
          <w:tab w:val="left" w:pos="6972"/>
        </w:tabs>
      </w:pPr>
    </w:p>
    <w:p w14:paraId="18B82261" w14:textId="4D7DC910" w:rsidR="00770160" w:rsidRDefault="00770160">
      <w:pPr>
        <w:jc w:val="center"/>
      </w:pPr>
      <w:r>
        <w:t>(Presented by</w:t>
      </w:r>
      <w:bookmarkStart w:id="1" w:name="presented_by"/>
      <w:bookmarkEnd w:id="1"/>
      <w:r>
        <w:t xml:space="preserve"> </w:t>
      </w:r>
      <w:r w:rsidR="00890C1C">
        <w:t>Andrew Roy, ASRI</w:t>
      </w:r>
      <w:r>
        <w:t>)</w:t>
      </w:r>
    </w:p>
    <w:p w14:paraId="6B0BA8FF" w14:textId="77777777" w:rsidR="00770160" w:rsidRDefault="00770160"/>
    <w:p w14:paraId="395F1C99"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6CBD5663" w14:textId="77777777">
        <w:trPr>
          <w:cantSplit/>
          <w:trHeight w:hRule="exact" w:val="480"/>
          <w:jc w:val="center"/>
        </w:trPr>
        <w:tc>
          <w:tcPr>
            <w:tcW w:w="7200" w:type="dxa"/>
            <w:vAlign w:val="center"/>
          </w:tcPr>
          <w:p w14:paraId="10D8EB08" w14:textId="77777777" w:rsidR="00770160" w:rsidRDefault="00770160">
            <w:pPr>
              <w:jc w:val="center"/>
              <w:rPr>
                <w:sz w:val="24"/>
              </w:rPr>
            </w:pPr>
            <w:r>
              <w:rPr>
                <w:b/>
              </w:rPr>
              <w:t>SUMMARY</w:t>
            </w:r>
          </w:p>
        </w:tc>
      </w:tr>
      <w:tr w:rsidR="00770160" w14:paraId="69374613" w14:textId="77777777">
        <w:trPr>
          <w:cantSplit/>
          <w:jc w:val="center"/>
        </w:trPr>
        <w:tc>
          <w:tcPr>
            <w:tcW w:w="7200" w:type="dxa"/>
          </w:tcPr>
          <w:p w14:paraId="36A814EB" w14:textId="4085E26F" w:rsidR="00770160" w:rsidRDefault="002F2097">
            <w:r>
              <w:t xml:space="preserve">This paper discusses several areas of consideration for </w:t>
            </w:r>
            <w:r w:rsidR="004C59E8">
              <w:t xml:space="preserve">the coordination of </w:t>
            </w:r>
            <w:r w:rsidR="00EB73D6">
              <w:t xml:space="preserve">any </w:t>
            </w:r>
            <w:r>
              <w:t xml:space="preserve">new AMS(R)S </w:t>
            </w:r>
            <w:r w:rsidR="00EB73D6">
              <w:t>frequencies</w:t>
            </w:r>
            <w:r>
              <w:t xml:space="preserve"> with existing and future AM(R)S </w:t>
            </w:r>
            <w:r w:rsidR="00686AA2">
              <w:t>assignments.</w:t>
            </w:r>
            <w:r w:rsidR="004C59E8">
              <w:t xml:space="preserve">  </w:t>
            </w:r>
            <w:r w:rsidR="00837E48">
              <w:t>It</w:t>
            </w:r>
            <w:r w:rsidR="002801DB">
              <w:t xml:space="preserve"> </w:t>
            </w:r>
            <w:r w:rsidR="00231860">
              <w:t xml:space="preserve">presents several questions for </w:t>
            </w:r>
            <w:r w:rsidR="0077791B">
              <w:t xml:space="preserve">the </w:t>
            </w:r>
            <w:r w:rsidR="00231860">
              <w:t>work of both the FSMP</w:t>
            </w:r>
            <w:r w:rsidR="00EB73D6">
              <w:t>,</w:t>
            </w:r>
            <w:r w:rsidR="00231860">
              <w:t xml:space="preserve"> PT-T</w:t>
            </w:r>
            <w:r w:rsidR="0077791B">
              <w:t>, and</w:t>
            </w:r>
            <w:r w:rsidR="00EB73D6">
              <w:t xml:space="preserve"> FVSG</w:t>
            </w:r>
            <w:r w:rsidR="00F6489C">
              <w:t>, and</w:t>
            </w:r>
            <w:r w:rsidR="0077791B">
              <w:t xml:space="preserve"> their implications for the ICAO position for WRC-23</w:t>
            </w:r>
            <w:r w:rsidR="00CB6635">
              <w:t>.</w:t>
            </w:r>
          </w:p>
        </w:tc>
      </w:tr>
    </w:tbl>
    <w:p w14:paraId="0888246B" w14:textId="77777777" w:rsidR="00770160" w:rsidRDefault="00770160"/>
    <w:p w14:paraId="481ECCB2" w14:textId="77777777" w:rsidR="00770160" w:rsidRDefault="00770160">
      <w:pPr>
        <w:pStyle w:val="1Heading"/>
      </w:pPr>
      <w:r>
        <w:t>INTRODUCTION</w:t>
      </w:r>
    </w:p>
    <w:p w14:paraId="1EADC5A2" w14:textId="485A83D1" w:rsidR="00A546F1" w:rsidRPr="00A546F1" w:rsidRDefault="00A546F1" w:rsidP="00A546F1">
      <w:pPr>
        <w:pStyle w:val="2para"/>
      </w:pPr>
      <w:r w:rsidRPr="00A546F1">
        <w:t xml:space="preserve">The development of WRC-23 Agenda Item 1.7 has raised multiple questions for </w:t>
      </w:r>
      <w:r w:rsidR="001A1E4A">
        <w:t xml:space="preserve">existing </w:t>
      </w:r>
      <w:r w:rsidRPr="00A546F1">
        <w:t>VHF operators and users about how VHF SATCOM systems will interface with terrestrial VHF services</w:t>
      </w:r>
      <w:r w:rsidR="006C5B01">
        <w:t xml:space="preserve">.  </w:t>
      </w:r>
      <w:r w:rsidR="004E0461">
        <w:t>These ha</w:t>
      </w:r>
      <w:r w:rsidR="00FA53D2">
        <w:t>ve</w:t>
      </w:r>
      <w:r w:rsidR="004E0461">
        <w:t xml:space="preserve"> </w:t>
      </w:r>
      <w:r w:rsidR="002E3773">
        <w:t>centered on</w:t>
      </w:r>
      <w:r w:rsidRPr="00A546F1">
        <w:t xml:space="preserve"> the congested </w:t>
      </w:r>
      <w:r w:rsidR="00FA53D2">
        <w:t xml:space="preserve">national </w:t>
      </w:r>
      <w:r w:rsidRPr="00A546F1">
        <w:t>VHF environment</w:t>
      </w:r>
      <w:r w:rsidR="00FA53D2">
        <w:t>s</w:t>
      </w:r>
      <w:r w:rsidRPr="00A546F1">
        <w:t xml:space="preserve"> that will likely prohibit its use domestically in area</w:t>
      </w:r>
      <w:r w:rsidR="00404C5D">
        <w:t>s</w:t>
      </w:r>
      <w:r w:rsidR="00245617">
        <w:t xml:space="preserve"> </w:t>
      </w:r>
      <w:r w:rsidR="00ED4FC3">
        <w:t>and</w:t>
      </w:r>
      <w:r w:rsidRPr="00A546F1">
        <w:t xml:space="preserve"> </w:t>
      </w:r>
      <w:r w:rsidR="00451A76">
        <w:t xml:space="preserve">have been outstanding </w:t>
      </w:r>
      <w:r w:rsidRPr="00A546F1">
        <w:t xml:space="preserve">since </w:t>
      </w:r>
      <w:r w:rsidR="00ED4FC3">
        <w:t>the agenda item</w:t>
      </w:r>
      <w:r w:rsidR="00ED4FC3" w:rsidRPr="00A546F1">
        <w:t xml:space="preserve"> </w:t>
      </w:r>
      <w:r w:rsidRPr="00A546F1">
        <w:t xml:space="preserve">was proposed in early 2019.  This paper </w:t>
      </w:r>
      <w:r w:rsidR="00270889">
        <w:t xml:space="preserve">recommends the work now </w:t>
      </w:r>
      <w:r w:rsidRPr="00A546F1">
        <w:t xml:space="preserve">focus on how the system will be implemented </w:t>
      </w:r>
      <w:r w:rsidR="00F3687B">
        <w:t xml:space="preserve">across the boundaries of </w:t>
      </w:r>
      <w:r w:rsidR="00950F69">
        <w:t>administrations</w:t>
      </w:r>
      <w:r w:rsidR="00F3687B">
        <w:t>/</w:t>
      </w:r>
      <w:r w:rsidRPr="00A546F1">
        <w:t xml:space="preserve">regions and what the implications </w:t>
      </w:r>
      <w:r w:rsidR="00C25F38" w:rsidRPr="00A546F1">
        <w:t xml:space="preserve">are </w:t>
      </w:r>
      <w:r w:rsidRPr="00A546F1">
        <w:t>for ICAO’s position to WRC-23.</w:t>
      </w:r>
      <w:r w:rsidR="00333A79">
        <w:t xml:space="preserve">  </w:t>
      </w:r>
      <w:r w:rsidR="002500FF">
        <w:t>It suggest</w:t>
      </w:r>
      <w:r w:rsidR="00BE4148">
        <w:t>s</w:t>
      </w:r>
      <w:r w:rsidR="002500FF">
        <w:t xml:space="preserve"> ICAO address</w:t>
      </w:r>
      <w:r w:rsidR="00AB3F57">
        <w:t xml:space="preserve">: </w:t>
      </w:r>
      <w:r w:rsidR="00BE4148">
        <w:t xml:space="preserve">coverage </w:t>
      </w:r>
      <w:r w:rsidR="004158D5">
        <w:t xml:space="preserve">planning at </w:t>
      </w:r>
      <w:r w:rsidR="00C44082">
        <w:t xml:space="preserve">the </w:t>
      </w:r>
      <w:r w:rsidR="004158D5">
        <w:t xml:space="preserve">edge of oceanic areas, </w:t>
      </w:r>
      <w:r w:rsidR="00950F69">
        <w:t xml:space="preserve">additional considerations specific to VDLM2, </w:t>
      </w:r>
      <w:r w:rsidR="00BE4148">
        <w:t xml:space="preserve">the </w:t>
      </w:r>
      <w:r w:rsidR="004158D5">
        <w:t xml:space="preserve">VHF SATCOM coordination process, </w:t>
      </w:r>
      <w:r w:rsidR="00950F69">
        <w:t xml:space="preserve">and </w:t>
      </w:r>
      <w:r w:rsidR="00270889">
        <w:t xml:space="preserve">a </w:t>
      </w:r>
      <w:r w:rsidR="004158D5">
        <w:t xml:space="preserve">means to declare </w:t>
      </w:r>
      <w:r w:rsidR="00E43B7B">
        <w:t>assigned</w:t>
      </w:r>
      <w:r w:rsidR="004158D5">
        <w:t xml:space="preserve"> frequencies.  </w:t>
      </w:r>
      <w:r w:rsidR="00950F69">
        <w:t xml:space="preserve">While </w:t>
      </w:r>
      <w:r w:rsidR="00C152D6">
        <w:t xml:space="preserve">ICAO’s PT-T and FVSG groups will likely be the main forums to address and solve </w:t>
      </w:r>
      <w:r w:rsidR="00270889">
        <w:t>these topics</w:t>
      </w:r>
      <w:r w:rsidR="00C152D6">
        <w:t>, the questions and outcomes are directly relevant to FSMP and the ICAO position for WRC-23.</w:t>
      </w:r>
    </w:p>
    <w:p w14:paraId="08E57050" w14:textId="678C6DBF" w:rsidR="00A546F1" w:rsidRDefault="00A546F1">
      <w:pPr>
        <w:pStyle w:val="1Heading"/>
      </w:pPr>
      <w:r>
        <w:t>BACKGROUND</w:t>
      </w:r>
    </w:p>
    <w:p w14:paraId="5F16B22C" w14:textId="6CE1A6EC" w:rsidR="00E8131A" w:rsidRDefault="00E8131A" w:rsidP="005D6E06">
      <w:pPr>
        <w:pStyle w:val="2para"/>
      </w:pPr>
      <w:r w:rsidRPr="00E8131A">
        <w:t>The frequency band 117.975-137 MHz is allocated on a primary basis to the AM(R)S service and used for air-ground, ground-air</w:t>
      </w:r>
      <w:r w:rsidR="00C25F38">
        <w:t>,</w:t>
      </w:r>
      <w:r w:rsidRPr="00E8131A">
        <w:t xml:space="preserve"> and air-air systems, providing the primary means of voice and data communications for air traffic management and airline operational control on a global basis. </w:t>
      </w:r>
      <w:r w:rsidR="00DC2FFE">
        <w:t xml:space="preserve"> </w:t>
      </w:r>
      <w:r w:rsidRPr="00E8131A">
        <w:t xml:space="preserve">ITU-R Resolution 428 (WRC-19) invites WRC-23 to consider a new primary allocation to the AMS(R)S based on the results of </w:t>
      </w:r>
      <w:r w:rsidRPr="00E8131A">
        <w:lastRenderedPageBreak/>
        <w:t>sharing and compatibility studies. This new AMS(R)S service is intended to support direct pilot-air traffic controller voice, as well as the more recent proposal for data communications, in oceanic and remote areas</w:t>
      </w:r>
      <w:r w:rsidR="00CF5C7A">
        <w:t>.</w:t>
      </w:r>
      <w:r w:rsidR="00212B4E">
        <w:t xml:space="preserve">  This must be achieved </w:t>
      </w:r>
      <w:r w:rsidR="00CF5C7A" w:rsidRPr="00E8131A">
        <w:t>without modifying aircraft equipment</w:t>
      </w:r>
      <w:r w:rsidR="00CF5C7A">
        <w:t xml:space="preserve">, </w:t>
      </w:r>
      <w:r w:rsidR="00212B4E">
        <w:t>ensuring the protection of systems using existing primary VHF services, and not constraining the planned usage of those systems.</w:t>
      </w:r>
    </w:p>
    <w:p w14:paraId="1B13DF3A" w14:textId="09721CB7" w:rsidR="00E8131A" w:rsidRPr="00E8131A" w:rsidRDefault="00E8131A" w:rsidP="00E8131A">
      <w:pPr>
        <w:pStyle w:val="2para"/>
      </w:pPr>
      <w:r w:rsidRPr="00E8131A">
        <w:t>In the United States, the AM(R)S allocation in 117.975-137 MHz supports the primary Air Traffic Control (ATC) and Aeronautical Operational Control (AOC) systems for all manned aircraft.</w:t>
      </w:r>
      <w:r w:rsidR="00BA2EAD">
        <w:rPr>
          <w:rStyle w:val="FootnoteReference"/>
        </w:rPr>
        <w:footnoteReference w:id="2"/>
      </w:r>
      <w:r w:rsidRPr="00E8131A">
        <w:t xml:space="preserve">  This includes both standard voice communications but also the recently introduced national ATC datalink system, utilizing data messages for ATC and AOC functions to aircraft in the air and on the ground. </w:t>
      </w:r>
      <w:r w:rsidR="007D5B6E">
        <w:t xml:space="preserve"> </w:t>
      </w:r>
      <w:r w:rsidRPr="00E8131A">
        <w:t>Additionally, there is significant utilization by terrestrial VHF systems within this allocation today, thus severely limiting any options for new regional or national satellite frequency assignments that could be harmonized with future terrestrial assignments.</w:t>
      </w:r>
    </w:p>
    <w:p w14:paraId="4B2FBC5C" w14:textId="57CD37A5" w:rsidR="004042C0" w:rsidRPr="004042C0" w:rsidRDefault="004C6356" w:rsidP="004C6356">
      <w:pPr>
        <w:pStyle w:val="1Heading"/>
      </w:pPr>
      <w:r w:rsidRPr="004C6356">
        <w:t>COVERAGE PLANNING AT THE EDGE OF OCEANIC AREAS</w:t>
      </w:r>
    </w:p>
    <w:p w14:paraId="46D760D1" w14:textId="46CEE285" w:rsidR="00CD236D" w:rsidRPr="00CD236D" w:rsidRDefault="00CD236D" w:rsidP="004042C0">
      <w:pPr>
        <w:pStyle w:val="2para"/>
      </w:pPr>
      <w:r w:rsidRPr="00CD236D">
        <w:t>Since the proposal and adoption of agenda item 1.7, there ha</w:t>
      </w:r>
      <w:r w:rsidR="007D5B6E">
        <w:t>ve</w:t>
      </w:r>
      <w:r w:rsidRPr="00CD236D">
        <w:t xml:space="preserve"> been questions about how the systems being proposed will co-exist with existing terrestrial VHF aviation system</w:t>
      </w:r>
      <w:r w:rsidR="00A0374E">
        <w:t>s</w:t>
      </w:r>
      <w:r w:rsidRPr="00CD236D">
        <w:t xml:space="preserve"> given the highly congested VHF spectrum in some world regions.  ITU-R Resolution 428 (WRC-19) to the agenda item reflected this in Resolves 1, that the compatibility studies of the system be conducted </w:t>
      </w:r>
      <w:r w:rsidRPr="00CD236D">
        <w:rPr>
          <w:i/>
          <w:iCs/>
        </w:rPr>
        <w:t>“…while ensuring the protection of systems using existing primary services in those frequency bands and not constraining planned usage of those systems”.</w:t>
      </w:r>
      <w:r w:rsidRPr="00CD236D">
        <w:t xml:space="preserve">  Yet the current work on developing the systems has not</w:t>
      </w:r>
      <w:r w:rsidR="00F450F2">
        <w:t xml:space="preserve"> directly</w:t>
      </w:r>
      <w:r w:rsidRPr="00CD236D">
        <w:t xml:space="preserve"> addressed how this requirement will be fulfilled technically or operationally.</w:t>
      </w:r>
    </w:p>
    <w:p w14:paraId="46EBCE65" w14:textId="46B5AD0C" w:rsidR="00CD236D" w:rsidRPr="00CD236D" w:rsidRDefault="00CD236D" w:rsidP="00CD236D">
      <w:pPr>
        <w:pStyle w:val="2para"/>
      </w:pPr>
      <w:r w:rsidRPr="00CD236D">
        <w:t xml:space="preserve">This is especially relevant for administrations </w:t>
      </w:r>
      <w:r w:rsidR="008B391F">
        <w:t xml:space="preserve">that have </w:t>
      </w:r>
      <w:r w:rsidR="00AB3F57">
        <w:t>a</w:t>
      </w:r>
      <w:r w:rsidR="008B391F">
        <w:t xml:space="preserve"> </w:t>
      </w:r>
      <w:r w:rsidRPr="00CD236D">
        <w:t xml:space="preserve">highly congested VHF spectrum </w:t>
      </w:r>
      <w:r w:rsidR="00B023AC">
        <w:t>which</w:t>
      </w:r>
      <w:r w:rsidRPr="00CD236D">
        <w:t xml:space="preserve"> border large oceanic areas</w:t>
      </w:r>
      <w:r w:rsidR="00D85CD5">
        <w:t>,</w:t>
      </w:r>
      <w:r w:rsidRPr="00CD236D">
        <w:t xml:space="preserve"> such as the USA.  The current terrestrial voice and datalink networks in the US provide coverage over the entire United States up to 40,000ft altitude, including up to 250 nautical miles from the national coastline as aircraft transition between US oceanic and terrestrial control.</w:t>
      </w:r>
      <w:r w:rsidR="007D5B6E">
        <w:rPr>
          <w:rStyle w:val="FootnoteReference"/>
        </w:rPr>
        <w:footnoteReference w:id="3"/>
      </w:r>
      <w:r w:rsidRPr="00CD236D">
        <w:t xml:space="preserve">  This range limitation is primarily limited by radio line of sight (RLOS) of the terrestrial ground stations and aircraft, with aircraft receiving very low signal levels they need to decode at.   </w:t>
      </w:r>
    </w:p>
    <w:p w14:paraId="15E2A694" w14:textId="3D9EB7B5" w:rsidR="00CD236D" w:rsidRPr="00CD236D" w:rsidRDefault="00CD236D" w:rsidP="00CD236D">
      <w:pPr>
        <w:pStyle w:val="2para"/>
      </w:pPr>
      <w:r w:rsidRPr="00CD236D">
        <w:t>Applying the</w:t>
      </w:r>
      <w:r w:rsidR="002467D2" w:rsidRPr="00CD236D">
        <w:t xml:space="preserve"> Resolution 428</w:t>
      </w:r>
      <w:r w:rsidR="002467D2">
        <w:t>,</w:t>
      </w:r>
      <w:r w:rsidR="002467D2" w:rsidRPr="00CD236D">
        <w:t xml:space="preserve"> </w:t>
      </w:r>
      <w:r w:rsidR="002467D2">
        <w:t>R</w:t>
      </w:r>
      <w:r w:rsidR="002467D2" w:rsidRPr="00CD236D">
        <w:t>esolves 1</w:t>
      </w:r>
      <w:r w:rsidR="002467D2">
        <w:t xml:space="preserve"> </w:t>
      </w:r>
      <w:r w:rsidRPr="00CD236D">
        <w:t xml:space="preserve">condition to current assignments means </w:t>
      </w:r>
      <w:r w:rsidR="002467D2">
        <w:t xml:space="preserve">that </w:t>
      </w:r>
      <w:r w:rsidRPr="00CD236D">
        <w:t>aircraft communicating with a terrestrial base station near the coastline should not experience any interference from any VHF SATCOM down to the noise floor of the receiver.  The current ICAO regulations captured in the existing draft ITU-R report specify the noise floor needed to receive both voice and data at -105 dBm and -113.8 dBm respectively</w:t>
      </w:r>
      <w:r w:rsidRPr="00CD236D">
        <w:rPr>
          <w:vertAlign w:val="superscript"/>
        </w:rPr>
        <w:footnoteReference w:id="4"/>
      </w:r>
      <w:r w:rsidRPr="00CD236D">
        <w:t>, and therefore the received SATCOM signal should be below that.  Yet to achieve this low power level for co-frequency systems</w:t>
      </w:r>
      <w:r w:rsidR="00A156A1">
        <w:t>,</w:t>
      </w:r>
      <w:r w:rsidRPr="00CD236D">
        <w:t xml:space="preserve"> a gap </w:t>
      </w:r>
      <w:r w:rsidR="00A156A1" w:rsidRPr="00CD236D">
        <w:t xml:space="preserve">would result </w:t>
      </w:r>
      <w:r w:rsidRPr="00CD236D">
        <w:t xml:space="preserve">in </w:t>
      </w:r>
      <w:r w:rsidR="001F6798">
        <w:t xml:space="preserve">SATCOM </w:t>
      </w:r>
      <w:r w:rsidRPr="00CD236D">
        <w:t>coverage</w:t>
      </w:r>
      <w:r w:rsidR="001F6798">
        <w:t xml:space="preserve"> in the neighboring oceanic areas</w:t>
      </w:r>
      <w:r w:rsidRPr="00CD236D">
        <w:t xml:space="preserve"> as </w:t>
      </w:r>
      <w:r w:rsidRPr="00CD236D">
        <w:lastRenderedPageBreak/>
        <w:t xml:space="preserve">aircraft transition between terrestrial and SATCOM VHF services, eliminating </w:t>
      </w:r>
      <w:r w:rsidR="00187947">
        <w:t xml:space="preserve">apparent </w:t>
      </w:r>
      <w:r w:rsidRPr="00CD236D">
        <w:t xml:space="preserve">options for co-frequency </w:t>
      </w:r>
      <w:r w:rsidR="008D32B6">
        <w:t>without a means of synchronization between networks</w:t>
      </w:r>
      <w:r w:rsidRPr="00CD236D">
        <w:t>.</w:t>
      </w:r>
    </w:p>
    <w:p w14:paraId="035F1B8B" w14:textId="006A0CE7" w:rsidR="00CD236D" w:rsidRPr="00CD236D" w:rsidRDefault="00CD236D" w:rsidP="00CD236D">
      <w:pPr>
        <w:pStyle w:val="2para"/>
      </w:pPr>
      <w:r w:rsidRPr="00CD236D">
        <w:t>Given the above, the only means of guaranteeing coverage sufficient to transition between VHF SATCOM and terrestrial networks would be to allow higher power at the edge of terrestrial VHF coverage, requiring that VHF SATCOM be on different frequencies to terrestrial VHF</w:t>
      </w:r>
      <w:r w:rsidR="00FC2557">
        <w:t xml:space="preserve"> to maintain their protection</w:t>
      </w:r>
      <w:r w:rsidRPr="00CD236D">
        <w:t xml:space="preserve">  Yet to achieve the necessary signal power at the oceanic/terrestrial transition point, the signal power would result in VHF SATCOM signals propagating </w:t>
      </w:r>
      <w:r w:rsidR="00A211BE">
        <w:t xml:space="preserve">back </w:t>
      </w:r>
      <w:r w:rsidRPr="00CD236D">
        <w:t>into domestic airspace to some extent.</w:t>
      </w:r>
      <w:r w:rsidRPr="00CD236D">
        <w:rPr>
          <w:vertAlign w:val="superscript"/>
        </w:rPr>
        <w:footnoteReference w:id="5"/>
      </w:r>
      <w:r w:rsidRPr="00CD236D">
        <w:t xml:space="preserve">  This raises two important questions:  </w:t>
      </w:r>
    </w:p>
    <w:p w14:paraId="72B049EE" w14:textId="77777777" w:rsidR="00CD236D" w:rsidRPr="000200A8" w:rsidRDefault="00CD236D" w:rsidP="000200A8">
      <w:pPr>
        <w:numPr>
          <w:ilvl w:val="0"/>
          <w:numId w:val="15"/>
        </w:numPr>
      </w:pPr>
      <w:r w:rsidRPr="000200A8">
        <w:t xml:space="preserve">What are the coordination mechanisms that should be in place if an administration is willing to allow costal assignments to be potentially affected by such usage?  </w:t>
      </w:r>
    </w:p>
    <w:p w14:paraId="701136A1" w14:textId="77777777" w:rsidR="00CD236D" w:rsidRDefault="00CD236D" w:rsidP="000200A8">
      <w:pPr>
        <w:numPr>
          <w:ilvl w:val="0"/>
          <w:numId w:val="15"/>
        </w:numPr>
      </w:pPr>
      <w:r w:rsidRPr="000200A8">
        <w:t>How would such usage be compatible with Resolves 1 of Resolution 428 when an administration does not, or cannot, accommodate current and future external changes to its domestic channel plan by VHF SATCOM?  As any VHF SATCOM assignments at the edge of oceanic areas can now potentially restrict what can be done terrestrially on those frequencies in the future.</w:t>
      </w:r>
    </w:p>
    <w:p w14:paraId="7FC9F609" w14:textId="77777777" w:rsidR="000200A8" w:rsidRPr="000200A8" w:rsidRDefault="000200A8" w:rsidP="000200A8">
      <w:pPr>
        <w:ind w:left="720"/>
      </w:pPr>
    </w:p>
    <w:p w14:paraId="0A3CACE6" w14:textId="2D0429C3" w:rsidR="00DE6F9D" w:rsidRPr="00DE6F9D" w:rsidRDefault="00CD236D" w:rsidP="006C7315">
      <w:pPr>
        <w:pStyle w:val="2para"/>
        <w:rPr>
          <w:lang w:val="en-GB"/>
        </w:rPr>
      </w:pPr>
      <w:r w:rsidRPr="00DE6F9D">
        <w:t xml:space="preserve">One possibility to the above is that ICAO should consider recommending that any new primary AMS(R)S allocation cannot interfere with or claim protection from AM(R)S stations and those aircraft in communication with those terrestrial stations.  This would allow for regional channel planning processes to reach the necessary agreements, while protecting those states that do not which to have constraints place on their own channel plans.  Such an approach would also support how the VHF SATCOM systems were initially presented to ICAO in 2019 and with Resolves 1 of </w:t>
      </w:r>
      <w:r w:rsidR="00532CAE">
        <w:t xml:space="preserve">ITU-R </w:t>
      </w:r>
      <w:r w:rsidRPr="00DE6F9D">
        <w:t xml:space="preserve">Resolution 428.  </w:t>
      </w:r>
      <w:r w:rsidR="001D321C">
        <w:t xml:space="preserve">This would have additional implications that would need to be investigated, </w:t>
      </w:r>
      <w:r w:rsidR="009D4EC3">
        <w:t xml:space="preserve">such as the </w:t>
      </w:r>
      <w:r w:rsidR="009D4EC3" w:rsidRPr="00DE6F9D">
        <w:t>implement</w:t>
      </w:r>
      <w:r w:rsidR="009D4EC3">
        <w:t>ation</w:t>
      </w:r>
      <w:r w:rsidR="009D4EC3" w:rsidRPr="00DE6F9D">
        <w:t xml:space="preserve"> Article 9 coordination mechanisms to process adjacent administration and </w:t>
      </w:r>
      <w:r w:rsidR="007E0E43" w:rsidRPr="00DE6F9D">
        <w:t>regions</w:t>
      </w:r>
      <w:r w:rsidR="007E0E43">
        <w:t xml:space="preserve"> but</w:t>
      </w:r>
      <w:r w:rsidR="001D321C">
        <w:t xml:space="preserve"> would be a possible means to meet the Agenda Item’s requirements.  </w:t>
      </w:r>
    </w:p>
    <w:p w14:paraId="18565290" w14:textId="78CE1F76" w:rsidR="00AE4334" w:rsidRDefault="00AE4334">
      <w:pPr>
        <w:pStyle w:val="1Heading"/>
      </w:pPr>
      <w:r>
        <w:t>ADDITIONAL CONSIDERATIONS FOR VDLM2</w:t>
      </w:r>
    </w:p>
    <w:p w14:paraId="553721F4" w14:textId="6C96995A" w:rsidR="000F3E47" w:rsidRPr="000F3E47" w:rsidRDefault="000F3E47" w:rsidP="000F3E47">
      <w:pPr>
        <w:pStyle w:val="2para"/>
      </w:pPr>
      <w:r w:rsidRPr="000F3E47">
        <w:t>VDLM2 has additional requirements and complexities that need to be addressed.  While many of these are at the system level and should be incorporated into PT-T and the FVSG meetings, like the previous section, the outcome may have implications on the necessary regulatory conditions specified in the ITU-R.  The following questions have been presented to the ICAO FVSG, and are copied here for information:</w:t>
      </w:r>
    </w:p>
    <w:p w14:paraId="0BAB7469" w14:textId="77777777" w:rsidR="000F3E47" w:rsidRPr="000F3E47" w:rsidRDefault="000F3E47" w:rsidP="00765236">
      <w:pPr>
        <w:numPr>
          <w:ilvl w:val="0"/>
          <w:numId w:val="13"/>
        </w:numPr>
      </w:pPr>
      <w:r w:rsidRPr="000F3E47">
        <w:t>What protocol will SATCOM VDLM2 use (FANS/ATN?)</w:t>
      </w:r>
    </w:p>
    <w:p w14:paraId="4B9DA71A" w14:textId="77777777" w:rsidR="000F3E47" w:rsidRPr="000F3E47" w:rsidRDefault="000F3E47" w:rsidP="00765236">
      <w:pPr>
        <w:numPr>
          <w:ilvl w:val="1"/>
          <w:numId w:val="13"/>
        </w:numPr>
      </w:pPr>
      <w:r w:rsidRPr="000F3E47">
        <w:t>If ATN, how will the network avoid aircraft attempting to connect on their own initiative?</w:t>
      </w:r>
    </w:p>
    <w:p w14:paraId="7A206ACE" w14:textId="77777777" w:rsidR="000F3E47" w:rsidRPr="000F3E47" w:rsidRDefault="000F3E47" w:rsidP="00765236">
      <w:pPr>
        <w:numPr>
          <w:ilvl w:val="0"/>
          <w:numId w:val="13"/>
        </w:numPr>
      </w:pPr>
      <w:r w:rsidRPr="000F3E47">
        <w:t>How will assignments to SATCOM stations be coordinated with terrestrial channel plans?</w:t>
      </w:r>
    </w:p>
    <w:p w14:paraId="48AE6349" w14:textId="77777777" w:rsidR="000F3E47" w:rsidRPr="000F3E47" w:rsidRDefault="000F3E47" w:rsidP="00765236">
      <w:pPr>
        <w:numPr>
          <w:ilvl w:val="1"/>
          <w:numId w:val="13"/>
        </w:numPr>
      </w:pPr>
      <w:r w:rsidRPr="000F3E47">
        <w:t>What will be the coverage/signal strength over land for administrations that are not using the system in terrestrial airspace (</w:t>
      </w:r>
      <w:proofErr w:type="gramStart"/>
      <w:r w:rsidRPr="000F3E47">
        <w:t>i.e.</w:t>
      </w:r>
      <w:proofErr w:type="gramEnd"/>
      <w:r w:rsidRPr="000F3E47">
        <w:t xml:space="preserve"> if it only operates in neighboring oceanic areas)?</w:t>
      </w:r>
    </w:p>
    <w:p w14:paraId="6523CA7F" w14:textId="77777777" w:rsidR="000F3E47" w:rsidRPr="000F3E47" w:rsidRDefault="000F3E47" w:rsidP="00D52013">
      <w:pPr>
        <w:numPr>
          <w:ilvl w:val="1"/>
          <w:numId w:val="13"/>
        </w:numPr>
      </w:pPr>
      <w:r w:rsidRPr="000F3E47">
        <w:t>What requirements will be placed on planning criteria for new or modified terrestrial assignments?</w:t>
      </w:r>
    </w:p>
    <w:p w14:paraId="291C6851" w14:textId="77777777" w:rsidR="000F3E47" w:rsidRPr="000F3E47" w:rsidRDefault="000F3E47" w:rsidP="00765236">
      <w:pPr>
        <w:numPr>
          <w:ilvl w:val="0"/>
          <w:numId w:val="13"/>
        </w:numPr>
      </w:pPr>
      <w:r w:rsidRPr="000F3E47">
        <w:t>What is the function that moves an aircraft from a terrestrial to a SATCOM network (and vice versa) when each network is a different CSP?  Both on entering and exiting oceanic regions.</w:t>
      </w:r>
    </w:p>
    <w:p w14:paraId="41DAC0C5" w14:textId="77777777" w:rsidR="000F3E47" w:rsidRPr="000F3E47" w:rsidRDefault="000F3E47" w:rsidP="00D52013">
      <w:pPr>
        <w:numPr>
          <w:ilvl w:val="1"/>
          <w:numId w:val="13"/>
        </w:numPr>
      </w:pPr>
      <w:r w:rsidRPr="000F3E47">
        <w:t>What are the technical and operational conditions that would initiate such a move?</w:t>
      </w:r>
    </w:p>
    <w:p w14:paraId="00221B24" w14:textId="77777777" w:rsidR="000F3E47" w:rsidRPr="000F3E47" w:rsidRDefault="000F3E47" w:rsidP="00D52013">
      <w:pPr>
        <w:numPr>
          <w:ilvl w:val="1"/>
          <w:numId w:val="13"/>
        </w:numPr>
      </w:pPr>
      <w:r w:rsidRPr="000F3E47">
        <w:lastRenderedPageBreak/>
        <w:t xml:space="preserve">What agreements will operators need to have in place, if any?  </w:t>
      </w:r>
    </w:p>
    <w:p w14:paraId="3777D1D3" w14:textId="6882835E" w:rsidR="000F3E47" w:rsidRDefault="000F3E47" w:rsidP="00765236">
      <w:pPr>
        <w:numPr>
          <w:ilvl w:val="0"/>
          <w:numId w:val="13"/>
        </w:numPr>
      </w:pPr>
      <w:r w:rsidRPr="000F3E47">
        <w:t xml:space="preserve">If the SATCOM and </w:t>
      </w:r>
      <w:r w:rsidR="008E7EC3">
        <w:t>ground station</w:t>
      </w:r>
      <w:r w:rsidRPr="000F3E47">
        <w:t xml:space="preserve"> appear to be same CSP to the aircraft, does this introduce a risk with the current VDLM2 connection orientated protocol letting an aircraft potentially jump between sub-optimal stations as seen on terrestrial networks?</w:t>
      </w:r>
    </w:p>
    <w:p w14:paraId="7DD43666" w14:textId="77777777" w:rsidR="00D14008" w:rsidRDefault="00D14008" w:rsidP="00D14008"/>
    <w:p w14:paraId="37BEF9C3" w14:textId="3ED4C59C" w:rsidR="005D1AFC" w:rsidRDefault="005D1AFC" w:rsidP="00D14008">
      <w:pPr>
        <w:pStyle w:val="2para"/>
      </w:pPr>
      <w:r>
        <w:t xml:space="preserve">It has already been noted that achieving VDLM2 SATCOM will be a significantly more complex problem </w:t>
      </w:r>
      <w:r w:rsidR="00C87C59">
        <w:t xml:space="preserve">than </w:t>
      </w:r>
      <w:r>
        <w:t xml:space="preserve">with any potential voice system, </w:t>
      </w:r>
      <w:r w:rsidR="00AE3F72">
        <w:t xml:space="preserve">with additional </w:t>
      </w:r>
      <w:r w:rsidR="00C47E5D">
        <w:t xml:space="preserve">work and </w:t>
      </w:r>
      <w:r w:rsidR="00AE3F72">
        <w:t>studies required.</w:t>
      </w:r>
      <w:r w:rsidR="001F4BEF">
        <w:t xml:space="preserve">  The </w:t>
      </w:r>
      <w:r w:rsidR="00F26B76">
        <w:t>sensitivities with systems across the 137 MHz</w:t>
      </w:r>
      <w:r w:rsidR="00C73C36">
        <w:t xml:space="preserve"> allocation boundary</w:t>
      </w:r>
      <w:r w:rsidR="00F26B76">
        <w:t xml:space="preserve"> alone could be problematic and need significant work to overcome.</w:t>
      </w:r>
      <w:r w:rsidR="00AE3F72">
        <w:t xml:space="preserve">  </w:t>
      </w:r>
      <w:r w:rsidR="00EF44CD">
        <w:t>Unfortunately,</w:t>
      </w:r>
      <w:r w:rsidR="00AE3F72">
        <w:t xml:space="preserve"> the late introduction of such a system into the Agenda </w:t>
      </w:r>
      <w:r w:rsidR="007E0E43">
        <w:t>I</w:t>
      </w:r>
      <w:r w:rsidR="00AE3F72">
        <w:t xml:space="preserve">tem may complicate that further.  </w:t>
      </w:r>
      <w:r w:rsidR="005818D7">
        <w:t>Therefore,</w:t>
      </w:r>
      <w:r w:rsidR="006E0E4F">
        <w:t xml:space="preserve"> it is recommended that previous discussions of </w:t>
      </w:r>
      <w:r w:rsidR="00D926B4">
        <w:t xml:space="preserve">separating the work </w:t>
      </w:r>
      <w:r w:rsidR="00C47E5D">
        <w:t>on a</w:t>
      </w:r>
      <w:r w:rsidR="006E0E4F">
        <w:t xml:space="preserve"> 136-137</w:t>
      </w:r>
      <w:r w:rsidR="00C47E5D">
        <w:t xml:space="preserve"> MHz</w:t>
      </w:r>
      <w:r w:rsidR="006E0E4F">
        <w:t xml:space="preserve"> AMS(R)S allocation </w:t>
      </w:r>
      <w:r w:rsidR="00C47E5D">
        <w:t>for</w:t>
      </w:r>
      <w:r w:rsidR="006E0E4F">
        <w:t xml:space="preserve"> WRC-23 be strongly considered</w:t>
      </w:r>
      <w:r w:rsidR="005818D7">
        <w:t>.</w:t>
      </w:r>
      <w:r w:rsidR="00EB31D3">
        <w:t xml:space="preserve">  This will allow both</w:t>
      </w:r>
      <w:r w:rsidR="00646D45">
        <w:t xml:space="preserve"> systems to</w:t>
      </w:r>
      <w:r w:rsidR="00EB31D3">
        <w:t xml:space="preserve"> be assessed </w:t>
      </w:r>
      <w:r w:rsidR="00FC3AD2">
        <w:t xml:space="preserve">for a decision </w:t>
      </w:r>
      <w:r w:rsidR="00EB31D3">
        <w:t xml:space="preserve">at WRC-23 without hindrance, but not tie their fates together given they are very different </w:t>
      </w:r>
      <w:r w:rsidR="00646D45">
        <w:t>implementations of the same AMS(R)S</w:t>
      </w:r>
      <w:r w:rsidR="00EB31D3">
        <w:t xml:space="preserve">.  </w:t>
      </w:r>
    </w:p>
    <w:p w14:paraId="3AA09003" w14:textId="286353B3" w:rsidR="008019B3" w:rsidRDefault="008019B3" w:rsidP="00527D6E">
      <w:pPr>
        <w:pStyle w:val="1Heading"/>
        <w:ind w:right="2548"/>
      </w:pPr>
      <w:r>
        <w:t xml:space="preserve">VHF SATCOM CHANNEL COORDINATION </w:t>
      </w:r>
      <w:r w:rsidR="00D80816">
        <w:t>ORGANIZATION</w:t>
      </w:r>
    </w:p>
    <w:p w14:paraId="3CC1A7A5" w14:textId="0D7AC775" w:rsidR="008019B3" w:rsidRDefault="008019B3" w:rsidP="008019B3">
      <w:pPr>
        <w:pStyle w:val="2para"/>
      </w:pPr>
      <w:r>
        <w:t xml:space="preserve">Assuming all the previously raised </w:t>
      </w:r>
      <w:r w:rsidR="002972C1">
        <w:t xml:space="preserve">regulatory and technical processes </w:t>
      </w:r>
      <w:r>
        <w:t>issues can be addresse</w:t>
      </w:r>
      <w:r w:rsidR="00AB0BE0">
        <w:t>d</w:t>
      </w:r>
      <w:r>
        <w:t xml:space="preserve"> to the satisfaction of affected administrations, at this time there have been no formal plans for a specific organization or function to manage the necessary coordination.  </w:t>
      </w:r>
      <w:r w:rsidRPr="00DE6F9D">
        <w:t xml:space="preserve"> I</w:t>
      </w:r>
      <w:r>
        <w:t>n</w:t>
      </w:r>
      <w:r w:rsidRPr="00DE6F9D">
        <w:t xml:space="preserve"> the current version of the ITU-R report, it states that: “</w:t>
      </w:r>
      <w:r w:rsidRPr="00DC2FFE">
        <w:rPr>
          <w:i/>
          <w:iCs/>
        </w:rPr>
        <w:t>Protection of in-band systems operating under AM(R)S and AM(OR)S,</w:t>
      </w:r>
      <w:r w:rsidR="00A956D4" w:rsidRPr="00DC2FFE">
        <w:rPr>
          <w:i/>
          <w:iCs/>
        </w:rPr>
        <w:t xml:space="preserve"> </w:t>
      </w:r>
      <w:proofErr w:type="gramStart"/>
      <w:r w:rsidRPr="00DC2FFE">
        <w:rPr>
          <w:i/>
          <w:iCs/>
        </w:rPr>
        <w:t>….</w:t>
      </w:r>
      <w:r w:rsidR="00A956D4" w:rsidRPr="00DC2FFE">
        <w:rPr>
          <w:i/>
          <w:iCs/>
        </w:rPr>
        <w:t>.</w:t>
      </w:r>
      <w:proofErr w:type="gramEnd"/>
      <w:r w:rsidR="00A956D4" w:rsidRPr="00DC2FFE">
        <w:rPr>
          <w:i/>
          <w:iCs/>
        </w:rPr>
        <w:t xml:space="preserve"> </w:t>
      </w:r>
      <w:r w:rsidRPr="00DC2FFE">
        <w:rPr>
          <w:i/>
          <w:iCs/>
        </w:rPr>
        <w:t>would be resolved through conventional frequency planning exercise, involving the relevant aeronautical authorities including ICAO, and assigning frequencies to the satellite system over interested regions in a manner that ensures compatibility between ground and satellite facilities</w:t>
      </w:r>
      <w:r w:rsidRPr="00DE6F9D">
        <w:t>.”  This process will be central to any implementation of VHF SATCOM, yet there does not appear to be any work to clarify what this might be</w:t>
      </w:r>
      <w:r>
        <w:t xml:space="preserve"> and its implications for any action by ITU-R or its member states.</w:t>
      </w:r>
      <w:r w:rsidRPr="007D0130">
        <w:t xml:space="preserve"> </w:t>
      </w:r>
      <w:r w:rsidR="00135B09">
        <w:t xml:space="preserve"> </w:t>
      </w:r>
      <w:r w:rsidR="00984626">
        <w:t xml:space="preserve">Is the assumption that ICAO will take this on in some form, and if so, </w:t>
      </w:r>
      <w:r w:rsidR="00403A02">
        <w:t xml:space="preserve">what responsibilities and functions are they expected to fulfill?  </w:t>
      </w:r>
      <w:r w:rsidR="00527B40">
        <w:t xml:space="preserve">If not ICAO, then it is </w:t>
      </w:r>
      <w:r w:rsidR="00FC3AD2">
        <w:t xml:space="preserve">uncertain what organization would have the means </w:t>
      </w:r>
      <w:r w:rsidR="001E0246">
        <w:t xml:space="preserve">or remit </w:t>
      </w:r>
      <w:r w:rsidR="00FC3AD2">
        <w:t>to do the necessary coordination between ICAO states.</w:t>
      </w:r>
    </w:p>
    <w:p w14:paraId="4F9BA01B" w14:textId="77777777" w:rsidR="008019B3" w:rsidRDefault="008019B3" w:rsidP="008019B3">
      <w:pPr>
        <w:pStyle w:val="1Heading"/>
      </w:pPr>
      <w:r>
        <w:t>DECLARATION OF FREQUENCY ASSIGNMENTS</w:t>
      </w:r>
    </w:p>
    <w:p w14:paraId="13787E18" w14:textId="164E7414" w:rsidR="00B80A79" w:rsidRDefault="00E43B7B" w:rsidP="008019B3">
      <w:pPr>
        <w:pStyle w:val="2para"/>
      </w:pPr>
      <w:r>
        <w:t>The above frequency coordination process</w:t>
      </w:r>
      <w:r w:rsidR="00275DE7">
        <w:t xml:space="preserve"> will need </w:t>
      </w:r>
      <w:r w:rsidR="00CC0472">
        <w:t xml:space="preserve">current information on regional and national assignments and channel plans.  While some administrations have mechanisms in place to share these externally, others do not.  </w:t>
      </w:r>
      <w:r w:rsidR="00B80A79">
        <w:t>This raises several questions:</w:t>
      </w:r>
    </w:p>
    <w:p w14:paraId="446AC436" w14:textId="6F250FB3" w:rsidR="00B80A79" w:rsidRPr="00D926B4" w:rsidRDefault="00B80A79" w:rsidP="00A64333">
      <w:pPr>
        <w:pStyle w:val="ListParagraph"/>
        <w:numPr>
          <w:ilvl w:val="0"/>
          <w:numId w:val="16"/>
        </w:numPr>
        <w:rPr>
          <w:rFonts w:ascii="Times New Roman" w:hAnsi="Times New Roman" w:cs="Times New Roman"/>
        </w:rPr>
      </w:pPr>
      <w:r w:rsidRPr="00D926B4">
        <w:rPr>
          <w:rFonts w:ascii="Times New Roman" w:hAnsi="Times New Roman" w:cs="Times New Roman"/>
        </w:rPr>
        <w:t>What is proposed to ensure visibility of domestic and SATCOM assignments between administrations, ANSP</w:t>
      </w:r>
      <w:r w:rsidR="0032342B">
        <w:rPr>
          <w:rFonts w:ascii="Times New Roman" w:hAnsi="Times New Roman" w:cs="Times New Roman"/>
        </w:rPr>
        <w:t>s</w:t>
      </w:r>
      <w:r w:rsidR="00AF0AFE">
        <w:rPr>
          <w:rFonts w:ascii="Times New Roman" w:hAnsi="Times New Roman" w:cs="Times New Roman"/>
        </w:rPr>
        <w:t>,</w:t>
      </w:r>
      <w:r w:rsidRPr="00D926B4">
        <w:rPr>
          <w:rFonts w:ascii="Times New Roman" w:hAnsi="Times New Roman" w:cs="Times New Roman"/>
        </w:rPr>
        <w:t xml:space="preserve"> and </w:t>
      </w:r>
      <w:r w:rsidR="0032342B">
        <w:rPr>
          <w:rFonts w:ascii="Times New Roman" w:hAnsi="Times New Roman" w:cs="Times New Roman"/>
        </w:rPr>
        <w:t xml:space="preserve">AMS(R)S frequency </w:t>
      </w:r>
      <w:r w:rsidRPr="00D926B4">
        <w:rPr>
          <w:rFonts w:ascii="Times New Roman" w:hAnsi="Times New Roman" w:cs="Times New Roman"/>
        </w:rPr>
        <w:t>coordinators</w:t>
      </w:r>
      <w:r w:rsidR="00A64333" w:rsidRPr="00D926B4">
        <w:rPr>
          <w:rFonts w:ascii="Times New Roman" w:hAnsi="Times New Roman" w:cs="Times New Roman"/>
        </w:rPr>
        <w:t>?</w:t>
      </w:r>
    </w:p>
    <w:p w14:paraId="205A093F" w14:textId="1F6C786C" w:rsidR="008019B3" w:rsidRPr="00D926B4" w:rsidRDefault="00B80A79" w:rsidP="00A64333">
      <w:pPr>
        <w:pStyle w:val="ListParagraph"/>
        <w:numPr>
          <w:ilvl w:val="0"/>
          <w:numId w:val="16"/>
        </w:numPr>
        <w:rPr>
          <w:rFonts w:ascii="Times New Roman" w:hAnsi="Times New Roman" w:cs="Times New Roman"/>
        </w:rPr>
      </w:pPr>
      <w:r w:rsidRPr="00D926B4">
        <w:rPr>
          <w:rFonts w:ascii="Times New Roman" w:hAnsi="Times New Roman" w:cs="Times New Roman"/>
        </w:rPr>
        <w:t>If ICAO were to be the coordinator, will all administrations/ANSPs need to develop a mechanism to share their domestic assignments with ICAO to allow for channel planning</w:t>
      </w:r>
      <w:r w:rsidR="00C75EF6" w:rsidRPr="00D926B4">
        <w:rPr>
          <w:rFonts w:ascii="Times New Roman" w:hAnsi="Times New Roman" w:cs="Times New Roman"/>
        </w:rPr>
        <w:t xml:space="preserve"> (</w:t>
      </w:r>
      <w:r w:rsidR="00527D6E">
        <w:rPr>
          <w:rFonts w:ascii="Times New Roman" w:hAnsi="Times New Roman" w:cs="Times New Roman"/>
        </w:rPr>
        <w:t xml:space="preserve">and </w:t>
      </w:r>
      <w:r w:rsidR="00C75EF6" w:rsidRPr="00D926B4">
        <w:rPr>
          <w:rFonts w:ascii="Times New Roman" w:hAnsi="Times New Roman" w:cs="Times New Roman"/>
        </w:rPr>
        <w:t xml:space="preserve">in reverse </w:t>
      </w:r>
      <w:r w:rsidR="00065ECE">
        <w:rPr>
          <w:rFonts w:ascii="Times New Roman" w:hAnsi="Times New Roman" w:cs="Times New Roman"/>
        </w:rPr>
        <w:t>to</w:t>
      </w:r>
      <w:r w:rsidR="00065ECE" w:rsidRPr="00D926B4">
        <w:rPr>
          <w:rFonts w:ascii="Times New Roman" w:hAnsi="Times New Roman" w:cs="Times New Roman"/>
        </w:rPr>
        <w:t xml:space="preserve"> </w:t>
      </w:r>
      <w:r w:rsidR="00C75EF6" w:rsidRPr="00D926B4">
        <w:rPr>
          <w:rFonts w:ascii="Times New Roman" w:hAnsi="Times New Roman" w:cs="Times New Roman"/>
        </w:rPr>
        <w:t>account for VHF SATCOM usage in national assignment planning if necessary</w:t>
      </w:r>
      <w:r w:rsidR="002436DB" w:rsidRPr="00D926B4">
        <w:rPr>
          <w:rFonts w:ascii="Times New Roman" w:hAnsi="Times New Roman" w:cs="Times New Roman"/>
        </w:rPr>
        <w:t>)</w:t>
      </w:r>
      <w:r w:rsidR="002436DB">
        <w:rPr>
          <w:rFonts w:ascii="Times New Roman" w:hAnsi="Times New Roman" w:cs="Times New Roman"/>
        </w:rPr>
        <w:t>?</w:t>
      </w:r>
      <w:r w:rsidR="002436DB" w:rsidRPr="00D926B4">
        <w:rPr>
          <w:rFonts w:ascii="Times New Roman" w:hAnsi="Times New Roman" w:cs="Times New Roman"/>
        </w:rPr>
        <w:t xml:space="preserve">  </w:t>
      </w:r>
    </w:p>
    <w:p w14:paraId="46D8BE15" w14:textId="0D628A0A" w:rsidR="00CD236D" w:rsidRDefault="00CD236D">
      <w:pPr>
        <w:pStyle w:val="1Heading"/>
      </w:pPr>
      <w:r>
        <w:t>SUMMARY</w:t>
      </w:r>
    </w:p>
    <w:p w14:paraId="70F90919" w14:textId="12D4EB9B" w:rsidR="00D80816" w:rsidRPr="00CD236D" w:rsidRDefault="00A04742" w:rsidP="00D50EC6">
      <w:pPr>
        <w:pStyle w:val="2para"/>
      </w:pPr>
      <w:r w:rsidRPr="00A04742">
        <w:t>While SATCOM VHF services have a potential for benefits to</w:t>
      </w:r>
      <w:r w:rsidR="00FF42A3">
        <w:t xml:space="preserve"> the </w:t>
      </w:r>
      <w:r w:rsidRPr="00A04742">
        <w:t xml:space="preserve">future aviation </w:t>
      </w:r>
      <w:r w:rsidR="00FF42A3">
        <w:t>industry</w:t>
      </w:r>
      <w:r w:rsidRPr="00A04742">
        <w:t>, any implementation must show that is it protecting the</w:t>
      </w:r>
      <w:r w:rsidR="00FF42A3">
        <w:t xml:space="preserve"> same</w:t>
      </w:r>
      <w:r w:rsidRPr="00A04742">
        <w:t xml:space="preserve"> terrestrial VHF systems it intends to augment, especially at the boundaries of oceanic regions.  This requirement is particularly acute for VDLM2 systems given the recent work in many administrations to develop robust CPDLC networks.  Such a system requirement was a fundamental understanding in initial the presentations to ICAO in 2019 to build support for an agenda item and is reflected in the ITU-R resolution for the WRC-23 agenda item.  </w:t>
      </w:r>
      <w:r w:rsidR="002016F3">
        <w:t xml:space="preserve">While development of working systems is a </w:t>
      </w:r>
      <w:r w:rsidR="002016F3">
        <w:lastRenderedPageBreak/>
        <w:t>priority</w:t>
      </w:r>
      <w:r w:rsidR="00403B27">
        <w:t xml:space="preserve"> to progress the agenda item, </w:t>
      </w:r>
      <w:r w:rsidR="00DE00C5">
        <w:t xml:space="preserve">these important questions for existing VHF operators and users should </w:t>
      </w:r>
      <w:r w:rsidR="00DC5270">
        <w:t>be addressed before any potential ITU-R decision is made.</w:t>
      </w:r>
      <w:r w:rsidR="00D50EC6">
        <w:t xml:space="preserve">  </w:t>
      </w:r>
      <w:r w:rsidR="00D80816" w:rsidRPr="00CD236D">
        <w:t xml:space="preserve">While these discussions should be </w:t>
      </w:r>
      <w:r w:rsidR="00D80816">
        <w:t xml:space="preserve">primarily </w:t>
      </w:r>
      <w:r w:rsidR="00D80816" w:rsidRPr="00CD236D">
        <w:t xml:space="preserve">within ICAO given the expertise, it may have a direct bearing on the ITU-R Radio Regulatory text that would be approved at WRC-23.  Hence the need for aviation to discuss and solve these questions soon.  </w:t>
      </w:r>
    </w:p>
    <w:p w14:paraId="1567625F" w14:textId="321E1357" w:rsidR="00770160" w:rsidRDefault="00770160">
      <w:pPr>
        <w:pStyle w:val="1Heading"/>
      </w:pPr>
      <w:r>
        <w:t>ACTION BY THE MEETING</w:t>
      </w:r>
    </w:p>
    <w:p w14:paraId="3A359839" w14:textId="77777777" w:rsidR="00770160" w:rsidRDefault="00770160">
      <w:pPr>
        <w:pStyle w:val="2para"/>
      </w:pPr>
      <w:r>
        <w:t>The meeting is invited to:</w:t>
      </w:r>
    </w:p>
    <w:p w14:paraId="351DA803" w14:textId="7E29EA77" w:rsidR="00770160" w:rsidRDefault="000167D5">
      <w:pPr>
        <w:pStyle w:val="Listabc"/>
      </w:pPr>
      <w:r>
        <w:rPr>
          <w:lang w:val="en-GB"/>
        </w:rPr>
        <w:t>N</w:t>
      </w:r>
      <w:r>
        <w:t xml:space="preserve">ote </w:t>
      </w:r>
      <w:r w:rsidR="00770160">
        <w:t>and review the contents of this working paper;</w:t>
      </w:r>
    </w:p>
    <w:p w14:paraId="0674CA64" w14:textId="2914E1B3" w:rsidR="00A30875" w:rsidRDefault="00A30875" w:rsidP="00A30875">
      <w:pPr>
        <w:pStyle w:val="Listabc"/>
        <w:rPr>
          <w:lang w:val="en-US"/>
        </w:rPr>
      </w:pPr>
      <w:r w:rsidRPr="00A30875">
        <w:rPr>
          <w:lang w:val="en-US"/>
        </w:rPr>
        <w:t>Consider what regulatory measures</w:t>
      </w:r>
      <w:r w:rsidR="00507C1A">
        <w:rPr>
          <w:lang w:val="en-US"/>
        </w:rPr>
        <w:t xml:space="preserve"> are required, </w:t>
      </w:r>
      <w:r w:rsidR="00FC705D">
        <w:rPr>
          <w:lang w:val="en-US"/>
        </w:rPr>
        <w:t xml:space="preserve">and how/who should they be implemented </w:t>
      </w:r>
      <w:r w:rsidR="009632E3">
        <w:rPr>
          <w:lang w:val="en-US"/>
        </w:rPr>
        <w:t>i</w:t>
      </w:r>
      <w:r w:rsidRPr="00A30875">
        <w:rPr>
          <w:lang w:val="en-US"/>
        </w:rPr>
        <w:t xml:space="preserve">n coordinating </w:t>
      </w:r>
      <w:r w:rsidR="009632E3">
        <w:rPr>
          <w:lang w:val="en-US"/>
        </w:rPr>
        <w:t xml:space="preserve">any new AMS(R)S </w:t>
      </w:r>
      <w:r w:rsidRPr="00A30875">
        <w:rPr>
          <w:lang w:val="en-US"/>
        </w:rPr>
        <w:t>assignments between administrations and/or regions</w:t>
      </w:r>
      <w:r w:rsidR="006B3E5A">
        <w:rPr>
          <w:lang w:val="en-US"/>
        </w:rPr>
        <w:t>;</w:t>
      </w:r>
      <w:r w:rsidRPr="00A30875">
        <w:rPr>
          <w:lang w:val="en-US"/>
        </w:rPr>
        <w:t xml:space="preserve">  </w:t>
      </w:r>
    </w:p>
    <w:p w14:paraId="5F63640F" w14:textId="1740546B" w:rsidR="002A50FC" w:rsidRDefault="00C746DD" w:rsidP="00A30875">
      <w:pPr>
        <w:pStyle w:val="Listabc"/>
        <w:rPr>
          <w:lang w:val="en-US"/>
        </w:rPr>
      </w:pPr>
      <w:r>
        <w:rPr>
          <w:lang w:val="en-US"/>
        </w:rPr>
        <w:t xml:space="preserve">Ensure this paper and the resulting discussion is made available to PT-T and </w:t>
      </w:r>
      <w:r w:rsidR="00503511">
        <w:rPr>
          <w:lang w:val="en-US"/>
        </w:rPr>
        <w:t>FVSG groups</w:t>
      </w:r>
      <w:r w:rsidR="00550F42">
        <w:rPr>
          <w:lang w:val="en-US"/>
        </w:rPr>
        <w:t xml:space="preserve"> for consideration</w:t>
      </w:r>
      <w:r w:rsidR="00EA2E92">
        <w:rPr>
          <w:lang w:val="en-US"/>
        </w:rPr>
        <w:t xml:space="preserve"> and feedback to FSMP</w:t>
      </w:r>
      <w:r w:rsidR="006B3E5A">
        <w:rPr>
          <w:lang w:val="en-US"/>
        </w:rPr>
        <w:t>.</w:t>
      </w:r>
    </w:p>
    <w:p w14:paraId="0102AF4E" w14:textId="7744F584" w:rsidR="00A12CBA" w:rsidRDefault="00770160" w:rsidP="001905C2">
      <w:pPr>
        <w:jc w:val="center"/>
      </w:pPr>
      <w:r>
        <w:t>— END —</w:t>
      </w:r>
    </w:p>
    <w:sectPr w:rsidR="00A12CBA">
      <w:headerReference w:type="even" r:id="rId11"/>
      <w:headerReference w:type="default" r:id="rId12"/>
      <w:footerReference w:type="even" r:id="rId13"/>
      <w:footerReference w:type="default" r:id="rId14"/>
      <w:headerReference w:type="first" r:id="rId15"/>
      <w:footerReference w:type="first" r:id="rId16"/>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0B00" w14:textId="77777777" w:rsidR="0014509D" w:rsidRDefault="0014509D">
      <w:r>
        <w:separator/>
      </w:r>
    </w:p>
  </w:endnote>
  <w:endnote w:type="continuationSeparator" w:id="0">
    <w:p w14:paraId="4CBAC610" w14:textId="77777777" w:rsidR="0014509D" w:rsidRDefault="0014509D">
      <w:r>
        <w:continuationSeparator/>
      </w:r>
    </w:p>
  </w:endnote>
  <w:endnote w:type="continuationNotice" w:id="1">
    <w:p w14:paraId="0E2E04BE" w14:textId="77777777" w:rsidR="0014509D" w:rsidRDefault="00145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F538" w14:textId="77777777" w:rsidR="00D33AB9" w:rsidRDefault="00D3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FCD9" w14:textId="77777777" w:rsidR="00D33AB9" w:rsidRDefault="00D33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634E" w14:textId="77777777" w:rsidR="00770160" w:rsidRDefault="00770160">
    <w:pPr>
      <w:pStyle w:val="Footer"/>
      <w:rPr>
        <w:sz w:val="18"/>
        <w:lang w:val="fr-FR"/>
      </w:rPr>
    </w:pPr>
    <w:r>
      <w:rPr>
        <w:sz w:val="18"/>
        <w:lang w:val="fr-FR"/>
      </w:rPr>
      <w:t>(</w:t>
    </w:r>
    <w:r>
      <w:rPr>
        <w:sz w:val="18"/>
      </w:rPr>
      <w:fldChar w:fldCharType="begin"/>
    </w:r>
    <w:r>
      <w:rPr>
        <w:sz w:val="18"/>
        <w:lang w:val="fr-FR"/>
      </w:rPr>
      <w:instrText xml:space="preserve"> NUMPAGES  \* MERGEFORMAT </w:instrText>
    </w:r>
    <w:r>
      <w:rPr>
        <w:sz w:val="18"/>
      </w:rPr>
      <w:fldChar w:fldCharType="separate"/>
    </w:r>
    <w:r w:rsidR="00885035">
      <w:rPr>
        <w:noProof/>
        <w:sz w:val="18"/>
        <w:lang w:val="fr-FR"/>
      </w:rPr>
      <w:t>3</w:t>
    </w:r>
    <w:r>
      <w:rPr>
        <w:sz w:val="18"/>
      </w:rPr>
      <w:fldChar w:fldCharType="end"/>
    </w:r>
    <w:r>
      <w:rPr>
        <w:sz w:val="18"/>
        <w:lang w:val="fr-FR"/>
      </w:rPr>
      <w:t xml:space="preserve"> pages)</w:t>
    </w:r>
  </w:p>
  <w:p w14:paraId="18A058DE" w14:textId="4387A698" w:rsidR="00770160" w:rsidRDefault="00770160">
    <w:pPr>
      <w:pStyle w:val="Footer"/>
    </w:pPr>
    <w:r>
      <w:rPr>
        <w:sz w:val="18"/>
      </w:rPr>
      <w:fldChar w:fldCharType="begin"/>
    </w:r>
    <w:r>
      <w:rPr>
        <w:sz w:val="18"/>
      </w:rPr>
      <w:instrText xml:space="preserve"> FILENAME  \* MERGEFORMAT </w:instrText>
    </w:r>
    <w:r>
      <w:rPr>
        <w:sz w:val="18"/>
      </w:rPr>
      <w:fldChar w:fldCharType="separate"/>
    </w:r>
    <w:r w:rsidR="00D33AB9">
      <w:rPr>
        <w:noProof/>
        <w:sz w:val="18"/>
      </w:rPr>
      <w:t>FSMP-WG13-WP15 Considerations For Coordination Between Existing AM(R)S And Proposed AMS(R)S Systems.docx</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BDCE" w14:textId="77777777" w:rsidR="0014509D" w:rsidRDefault="0014509D">
      <w:r>
        <w:separator/>
      </w:r>
    </w:p>
  </w:footnote>
  <w:footnote w:type="continuationSeparator" w:id="0">
    <w:p w14:paraId="2C97AED9" w14:textId="77777777" w:rsidR="0014509D" w:rsidRDefault="0014509D">
      <w:r>
        <w:continuationSeparator/>
      </w:r>
    </w:p>
  </w:footnote>
  <w:footnote w:type="continuationNotice" w:id="1">
    <w:p w14:paraId="0409FFDB" w14:textId="77777777" w:rsidR="0014509D" w:rsidRDefault="0014509D"/>
  </w:footnote>
  <w:footnote w:id="2">
    <w:p w14:paraId="6EC7D30E" w14:textId="2CD92C88" w:rsidR="00BA2EAD" w:rsidRPr="00FE4F6E" w:rsidRDefault="00BA2EAD">
      <w:pPr>
        <w:pStyle w:val="FootnoteText"/>
        <w:rPr>
          <w:rFonts w:ascii="Times New Roman" w:hAnsi="Times New Roman" w:cs="Times New Roman"/>
        </w:rPr>
      </w:pPr>
      <w:r w:rsidRPr="00872D35">
        <w:rPr>
          <w:rStyle w:val="FootnoteReference"/>
        </w:rPr>
        <w:footnoteRef/>
      </w:r>
      <w:r w:rsidRPr="00872D35">
        <w:t xml:space="preserve"> </w:t>
      </w:r>
      <w:r w:rsidRPr="00FE4F6E">
        <w:rPr>
          <w:rFonts w:ascii="Times New Roman" w:hAnsi="Times New Roman" w:cs="Times New Roman"/>
        </w:rPr>
        <w:t>In the US,</w:t>
      </w:r>
      <w:r w:rsidR="00C8218B" w:rsidRPr="00FE4F6E">
        <w:rPr>
          <w:rFonts w:ascii="Times New Roman" w:hAnsi="Times New Roman" w:cs="Times New Roman"/>
        </w:rPr>
        <w:t xml:space="preserve"> </w:t>
      </w:r>
      <w:r w:rsidR="00872D35" w:rsidRPr="00FE4F6E">
        <w:rPr>
          <w:rFonts w:ascii="Times New Roman" w:hAnsi="Times New Roman" w:cs="Times New Roman"/>
        </w:rPr>
        <w:t xml:space="preserve">traffic types are </w:t>
      </w:r>
      <w:r w:rsidR="00FE4F6E" w:rsidRPr="00FE4F6E">
        <w:rPr>
          <w:rFonts w:ascii="Times New Roman" w:hAnsi="Times New Roman" w:cs="Times New Roman"/>
        </w:rPr>
        <w:t>split</w:t>
      </w:r>
      <w:r w:rsidR="00872D35" w:rsidRPr="00FE4F6E">
        <w:rPr>
          <w:rFonts w:ascii="Times New Roman" w:hAnsi="Times New Roman" w:cs="Times New Roman"/>
        </w:rPr>
        <w:t xml:space="preserve"> into 4 different categories to align with the FANS </w:t>
      </w:r>
      <w:r w:rsidR="00FE4F6E">
        <w:rPr>
          <w:rFonts w:ascii="Times New Roman" w:hAnsi="Times New Roman" w:cs="Times New Roman"/>
        </w:rPr>
        <w:t xml:space="preserve">protocol </w:t>
      </w:r>
      <w:r w:rsidR="00872D35" w:rsidRPr="00FE4F6E">
        <w:rPr>
          <w:rFonts w:ascii="Times New Roman" w:hAnsi="Times New Roman" w:cs="Times New Roman"/>
        </w:rPr>
        <w:t>structure: Air Traffic Services</w:t>
      </w:r>
      <w:r w:rsidR="008D5213" w:rsidRPr="00FE4F6E">
        <w:rPr>
          <w:rFonts w:ascii="Times New Roman" w:hAnsi="Times New Roman" w:cs="Times New Roman"/>
        </w:rPr>
        <w:t xml:space="preserve"> </w:t>
      </w:r>
      <w:r w:rsidR="00890C1C" w:rsidRPr="00FE4F6E">
        <w:rPr>
          <w:rFonts w:ascii="Times New Roman" w:hAnsi="Times New Roman" w:cs="Times New Roman"/>
        </w:rPr>
        <w:t>(</w:t>
      </w:r>
      <w:r w:rsidR="008D5213" w:rsidRPr="00FE4F6E">
        <w:rPr>
          <w:rFonts w:ascii="Times New Roman" w:hAnsi="Times New Roman" w:cs="Times New Roman"/>
        </w:rPr>
        <w:t>A</w:t>
      </w:r>
      <w:r w:rsidR="00872D35" w:rsidRPr="00FE4F6E">
        <w:rPr>
          <w:rFonts w:ascii="Times New Roman" w:hAnsi="Times New Roman" w:cs="Times New Roman"/>
        </w:rPr>
        <w:t>TS</w:t>
      </w:r>
      <w:r w:rsidR="00FE4F6E">
        <w:rPr>
          <w:rFonts w:ascii="Times New Roman" w:hAnsi="Times New Roman" w:cs="Times New Roman"/>
        </w:rPr>
        <w:t>, which</w:t>
      </w:r>
      <w:r w:rsidR="008D5213" w:rsidRPr="00FE4F6E">
        <w:rPr>
          <w:rFonts w:ascii="Times New Roman" w:hAnsi="Times New Roman" w:cs="Times New Roman"/>
        </w:rPr>
        <w:t xml:space="preserve"> includes ATC messages)</w:t>
      </w:r>
      <w:r w:rsidR="00872D35" w:rsidRPr="00FE4F6E">
        <w:rPr>
          <w:rFonts w:ascii="Times New Roman" w:hAnsi="Times New Roman" w:cs="Times New Roman"/>
        </w:rPr>
        <w:t xml:space="preserve">, AOC, </w:t>
      </w:r>
      <w:r w:rsidR="00302EEC" w:rsidRPr="00FE4F6E">
        <w:rPr>
          <w:rFonts w:ascii="Times New Roman" w:hAnsi="Times New Roman" w:cs="Times New Roman"/>
        </w:rPr>
        <w:t>Airline</w:t>
      </w:r>
      <w:r w:rsidR="008D5213" w:rsidRPr="00FE4F6E">
        <w:rPr>
          <w:rFonts w:ascii="Times New Roman" w:hAnsi="Times New Roman" w:cs="Times New Roman"/>
        </w:rPr>
        <w:t xml:space="preserve"> </w:t>
      </w:r>
      <w:r w:rsidR="00302EEC" w:rsidRPr="00FE4F6E">
        <w:rPr>
          <w:rFonts w:ascii="Times New Roman" w:hAnsi="Times New Roman" w:cs="Times New Roman"/>
        </w:rPr>
        <w:t>Administrative</w:t>
      </w:r>
      <w:r w:rsidR="008D5213" w:rsidRPr="00FE4F6E">
        <w:rPr>
          <w:rFonts w:ascii="Times New Roman" w:hAnsi="Times New Roman" w:cs="Times New Roman"/>
        </w:rPr>
        <w:t xml:space="preserve"> </w:t>
      </w:r>
      <w:r w:rsidR="00302EEC" w:rsidRPr="00FE4F6E">
        <w:rPr>
          <w:rFonts w:ascii="Times New Roman" w:hAnsi="Times New Roman" w:cs="Times New Roman"/>
        </w:rPr>
        <w:t>Communications</w:t>
      </w:r>
      <w:r w:rsidR="008D5213" w:rsidRPr="00FE4F6E">
        <w:rPr>
          <w:rFonts w:ascii="Times New Roman" w:hAnsi="Times New Roman" w:cs="Times New Roman"/>
        </w:rPr>
        <w:t xml:space="preserve"> (AAC), and Aircraft Health </w:t>
      </w:r>
      <w:r w:rsidR="00302EEC" w:rsidRPr="00FE4F6E">
        <w:rPr>
          <w:rFonts w:ascii="Times New Roman" w:hAnsi="Times New Roman" w:cs="Times New Roman"/>
        </w:rPr>
        <w:t>Monitoring</w:t>
      </w:r>
      <w:r w:rsidR="008D5213" w:rsidRPr="00FE4F6E">
        <w:rPr>
          <w:rFonts w:ascii="Times New Roman" w:hAnsi="Times New Roman" w:cs="Times New Roman"/>
        </w:rPr>
        <w:t xml:space="preserve"> </w:t>
      </w:r>
      <w:r w:rsidR="002668C6" w:rsidRPr="00FE4F6E">
        <w:rPr>
          <w:rFonts w:ascii="Times New Roman" w:hAnsi="Times New Roman" w:cs="Times New Roman"/>
        </w:rPr>
        <w:t xml:space="preserve">Systems (AHMS).  AAC </w:t>
      </w:r>
      <w:r w:rsidR="008D5213" w:rsidRPr="00FE4F6E">
        <w:rPr>
          <w:rFonts w:ascii="Times New Roman" w:hAnsi="Times New Roman" w:cs="Times New Roman"/>
        </w:rPr>
        <w:t xml:space="preserve">and </w:t>
      </w:r>
      <w:r w:rsidR="002668C6" w:rsidRPr="00FE4F6E">
        <w:rPr>
          <w:rFonts w:ascii="Times New Roman" w:hAnsi="Times New Roman" w:cs="Times New Roman"/>
        </w:rPr>
        <w:t>A</w:t>
      </w:r>
      <w:r w:rsidR="007A566B" w:rsidRPr="00FE4F6E">
        <w:rPr>
          <w:rFonts w:ascii="Times New Roman" w:hAnsi="Times New Roman" w:cs="Times New Roman"/>
        </w:rPr>
        <w:t>HMS are not safety services, and the bulk of all data sent on VDL networks is now from AHMS</w:t>
      </w:r>
      <w:r w:rsidR="00890C1C" w:rsidRPr="00FE4F6E">
        <w:rPr>
          <w:rFonts w:ascii="Times New Roman" w:hAnsi="Times New Roman" w:cs="Times New Roman"/>
        </w:rPr>
        <w:t>, up to 75%</w:t>
      </w:r>
      <w:r w:rsidR="00DA7964" w:rsidRPr="00FE4F6E">
        <w:rPr>
          <w:rFonts w:ascii="Times New Roman" w:hAnsi="Times New Roman" w:cs="Times New Roman"/>
        </w:rPr>
        <w:t xml:space="preserve"> of total datalink traffic</w:t>
      </w:r>
      <w:r w:rsidR="00890C1C" w:rsidRPr="00FE4F6E">
        <w:rPr>
          <w:rFonts w:ascii="Times New Roman" w:hAnsi="Times New Roman" w:cs="Times New Roman"/>
        </w:rPr>
        <w:t>.</w:t>
      </w:r>
    </w:p>
  </w:footnote>
  <w:footnote w:id="3">
    <w:p w14:paraId="546739FB" w14:textId="2B26364B" w:rsidR="007D5B6E" w:rsidRPr="00FE4F6E" w:rsidRDefault="007D5B6E">
      <w:pPr>
        <w:pStyle w:val="FootnoteText"/>
        <w:rPr>
          <w:rFonts w:ascii="Times New Roman" w:hAnsi="Times New Roman" w:cs="Times New Roman"/>
        </w:rPr>
      </w:pPr>
      <w:r w:rsidRPr="00FE4F6E">
        <w:rPr>
          <w:rStyle w:val="FootnoteReference"/>
          <w:rFonts w:ascii="Times New Roman" w:hAnsi="Times New Roman" w:cs="Times New Roman"/>
        </w:rPr>
        <w:footnoteRef/>
      </w:r>
      <w:r w:rsidRPr="00FE4F6E">
        <w:rPr>
          <w:rFonts w:ascii="Times New Roman" w:hAnsi="Times New Roman" w:cs="Times New Roman"/>
        </w:rPr>
        <w:t xml:space="preserve"> Some stations can provide coverage </w:t>
      </w:r>
      <w:r w:rsidR="00833258">
        <w:rPr>
          <w:rFonts w:ascii="Times New Roman" w:hAnsi="Times New Roman" w:cs="Times New Roman"/>
        </w:rPr>
        <w:t>significantly</w:t>
      </w:r>
      <w:r w:rsidRPr="00FE4F6E">
        <w:rPr>
          <w:rFonts w:ascii="Times New Roman" w:hAnsi="Times New Roman" w:cs="Times New Roman"/>
        </w:rPr>
        <w:t xml:space="preserve"> fu</w:t>
      </w:r>
      <w:r w:rsidR="00BF04F4" w:rsidRPr="00FE4F6E">
        <w:rPr>
          <w:rFonts w:ascii="Times New Roman" w:hAnsi="Times New Roman" w:cs="Times New Roman"/>
        </w:rPr>
        <w:t>rther than this depending on physical and environmental conditions.</w:t>
      </w:r>
    </w:p>
  </w:footnote>
  <w:footnote w:id="4">
    <w:p w14:paraId="6944495C" w14:textId="2B912990" w:rsidR="00CD236D" w:rsidRPr="00FE4F6E" w:rsidRDefault="00CD236D" w:rsidP="00CD236D">
      <w:pPr>
        <w:pStyle w:val="FootnoteText"/>
        <w:rPr>
          <w:rFonts w:ascii="Times New Roman" w:hAnsi="Times New Roman" w:cs="Times New Roman"/>
        </w:rPr>
      </w:pPr>
      <w:r w:rsidRPr="00FE4F6E">
        <w:rPr>
          <w:rStyle w:val="FootnoteReference"/>
          <w:rFonts w:ascii="Times New Roman" w:hAnsi="Times New Roman" w:cs="Times New Roman"/>
        </w:rPr>
        <w:footnoteRef/>
      </w:r>
      <w:r w:rsidRPr="00FE4F6E">
        <w:rPr>
          <w:rFonts w:ascii="Times New Roman" w:hAnsi="Times New Roman" w:cs="Times New Roman"/>
        </w:rPr>
        <w:t xml:space="preserve"> Based on the current ITU-R draft report for 1.7 using the airborne receiving function sensitivity of 30 microvolts per meter for voice and −120 dBW/m² for VDLM2, and then their corresponding D/U ratio</w:t>
      </w:r>
      <w:r w:rsidR="00F44677">
        <w:rPr>
          <w:rFonts w:ascii="Times New Roman" w:hAnsi="Times New Roman" w:cs="Times New Roman"/>
        </w:rPr>
        <w:t>s</w:t>
      </w:r>
      <w:r w:rsidRPr="00FE4F6E">
        <w:rPr>
          <w:rFonts w:ascii="Times New Roman" w:hAnsi="Times New Roman" w:cs="Times New Roman"/>
        </w:rPr>
        <w:t xml:space="preserve"> of 15 and 20 dB respectively</w:t>
      </w:r>
      <w:r w:rsidR="00F44677">
        <w:rPr>
          <w:rFonts w:ascii="Times New Roman" w:hAnsi="Times New Roman" w:cs="Times New Roman"/>
        </w:rPr>
        <w:t xml:space="preserve"> to </w:t>
      </w:r>
      <w:r w:rsidR="002841B4">
        <w:rPr>
          <w:rFonts w:ascii="Times New Roman" w:hAnsi="Times New Roman" w:cs="Times New Roman"/>
        </w:rPr>
        <w:t xml:space="preserve">receive/decode messages </w:t>
      </w:r>
      <w:r w:rsidR="00EB73D6">
        <w:rPr>
          <w:rFonts w:ascii="Times New Roman" w:hAnsi="Times New Roman" w:cs="Times New Roman"/>
        </w:rPr>
        <w:t>successfully</w:t>
      </w:r>
      <w:r w:rsidRPr="00FE4F6E">
        <w:rPr>
          <w:rFonts w:ascii="Times New Roman" w:hAnsi="Times New Roman" w:cs="Times New Roman"/>
        </w:rPr>
        <w:t xml:space="preserve">.  </w:t>
      </w:r>
      <w:hyperlink r:id="rId1" w:history="1">
        <w:r w:rsidRPr="00FE4F6E">
          <w:rPr>
            <w:rStyle w:val="Hyperlink"/>
            <w:rFonts w:ascii="Times New Roman" w:hAnsi="Times New Roman" w:cs="Times New Roman"/>
          </w:rPr>
          <w:t>https://www.itu.int/dms_ties/itu-r/md/19/wp5b/c/R19-WP5B-C-0481!N33!MSW-E.docx</w:t>
        </w:r>
      </w:hyperlink>
      <w:r w:rsidRPr="00FE4F6E">
        <w:rPr>
          <w:rFonts w:ascii="Times New Roman" w:hAnsi="Times New Roman" w:cs="Times New Roman"/>
        </w:rPr>
        <w:t xml:space="preserve"> </w:t>
      </w:r>
    </w:p>
  </w:footnote>
  <w:footnote w:id="5">
    <w:p w14:paraId="7BBF4182" w14:textId="77777777" w:rsidR="00CD236D" w:rsidRPr="00EB73D6" w:rsidRDefault="00CD236D" w:rsidP="00CD236D">
      <w:pPr>
        <w:pStyle w:val="FootnoteText"/>
        <w:rPr>
          <w:rFonts w:ascii="Times New Roman" w:hAnsi="Times New Roman" w:cs="Times New Roman"/>
        </w:rPr>
      </w:pPr>
      <w:r w:rsidRPr="00EB73D6">
        <w:rPr>
          <w:rStyle w:val="FootnoteReference"/>
          <w:rFonts w:ascii="Times New Roman" w:hAnsi="Times New Roman" w:cs="Times New Roman"/>
        </w:rPr>
        <w:footnoteRef/>
      </w:r>
      <w:r w:rsidRPr="00EB73D6">
        <w:rPr>
          <w:rFonts w:ascii="Times New Roman" w:hAnsi="Times New Roman" w:cs="Times New Roman"/>
        </w:rPr>
        <w:t xml:space="preserve"> It is assumed that SATCOM coverage planning would incorporate any additional margin to overcome differences in propagation losses, aircraft antenna directivity variations, and suitable overlap in coverage for such a transition rather than the minimum signal possible (assumed to be between the 200-250 NM boundaries for the USA).  Furthermore, signals from the SATCOM system would likely propagate further than normal terrestrial links given the reduced effects of RLOS losses from the transmission of 600 km LEO constellations.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C2DC" w14:textId="0A3EC344" w:rsidR="00770160" w:rsidRDefault="000D26D5" w:rsidP="00F56F90">
    <w:pPr>
      <w:tabs>
        <w:tab w:val="center" w:pos="4876"/>
      </w:tabs>
      <w:spacing w:after="600"/>
    </w:pPr>
    <w:r>
      <w:t>FS</w:t>
    </w:r>
    <w:r w:rsidR="00725205">
      <w:t>MP</w:t>
    </w:r>
    <w:r w:rsidR="007E6A06">
      <w:t>-WG</w:t>
    </w:r>
    <w:r w:rsidR="00770160">
      <w:t>/</w:t>
    </w:r>
    <w:r w:rsidR="00C32F4A">
      <w:t>1</w:t>
    </w:r>
    <w:r w:rsidR="00633265">
      <w:t>3</w:t>
    </w:r>
    <w:r w:rsidR="007E6A06">
      <w:t xml:space="preserve"> </w:t>
    </w:r>
    <w:r w:rsidR="00770160">
      <w:t>WP/</w:t>
    </w:r>
    <w:r w:rsidR="00D33AB9">
      <w:t>15</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885035">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060A" w14:textId="5B15ECEF"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885035">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725B2A">
      <w:t>3</w:t>
    </w:r>
    <w:r w:rsidR="007E6A06">
      <w:t xml:space="preserve"> </w:t>
    </w:r>
    <w:r>
      <w:t>WP/</w:t>
    </w:r>
    <w:r w:rsidR="00D33AB9">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52861844" w14:textId="77777777" w:rsidTr="00664C07">
      <w:trPr>
        <w:trHeight w:val="1790"/>
      </w:trPr>
      <w:tc>
        <w:tcPr>
          <w:tcW w:w="1915" w:type="dxa"/>
          <w:shd w:val="clear" w:color="auto" w:fill="FFFFFF"/>
        </w:tcPr>
        <w:p w14:paraId="654DDB47" w14:textId="3E15CB24" w:rsidR="00920C27" w:rsidRDefault="00AE6DD9" w:rsidP="00664C07">
          <w:bookmarkStart w:id="2" w:name="logo"/>
          <w:r w:rsidRPr="00484298">
            <w:rPr>
              <w:noProof/>
              <w:lang w:eastAsia="zh-CN"/>
            </w:rPr>
            <w:drawing>
              <wp:inline distT="0" distB="0" distL="0" distR="0" wp14:anchorId="5BF15C64" wp14:editId="3396DFD5">
                <wp:extent cx="1089660" cy="86868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68680"/>
                        </a:xfrm>
                        <a:prstGeom prst="rect">
                          <a:avLst/>
                        </a:prstGeom>
                        <a:noFill/>
                        <a:ln>
                          <a:noFill/>
                        </a:ln>
                      </pic:spPr>
                    </pic:pic>
                  </a:graphicData>
                </a:graphic>
              </wp:inline>
            </w:drawing>
          </w:r>
          <w:bookmarkEnd w:id="2"/>
        </w:p>
      </w:tc>
      <w:tc>
        <w:tcPr>
          <w:tcW w:w="3895" w:type="dxa"/>
          <w:shd w:val="clear" w:color="auto" w:fill="FFFFFF"/>
          <w:tcMar>
            <w:right w:w="0" w:type="dxa"/>
          </w:tcMar>
        </w:tcPr>
        <w:p w14:paraId="76E228E0" w14:textId="2C368212" w:rsidR="00920C27" w:rsidRPr="00066AB7" w:rsidRDefault="00AE6DD9"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8240" behindDoc="0" locked="0" layoutInCell="1" allowOverlap="1" wp14:anchorId="557242EA" wp14:editId="792C1BE1">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993DD"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5D4723C4"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D3402ED" w14:textId="77777777" w:rsidR="00920C27" w:rsidRPr="00066AB7" w:rsidRDefault="00920C27" w:rsidP="00664C07">
          <w:pPr>
            <w:rPr>
              <w:rFonts w:ascii="Arial" w:hAnsi="Arial" w:cs="Arial"/>
              <w:szCs w:val="22"/>
            </w:rPr>
          </w:pPr>
        </w:p>
        <w:p w14:paraId="1F610715"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6283B5AA" w14:textId="77777777" w:rsidTr="00664C07">
            <w:trPr>
              <w:jc w:val="right"/>
            </w:trPr>
            <w:tc>
              <w:tcPr>
                <w:tcW w:w="0" w:type="auto"/>
              </w:tcPr>
              <w:p w14:paraId="685960F5" w14:textId="764CB972" w:rsidR="00920C27" w:rsidRPr="00066AB7" w:rsidRDefault="000D26D5" w:rsidP="00D33AB9">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633265">
                  <w:rPr>
                    <w:szCs w:val="22"/>
                  </w:rPr>
                  <w:t>3</w:t>
                </w:r>
                <w:r w:rsidR="007E6A06">
                  <w:rPr>
                    <w:szCs w:val="22"/>
                  </w:rPr>
                  <w:t xml:space="preserve"> </w:t>
                </w:r>
                <w:r w:rsidR="00920C27" w:rsidRPr="00066AB7">
                  <w:rPr>
                    <w:szCs w:val="22"/>
                  </w:rPr>
                  <w:t>WP/</w:t>
                </w:r>
                <w:bookmarkEnd w:id="3"/>
                <w:r w:rsidR="00D33AB9">
                  <w:rPr>
                    <w:szCs w:val="22"/>
                  </w:rPr>
                  <w:t>15</w:t>
                </w:r>
              </w:p>
              <w:p w14:paraId="47E976E9" w14:textId="72CD8B57" w:rsidR="00920C27" w:rsidRPr="00066AB7" w:rsidRDefault="00885035" w:rsidP="00D33AB9">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w:t>
                </w:r>
                <w:bookmarkStart w:id="9" w:name="info_paper"/>
                <w:bookmarkEnd w:id="9"/>
                <w:r w:rsidR="00D33AB9">
                  <w:rPr>
                    <w:sz w:val="18"/>
                    <w:szCs w:val="18"/>
                  </w:rPr>
                  <w:t>2-02-14</w:t>
                </w:r>
              </w:p>
            </w:tc>
          </w:tr>
          <w:tr w:rsidR="00920C27" w14:paraId="4B12903E" w14:textId="77777777" w:rsidTr="00664C07">
            <w:trPr>
              <w:jc w:val="right"/>
            </w:trPr>
            <w:tc>
              <w:tcPr>
                <w:tcW w:w="0" w:type="auto"/>
              </w:tcPr>
              <w:p w14:paraId="71DD1F9C" w14:textId="77777777" w:rsidR="00920C27" w:rsidRPr="00066AB7" w:rsidRDefault="00920C27" w:rsidP="00D33AB9">
                <w:pPr>
                  <w:framePr w:hSpace="180" w:wrap="around" w:vAnchor="text" w:hAnchor="text" w:y="1"/>
                  <w:suppressOverlap/>
                  <w:jc w:val="left"/>
                  <w:rPr>
                    <w:szCs w:val="22"/>
                  </w:rPr>
                </w:pPr>
              </w:p>
            </w:tc>
          </w:tr>
        </w:tbl>
        <w:p w14:paraId="22347C02"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112B1E1A" w14:textId="44D3A360" w:rsidR="00770160" w:rsidRDefault="00A12CBA" w:rsidP="00D33AB9">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4C8019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240F17D4"/>
    <w:multiLevelType w:val="multilevel"/>
    <w:tmpl w:val="D0A4D994"/>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5C7CAB"/>
    <w:multiLevelType w:val="hybridMultilevel"/>
    <w:tmpl w:val="504C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4B931C8E"/>
    <w:multiLevelType w:val="hybridMultilevel"/>
    <w:tmpl w:val="561E1B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90698A"/>
    <w:multiLevelType w:val="hybridMultilevel"/>
    <w:tmpl w:val="56EC2A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648B6"/>
    <w:multiLevelType w:val="hybridMultilevel"/>
    <w:tmpl w:val="632ADCD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1" w15:restartNumberingAfterBreak="0">
    <w:nsid w:val="68B823E3"/>
    <w:multiLevelType w:val="hybridMultilevel"/>
    <w:tmpl w:val="E902893C"/>
    <w:lvl w:ilvl="0" w:tplc="42343E7C">
      <w:start w:val="1"/>
      <w:numFmt w:val="bullet"/>
      <w:lvlText w:val="•"/>
      <w:lvlJc w:val="left"/>
      <w:pPr>
        <w:tabs>
          <w:tab w:val="num" w:pos="720"/>
        </w:tabs>
        <w:ind w:left="720" w:hanging="360"/>
      </w:pPr>
      <w:rPr>
        <w:rFonts w:ascii="Arial" w:hAnsi="Arial" w:cs="Times New Roman" w:hint="default"/>
      </w:rPr>
    </w:lvl>
    <w:lvl w:ilvl="1" w:tplc="7DAEF47A">
      <w:numFmt w:val="bullet"/>
      <w:lvlText w:val="–"/>
      <w:lvlJc w:val="left"/>
      <w:pPr>
        <w:tabs>
          <w:tab w:val="num" w:pos="1440"/>
        </w:tabs>
        <w:ind w:left="1440" w:hanging="360"/>
      </w:pPr>
      <w:rPr>
        <w:rFonts w:ascii="Arial" w:hAnsi="Arial" w:cs="Times New Roman" w:hint="default"/>
      </w:rPr>
    </w:lvl>
    <w:lvl w:ilvl="2" w:tplc="7E90DA1C">
      <w:start w:val="1"/>
      <w:numFmt w:val="bullet"/>
      <w:lvlText w:val="•"/>
      <w:lvlJc w:val="left"/>
      <w:pPr>
        <w:tabs>
          <w:tab w:val="num" w:pos="2160"/>
        </w:tabs>
        <w:ind w:left="2160" w:hanging="360"/>
      </w:pPr>
      <w:rPr>
        <w:rFonts w:ascii="Arial" w:hAnsi="Arial" w:cs="Times New Roman" w:hint="default"/>
      </w:rPr>
    </w:lvl>
    <w:lvl w:ilvl="3" w:tplc="12742992">
      <w:start w:val="1"/>
      <w:numFmt w:val="bullet"/>
      <w:lvlText w:val="•"/>
      <w:lvlJc w:val="left"/>
      <w:pPr>
        <w:tabs>
          <w:tab w:val="num" w:pos="2880"/>
        </w:tabs>
        <w:ind w:left="2880" w:hanging="360"/>
      </w:pPr>
      <w:rPr>
        <w:rFonts w:ascii="Arial" w:hAnsi="Arial" w:cs="Times New Roman" w:hint="default"/>
      </w:rPr>
    </w:lvl>
    <w:lvl w:ilvl="4" w:tplc="2938AEA2">
      <w:start w:val="1"/>
      <w:numFmt w:val="bullet"/>
      <w:lvlText w:val="•"/>
      <w:lvlJc w:val="left"/>
      <w:pPr>
        <w:tabs>
          <w:tab w:val="num" w:pos="3600"/>
        </w:tabs>
        <w:ind w:left="3600" w:hanging="360"/>
      </w:pPr>
      <w:rPr>
        <w:rFonts w:ascii="Arial" w:hAnsi="Arial" w:cs="Times New Roman" w:hint="default"/>
      </w:rPr>
    </w:lvl>
    <w:lvl w:ilvl="5" w:tplc="0DBC331A">
      <w:start w:val="1"/>
      <w:numFmt w:val="bullet"/>
      <w:lvlText w:val="•"/>
      <w:lvlJc w:val="left"/>
      <w:pPr>
        <w:tabs>
          <w:tab w:val="num" w:pos="4320"/>
        </w:tabs>
        <w:ind w:left="4320" w:hanging="360"/>
      </w:pPr>
      <w:rPr>
        <w:rFonts w:ascii="Arial" w:hAnsi="Arial" w:cs="Times New Roman" w:hint="default"/>
      </w:rPr>
    </w:lvl>
    <w:lvl w:ilvl="6" w:tplc="C0642DA0">
      <w:start w:val="1"/>
      <w:numFmt w:val="bullet"/>
      <w:lvlText w:val="•"/>
      <w:lvlJc w:val="left"/>
      <w:pPr>
        <w:tabs>
          <w:tab w:val="num" w:pos="5040"/>
        </w:tabs>
        <w:ind w:left="5040" w:hanging="360"/>
      </w:pPr>
      <w:rPr>
        <w:rFonts w:ascii="Arial" w:hAnsi="Arial" w:cs="Times New Roman" w:hint="default"/>
      </w:rPr>
    </w:lvl>
    <w:lvl w:ilvl="7" w:tplc="DDEC3088">
      <w:start w:val="1"/>
      <w:numFmt w:val="bullet"/>
      <w:lvlText w:val="•"/>
      <w:lvlJc w:val="left"/>
      <w:pPr>
        <w:tabs>
          <w:tab w:val="num" w:pos="5760"/>
        </w:tabs>
        <w:ind w:left="5760" w:hanging="360"/>
      </w:pPr>
      <w:rPr>
        <w:rFonts w:ascii="Arial" w:hAnsi="Arial" w:cs="Times New Roman" w:hint="default"/>
      </w:rPr>
    </w:lvl>
    <w:lvl w:ilvl="8" w:tplc="5B1CCF14">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6ABA2C9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B4507EF"/>
    <w:multiLevelType w:val="multilevel"/>
    <w:tmpl w:val="2828E576"/>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7A2B0D57"/>
    <w:multiLevelType w:val="multilevel"/>
    <w:tmpl w:val="D0A4D994"/>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6"/>
  </w:num>
  <w:num w:numId="2">
    <w:abstractNumId w:val="10"/>
  </w:num>
  <w:num w:numId="3">
    <w:abstractNumId w:val="2"/>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9"/>
  </w:num>
  <w:num w:numId="9">
    <w:abstractNumId w:val="11"/>
  </w:num>
  <w:num w:numId="10">
    <w:abstractNumId w:val="14"/>
  </w:num>
  <w:num w:numId="11">
    <w:abstractNumId w:val="3"/>
  </w:num>
  <w:num w:numId="12">
    <w:abstractNumId w:val="13"/>
  </w:num>
  <w:num w:numId="13">
    <w:abstractNumId w:val="12"/>
  </w:num>
  <w:num w:numId="14">
    <w:abstractNumId w:val="5"/>
  </w:num>
  <w:num w:numId="15">
    <w:abstractNumId w:val="1"/>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167D5"/>
    <w:rsid w:val="00016FDA"/>
    <w:rsid w:val="000200A8"/>
    <w:rsid w:val="000222FB"/>
    <w:rsid w:val="000273D2"/>
    <w:rsid w:val="000353FF"/>
    <w:rsid w:val="000510A4"/>
    <w:rsid w:val="00065ECE"/>
    <w:rsid w:val="000709F9"/>
    <w:rsid w:val="00072DCA"/>
    <w:rsid w:val="000818C8"/>
    <w:rsid w:val="00093BC1"/>
    <w:rsid w:val="00095FD3"/>
    <w:rsid w:val="000A6751"/>
    <w:rsid w:val="000D26D5"/>
    <w:rsid w:val="000E218A"/>
    <w:rsid w:val="000F3E47"/>
    <w:rsid w:val="00135B09"/>
    <w:rsid w:val="0014509D"/>
    <w:rsid w:val="0015257C"/>
    <w:rsid w:val="001533D1"/>
    <w:rsid w:val="001566B0"/>
    <w:rsid w:val="00162FB4"/>
    <w:rsid w:val="00187947"/>
    <w:rsid w:val="001905C2"/>
    <w:rsid w:val="001A1E4A"/>
    <w:rsid w:val="001C14AE"/>
    <w:rsid w:val="001D321C"/>
    <w:rsid w:val="001E0246"/>
    <w:rsid w:val="001F4BEF"/>
    <w:rsid w:val="001F6798"/>
    <w:rsid w:val="002016F3"/>
    <w:rsid w:val="00204CFD"/>
    <w:rsid w:val="00211EA8"/>
    <w:rsid w:val="00212B4E"/>
    <w:rsid w:val="00230C88"/>
    <w:rsid w:val="00231860"/>
    <w:rsid w:val="002352A4"/>
    <w:rsid w:val="00242DAB"/>
    <w:rsid w:val="002436DB"/>
    <w:rsid w:val="00245617"/>
    <w:rsid w:val="002467D2"/>
    <w:rsid w:val="002500FF"/>
    <w:rsid w:val="002668C6"/>
    <w:rsid w:val="00270889"/>
    <w:rsid w:val="0027257A"/>
    <w:rsid w:val="00275DE7"/>
    <w:rsid w:val="002801DB"/>
    <w:rsid w:val="002841B4"/>
    <w:rsid w:val="002972C1"/>
    <w:rsid w:val="002A4E54"/>
    <w:rsid w:val="002A50FC"/>
    <w:rsid w:val="002C2D0B"/>
    <w:rsid w:val="002E07DB"/>
    <w:rsid w:val="002E3773"/>
    <w:rsid w:val="002F2097"/>
    <w:rsid w:val="00302EEC"/>
    <w:rsid w:val="0030361A"/>
    <w:rsid w:val="0032342B"/>
    <w:rsid w:val="00332966"/>
    <w:rsid w:val="00333A79"/>
    <w:rsid w:val="00353E25"/>
    <w:rsid w:val="00355AA1"/>
    <w:rsid w:val="00367AA7"/>
    <w:rsid w:val="003715A0"/>
    <w:rsid w:val="003A75B7"/>
    <w:rsid w:val="003B0F77"/>
    <w:rsid w:val="003B44F3"/>
    <w:rsid w:val="003D156B"/>
    <w:rsid w:val="003D7FD8"/>
    <w:rsid w:val="003E0470"/>
    <w:rsid w:val="003F1716"/>
    <w:rsid w:val="003F1E63"/>
    <w:rsid w:val="00403A02"/>
    <w:rsid w:val="00403B27"/>
    <w:rsid w:val="004042C0"/>
    <w:rsid w:val="00404C5D"/>
    <w:rsid w:val="004158D5"/>
    <w:rsid w:val="00423C6F"/>
    <w:rsid w:val="00450C4A"/>
    <w:rsid w:val="00451A76"/>
    <w:rsid w:val="004553CF"/>
    <w:rsid w:val="004702DF"/>
    <w:rsid w:val="004735BC"/>
    <w:rsid w:val="0049280E"/>
    <w:rsid w:val="00492CD2"/>
    <w:rsid w:val="004C0E7A"/>
    <w:rsid w:val="004C59E8"/>
    <w:rsid w:val="004C6356"/>
    <w:rsid w:val="004E0461"/>
    <w:rsid w:val="004F6F47"/>
    <w:rsid w:val="005006FD"/>
    <w:rsid w:val="00503511"/>
    <w:rsid w:val="00505D44"/>
    <w:rsid w:val="00505F6E"/>
    <w:rsid w:val="00507C1A"/>
    <w:rsid w:val="0051574F"/>
    <w:rsid w:val="00527B40"/>
    <w:rsid w:val="00527D6E"/>
    <w:rsid w:val="00532CAE"/>
    <w:rsid w:val="0054567E"/>
    <w:rsid w:val="00550F42"/>
    <w:rsid w:val="00552B85"/>
    <w:rsid w:val="005818D7"/>
    <w:rsid w:val="005A16B3"/>
    <w:rsid w:val="005D1282"/>
    <w:rsid w:val="005D139D"/>
    <w:rsid w:val="005D1AFC"/>
    <w:rsid w:val="005E53CD"/>
    <w:rsid w:val="0060547C"/>
    <w:rsid w:val="00612B71"/>
    <w:rsid w:val="00624E9C"/>
    <w:rsid w:val="00625E2A"/>
    <w:rsid w:val="00633265"/>
    <w:rsid w:val="00646D45"/>
    <w:rsid w:val="00664C07"/>
    <w:rsid w:val="00686AA2"/>
    <w:rsid w:val="006B3E5A"/>
    <w:rsid w:val="006B6614"/>
    <w:rsid w:val="006C5B01"/>
    <w:rsid w:val="006C7315"/>
    <w:rsid w:val="006D600A"/>
    <w:rsid w:val="006E0E4F"/>
    <w:rsid w:val="006F55E0"/>
    <w:rsid w:val="00714149"/>
    <w:rsid w:val="00717F40"/>
    <w:rsid w:val="00725205"/>
    <w:rsid w:val="00725B2A"/>
    <w:rsid w:val="00760654"/>
    <w:rsid w:val="00760A82"/>
    <w:rsid w:val="00765236"/>
    <w:rsid w:val="00770160"/>
    <w:rsid w:val="007737DC"/>
    <w:rsid w:val="0077791B"/>
    <w:rsid w:val="007A566B"/>
    <w:rsid w:val="007B0D6F"/>
    <w:rsid w:val="007C3E8F"/>
    <w:rsid w:val="007D0130"/>
    <w:rsid w:val="007D212F"/>
    <w:rsid w:val="007D2D7F"/>
    <w:rsid w:val="007D5B6E"/>
    <w:rsid w:val="007E0E43"/>
    <w:rsid w:val="007E6A06"/>
    <w:rsid w:val="007F113C"/>
    <w:rsid w:val="008019B3"/>
    <w:rsid w:val="00815E06"/>
    <w:rsid w:val="008273FC"/>
    <w:rsid w:val="0083216C"/>
    <w:rsid w:val="00833258"/>
    <w:rsid w:val="00836C62"/>
    <w:rsid w:val="00837E48"/>
    <w:rsid w:val="0085032B"/>
    <w:rsid w:val="00860FB4"/>
    <w:rsid w:val="00872D35"/>
    <w:rsid w:val="00880F0A"/>
    <w:rsid w:val="00885035"/>
    <w:rsid w:val="00890C1C"/>
    <w:rsid w:val="00896451"/>
    <w:rsid w:val="0089773F"/>
    <w:rsid w:val="008B391F"/>
    <w:rsid w:val="008B54C4"/>
    <w:rsid w:val="008C0DAA"/>
    <w:rsid w:val="008D1C72"/>
    <w:rsid w:val="008D32B6"/>
    <w:rsid w:val="008D5213"/>
    <w:rsid w:val="008E7EC3"/>
    <w:rsid w:val="008F7414"/>
    <w:rsid w:val="0090204A"/>
    <w:rsid w:val="00904F2C"/>
    <w:rsid w:val="00910ED3"/>
    <w:rsid w:val="00915148"/>
    <w:rsid w:val="00920B80"/>
    <w:rsid w:val="00920C27"/>
    <w:rsid w:val="0093002E"/>
    <w:rsid w:val="00944F9D"/>
    <w:rsid w:val="00950F69"/>
    <w:rsid w:val="00954F7F"/>
    <w:rsid w:val="009602EE"/>
    <w:rsid w:val="009632E3"/>
    <w:rsid w:val="009739E1"/>
    <w:rsid w:val="00984626"/>
    <w:rsid w:val="00991B09"/>
    <w:rsid w:val="009C34EC"/>
    <w:rsid w:val="009D4EC3"/>
    <w:rsid w:val="00A0374E"/>
    <w:rsid w:val="00A03CFF"/>
    <w:rsid w:val="00A04742"/>
    <w:rsid w:val="00A12CBA"/>
    <w:rsid w:val="00A1547E"/>
    <w:rsid w:val="00A156A1"/>
    <w:rsid w:val="00A211BE"/>
    <w:rsid w:val="00A232A8"/>
    <w:rsid w:val="00A30875"/>
    <w:rsid w:val="00A50630"/>
    <w:rsid w:val="00A546F1"/>
    <w:rsid w:val="00A64333"/>
    <w:rsid w:val="00A85169"/>
    <w:rsid w:val="00A9278B"/>
    <w:rsid w:val="00A95385"/>
    <w:rsid w:val="00A956D4"/>
    <w:rsid w:val="00AB0BE0"/>
    <w:rsid w:val="00AB3F57"/>
    <w:rsid w:val="00AC2F12"/>
    <w:rsid w:val="00AE3F72"/>
    <w:rsid w:val="00AE4334"/>
    <w:rsid w:val="00AE6DD9"/>
    <w:rsid w:val="00AF0AFE"/>
    <w:rsid w:val="00B023AC"/>
    <w:rsid w:val="00B80A79"/>
    <w:rsid w:val="00BA2EAD"/>
    <w:rsid w:val="00BC5391"/>
    <w:rsid w:val="00BE4148"/>
    <w:rsid w:val="00BF04F4"/>
    <w:rsid w:val="00BF5D30"/>
    <w:rsid w:val="00C1240D"/>
    <w:rsid w:val="00C152D6"/>
    <w:rsid w:val="00C25F38"/>
    <w:rsid w:val="00C2608A"/>
    <w:rsid w:val="00C315D3"/>
    <w:rsid w:val="00C32F4A"/>
    <w:rsid w:val="00C35895"/>
    <w:rsid w:val="00C42F95"/>
    <w:rsid w:val="00C44082"/>
    <w:rsid w:val="00C47E5D"/>
    <w:rsid w:val="00C5325A"/>
    <w:rsid w:val="00C6325D"/>
    <w:rsid w:val="00C63DAB"/>
    <w:rsid w:val="00C66993"/>
    <w:rsid w:val="00C6716F"/>
    <w:rsid w:val="00C73C36"/>
    <w:rsid w:val="00C746DD"/>
    <w:rsid w:val="00C75EF6"/>
    <w:rsid w:val="00C76A47"/>
    <w:rsid w:val="00C8218B"/>
    <w:rsid w:val="00C82EF2"/>
    <w:rsid w:val="00C87C59"/>
    <w:rsid w:val="00C90D94"/>
    <w:rsid w:val="00C9457E"/>
    <w:rsid w:val="00CB0ED3"/>
    <w:rsid w:val="00CB6635"/>
    <w:rsid w:val="00CC0472"/>
    <w:rsid w:val="00CD236D"/>
    <w:rsid w:val="00CD292B"/>
    <w:rsid w:val="00CD3B5B"/>
    <w:rsid w:val="00CF5C7A"/>
    <w:rsid w:val="00CF702B"/>
    <w:rsid w:val="00CF72A2"/>
    <w:rsid w:val="00D07612"/>
    <w:rsid w:val="00D14008"/>
    <w:rsid w:val="00D14EA9"/>
    <w:rsid w:val="00D22255"/>
    <w:rsid w:val="00D327FE"/>
    <w:rsid w:val="00D33AB9"/>
    <w:rsid w:val="00D50EC6"/>
    <w:rsid w:val="00D52013"/>
    <w:rsid w:val="00D80816"/>
    <w:rsid w:val="00D8375B"/>
    <w:rsid w:val="00D85CD5"/>
    <w:rsid w:val="00D86061"/>
    <w:rsid w:val="00D926B4"/>
    <w:rsid w:val="00D94FD3"/>
    <w:rsid w:val="00DA654F"/>
    <w:rsid w:val="00DA7964"/>
    <w:rsid w:val="00DC2FFE"/>
    <w:rsid w:val="00DC5270"/>
    <w:rsid w:val="00DE00C5"/>
    <w:rsid w:val="00DE6F9D"/>
    <w:rsid w:val="00DF0066"/>
    <w:rsid w:val="00DF76D3"/>
    <w:rsid w:val="00E24196"/>
    <w:rsid w:val="00E43B7B"/>
    <w:rsid w:val="00E7263C"/>
    <w:rsid w:val="00E77340"/>
    <w:rsid w:val="00E8131A"/>
    <w:rsid w:val="00EA2E92"/>
    <w:rsid w:val="00EB1EAC"/>
    <w:rsid w:val="00EB31D3"/>
    <w:rsid w:val="00EB6C19"/>
    <w:rsid w:val="00EB6F3F"/>
    <w:rsid w:val="00EB73D6"/>
    <w:rsid w:val="00ED2C05"/>
    <w:rsid w:val="00ED4FC3"/>
    <w:rsid w:val="00EE5CA1"/>
    <w:rsid w:val="00EF44CD"/>
    <w:rsid w:val="00F1083F"/>
    <w:rsid w:val="00F10A06"/>
    <w:rsid w:val="00F26B76"/>
    <w:rsid w:val="00F3687B"/>
    <w:rsid w:val="00F43AB6"/>
    <w:rsid w:val="00F44677"/>
    <w:rsid w:val="00F450F2"/>
    <w:rsid w:val="00F56F90"/>
    <w:rsid w:val="00F60612"/>
    <w:rsid w:val="00F61B67"/>
    <w:rsid w:val="00F6489C"/>
    <w:rsid w:val="00F7187E"/>
    <w:rsid w:val="00F73EFE"/>
    <w:rsid w:val="00F975FD"/>
    <w:rsid w:val="00FA53D2"/>
    <w:rsid w:val="00FB1CCB"/>
    <w:rsid w:val="00FB3E22"/>
    <w:rsid w:val="00FC2557"/>
    <w:rsid w:val="00FC3AD2"/>
    <w:rsid w:val="00FC624E"/>
    <w:rsid w:val="00FC705D"/>
    <w:rsid w:val="00FE4F6E"/>
    <w:rsid w:val="00FE7D84"/>
    <w:rsid w:val="00FF1252"/>
    <w:rsid w:val="00FF4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9628B"/>
  <w15:chartTrackingRefBased/>
  <w15:docId w15:val="{12219B5D-3DFB-4AA8-BB9C-E2D3EEA4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5"/>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right="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rPr>
  </w:style>
  <w:style w:type="character" w:customStyle="1" w:styleId="BalloonTextChar">
    <w:name w:val="Balloon Text Char"/>
    <w:link w:val="BalloonText"/>
    <w:rsid w:val="00EB1EAC"/>
    <w:rPr>
      <w:sz w:val="18"/>
      <w:szCs w:val="18"/>
      <w:lang w:val="en-GB"/>
    </w:rPr>
  </w:style>
  <w:style w:type="paragraph" w:styleId="FootnoteText">
    <w:name w:val="footnote text"/>
    <w:basedOn w:val="Normal"/>
    <w:link w:val="FootnoteTextChar"/>
    <w:uiPriority w:val="99"/>
    <w:unhideWhenUsed/>
    <w:rsid w:val="00CD236D"/>
    <w:pPr>
      <w:jc w:val="left"/>
    </w:pPr>
    <w:rPr>
      <w:rFonts w:ascii="Calibri" w:eastAsia="Calibri" w:hAnsi="Calibri" w:cs="Calibri"/>
      <w:sz w:val="20"/>
    </w:rPr>
  </w:style>
  <w:style w:type="character" w:customStyle="1" w:styleId="FootnoteTextChar">
    <w:name w:val="Footnote Text Char"/>
    <w:basedOn w:val="DefaultParagraphFont"/>
    <w:link w:val="FootnoteText"/>
    <w:uiPriority w:val="99"/>
    <w:rsid w:val="00CD236D"/>
    <w:rPr>
      <w:rFonts w:ascii="Calibri" w:eastAsia="Calibri" w:hAnsi="Calibri" w:cs="Calibri"/>
    </w:rPr>
  </w:style>
  <w:style w:type="character" w:styleId="FootnoteReference">
    <w:name w:val="footnote reference"/>
    <w:uiPriority w:val="99"/>
    <w:unhideWhenUsed/>
    <w:rsid w:val="00CD236D"/>
    <w:rPr>
      <w:vertAlign w:val="superscript"/>
    </w:rPr>
  </w:style>
  <w:style w:type="character" w:styleId="Hyperlink">
    <w:name w:val="Hyperlink"/>
    <w:uiPriority w:val="99"/>
    <w:unhideWhenUsed/>
    <w:rsid w:val="00CD236D"/>
    <w:rPr>
      <w:color w:val="0563C1"/>
      <w:u w:val="single"/>
    </w:rPr>
  </w:style>
  <w:style w:type="paragraph" w:styleId="ListParagraph">
    <w:name w:val="List Paragraph"/>
    <w:basedOn w:val="Normal"/>
    <w:uiPriority w:val="34"/>
    <w:qFormat/>
    <w:rsid w:val="00624E9C"/>
    <w:pPr>
      <w:ind w:left="720"/>
      <w:contextualSpacing/>
      <w:jc w:val="left"/>
    </w:pPr>
    <w:rPr>
      <w:rFonts w:ascii="Calibri" w:eastAsia="Calibri" w:hAnsi="Calibri" w:cs="Calibri"/>
      <w:szCs w:val="22"/>
    </w:rPr>
  </w:style>
  <w:style w:type="paragraph" w:styleId="Revision">
    <w:name w:val="Revision"/>
    <w:hidden/>
    <w:uiPriority w:val="99"/>
    <w:semiHidden/>
    <w:rsid w:val="00915148"/>
    <w:rPr>
      <w:sz w:val="22"/>
    </w:rPr>
  </w:style>
  <w:style w:type="character" w:styleId="CommentReference">
    <w:name w:val="annotation reference"/>
    <w:basedOn w:val="DefaultParagraphFont"/>
    <w:rsid w:val="00D14EA9"/>
    <w:rPr>
      <w:sz w:val="16"/>
      <w:szCs w:val="16"/>
    </w:rPr>
  </w:style>
  <w:style w:type="paragraph" w:styleId="CommentText">
    <w:name w:val="annotation text"/>
    <w:basedOn w:val="Normal"/>
    <w:link w:val="CommentTextChar"/>
    <w:rsid w:val="00D14EA9"/>
    <w:rPr>
      <w:sz w:val="20"/>
    </w:rPr>
  </w:style>
  <w:style w:type="character" w:customStyle="1" w:styleId="CommentTextChar">
    <w:name w:val="Comment Text Char"/>
    <w:basedOn w:val="DefaultParagraphFont"/>
    <w:link w:val="CommentText"/>
    <w:rsid w:val="00D14EA9"/>
  </w:style>
  <w:style w:type="paragraph" w:styleId="CommentSubject">
    <w:name w:val="annotation subject"/>
    <w:basedOn w:val="CommentText"/>
    <w:next w:val="CommentText"/>
    <w:link w:val="CommentSubjectChar"/>
    <w:rsid w:val="00D14EA9"/>
    <w:rPr>
      <w:b/>
      <w:bCs/>
    </w:rPr>
  </w:style>
  <w:style w:type="character" w:customStyle="1" w:styleId="CommentSubjectChar">
    <w:name w:val="Comment Subject Char"/>
    <w:basedOn w:val="CommentTextChar"/>
    <w:link w:val="CommentSubject"/>
    <w:rsid w:val="00D14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dms_ties/itu-r/md/19/wp5b/c/R19-WP5B-C-0481!N33!MSW-E.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CD1F2-FDB9-41F8-ADD2-E9E264C7B750}">
  <ds:schemaRefs>
    <ds:schemaRef ds:uri="http://schemas.openxmlformats.org/officeDocument/2006/bibliography"/>
  </ds:schemaRefs>
</ds:datastoreItem>
</file>

<file path=customXml/itemProps2.xml><?xml version="1.0" encoding="utf-8"?>
<ds:datastoreItem xmlns:ds="http://schemas.openxmlformats.org/officeDocument/2006/customXml" ds:itemID="{98E5ECE8-57A2-4859-A0D0-6524F632BE27}"/>
</file>

<file path=customXml/itemProps3.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4.xml><?xml version="1.0" encoding="utf-8"?>
<ds:datastoreItem xmlns:ds="http://schemas.openxmlformats.org/officeDocument/2006/customXml" ds:itemID="{C97EF3BE-609D-47AA-8C61-3177B5ADF0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555</TotalTime>
  <Pages>5</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12763</CharactersWithSpaces>
  <SharedDoc>false</SharedDoc>
  <HLinks>
    <vt:vector size="6" baseType="variant">
      <vt:variant>
        <vt:i4>1900604</vt:i4>
      </vt:variant>
      <vt:variant>
        <vt:i4>0</vt:i4>
      </vt:variant>
      <vt:variant>
        <vt:i4>0</vt:i4>
      </vt:variant>
      <vt:variant>
        <vt:i4>5</vt:i4>
      </vt:variant>
      <vt:variant>
        <vt:lpwstr>https://www.itu.int/dms_ties/itu-r/md/19/wp5b/c/R19-WP5B-C-0481!N33!MSW-E.docx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196</cp:revision>
  <cp:lastPrinted>2005-03-16T15:26:00Z</cp:lastPrinted>
  <dcterms:created xsi:type="dcterms:W3CDTF">2022-02-14T11:53:00Z</dcterms:created>
  <dcterms:modified xsi:type="dcterms:W3CDTF">2022-02-15T01:39:00Z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