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CC996" w14:textId="77777777" w:rsidR="00C32F4A" w:rsidRDefault="00C32F4A" w:rsidP="00C32F4A">
      <w:pPr>
        <w:jc w:val="center"/>
        <w:rPr>
          <w:b/>
        </w:rPr>
      </w:pPr>
      <w:r>
        <w:rPr>
          <w:b/>
        </w:rPr>
        <w:t>FREQUENCY SPECTRUM MANAGEMENT PANEL (FSMP)</w:t>
      </w:r>
    </w:p>
    <w:p w14:paraId="024E54D7" w14:textId="77777777" w:rsidR="00C32F4A" w:rsidRDefault="00C32F4A" w:rsidP="00C32F4A">
      <w:pPr>
        <w:tabs>
          <w:tab w:val="left" w:pos="6972"/>
        </w:tabs>
        <w:jc w:val="center"/>
        <w:rPr>
          <w:b/>
        </w:rPr>
      </w:pPr>
    </w:p>
    <w:p w14:paraId="12196B50" w14:textId="77777777" w:rsidR="00E5621A" w:rsidRDefault="00E5621A" w:rsidP="00E5621A">
      <w:pPr>
        <w:pStyle w:val="Maintitle"/>
      </w:pPr>
      <w:r>
        <w:t>Sixteenth Working Group meeting</w:t>
      </w:r>
    </w:p>
    <w:p w14:paraId="7436A02C" w14:textId="77777777" w:rsidR="00E5621A" w:rsidRDefault="00E5621A" w:rsidP="00E5621A"/>
    <w:p w14:paraId="6EABAD18" w14:textId="77777777" w:rsidR="00E5621A" w:rsidRDefault="00E5621A" w:rsidP="00E5621A">
      <w:pPr>
        <w:jc w:val="center"/>
        <w:rPr>
          <w:b/>
          <w:bCs/>
          <w:szCs w:val="22"/>
        </w:rPr>
      </w:pPr>
      <w:bookmarkStart w:id="0" w:name="agenda_item"/>
      <w:bookmarkEnd w:id="0"/>
      <w:r>
        <w:rPr>
          <w:b/>
          <w:bCs/>
          <w:szCs w:val="22"/>
        </w:rPr>
        <w:t>Bangkok, Thailand, 15 – 24 February 2023</w:t>
      </w:r>
    </w:p>
    <w:p w14:paraId="4B1C6E53" w14:textId="77777777" w:rsidR="00770160" w:rsidRDefault="00770160">
      <w:pPr>
        <w:tabs>
          <w:tab w:val="left" w:pos="0"/>
          <w:tab w:val="left" w:pos="1570"/>
          <w:tab w:val="left" w:pos="1857"/>
        </w:tabs>
      </w:pPr>
    </w:p>
    <w:p w14:paraId="1CC142B1" w14:textId="77777777" w:rsidR="00770160" w:rsidRDefault="00770160">
      <w:pPr>
        <w:tabs>
          <w:tab w:val="left" w:pos="0"/>
          <w:tab w:val="left" w:pos="1570"/>
          <w:tab w:val="left" w:pos="1857"/>
        </w:tabs>
      </w:pPr>
    </w:p>
    <w:p w14:paraId="3D28404A" w14:textId="77777777" w:rsidR="00770160" w:rsidRDefault="00770160">
      <w:pPr>
        <w:pStyle w:val="Agendaitemtitle"/>
        <w:rPr>
          <w:lang w:val="sv-SE"/>
        </w:rPr>
      </w:pPr>
      <w:r>
        <w:rPr>
          <w:lang w:val="sv-SE"/>
        </w:rPr>
        <w:t>Agenda Item ..:</w:t>
      </w:r>
      <w:r>
        <w:rPr>
          <w:lang w:val="sv-SE"/>
        </w:rPr>
        <w:tab/>
        <w:t>Agenda item text</w:t>
      </w:r>
    </w:p>
    <w:p w14:paraId="4C37355E" w14:textId="77777777" w:rsidR="00770160" w:rsidRDefault="00770160">
      <w:pPr>
        <w:pStyle w:val="Agendaitemtitle"/>
        <w:rPr>
          <w:b w:val="0"/>
          <w:lang w:val="sv-SE"/>
        </w:rPr>
      </w:pPr>
      <w:bookmarkStart w:id="1" w:name="_GoBack"/>
      <w:bookmarkEnd w:id="1"/>
    </w:p>
    <w:p w14:paraId="7D0732DB" w14:textId="77777777" w:rsidR="00770160" w:rsidRDefault="00770160">
      <w:pPr>
        <w:tabs>
          <w:tab w:val="left" w:pos="6972"/>
        </w:tabs>
        <w:rPr>
          <w:b/>
          <w:lang w:val="sv-SE"/>
        </w:rPr>
      </w:pPr>
    </w:p>
    <w:p w14:paraId="1837085A" w14:textId="22A27972" w:rsidR="00770160" w:rsidRDefault="0067101D">
      <w:pPr>
        <w:pStyle w:val="Maintitle"/>
      </w:pPr>
      <w:r w:rsidRPr="0067101D">
        <w:t xml:space="preserve">Elements </w:t>
      </w:r>
      <w:r w:rsidR="00C01F41">
        <w:t xml:space="preserve">for </w:t>
      </w:r>
      <w:r w:rsidR="006116E5">
        <w:t>t</w:t>
      </w:r>
      <w:r w:rsidRPr="0067101D">
        <w:t xml:space="preserve">he Coordination </w:t>
      </w:r>
      <w:r w:rsidR="006116E5">
        <w:t>a</w:t>
      </w:r>
      <w:r w:rsidRPr="0067101D">
        <w:t xml:space="preserve">nd Planning </w:t>
      </w:r>
      <w:r w:rsidR="006116E5">
        <w:t>o</w:t>
      </w:r>
      <w:r w:rsidRPr="0067101D">
        <w:t xml:space="preserve">f </w:t>
      </w:r>
      <w:r w:rsidR="006116E5">
        <w:t>VDL</w:t>
      </w:r>
      <w:r w:rsidRPr="0067101D">
        <w:t xml:space="preserve"> SATCOM</w:t>
      </w:r>
    </w:p>
    <w:p w14:paraId="124823DD" w14:textId="77777777" w:rsidR="00770160" w:rsidRDefault="00770160">
      <w:pPr>
        <w:tabs>
          <w:tab w:val="left" w:pos="6972"/>
        </w:tabs>
      </w:pPr>
    </w:p>
    <w:p w14:paraId="74948D7A" w14:textId="77777777" w:rsidR="00770160" w:rsidRDefault="00770160">
      <w:pPr>
        <w:tabs>
          <w:tab w:val="left" w:pos="6972"/>
        </w:tabs>
      </w:pPr>
    </w:p>
    <w:p w14:paraId="02048A5E" w14:textId="3F25B8DB" w:rsidR="00770160" w:rsidRDefault="00770160">
      <w:pPr>
        <w:jc w:val="center"/>
      </w:pPr>
      <w:r>
        <w:t>(Presented by</w:t>
      </w:r>
      <w:bookmarkStart w:id="2" w:name="presented_by"/>
      <w:bookmarkEnd w:id="2"/>
      <w:r>
        <w:t xml:space="preserve"> </w:t>
      </w:r>
      <w:r w:rsidR="0067101D">
        <w:t>Andrew Roy, ASRI</w:t>
      </w:r>
      <w:r>
        <w:t>)</w:t>
      </w:r>
    </w:p>
    <w:p w14:paraId="033CF42C" w14:textId="77777777" w:rsidR="00770160" w:rsidRDefault="00770160"/>
    <w:p w14:paraId="546FDC0E"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2EC0D722" w14:textId="77777777">
        <w:trPr>
          <w:cantSplit/>
          <w:trHeight w:hRule="exact" w:val="480"/>
          <w:jc w:val="center"/>
        </w:trPr>
        <w:tc>
          <w:tcPr>
            <w:tcW w:w="7200" w:type="dxa"/>
            <w:vAlign w:val="center"/>
          </w:tcPr>
          <w:p w14:paraId="6259EC08" w14:textId="77777777" w:rsidR="00770160" w:rsidRDefault="00770160">
            <w:pPr>
              <w:jc w:val="center"/>
              <w:rPr>
                <w:sz w:val="24"/>
                <w:lang w:val="en-US"/>
              </w:rPr>
            </w:pPr>
            <w:r>
              <w:rPr>
                <w:b/>
              </w:rPr>
              <w:t>SUMMARY</w:t>
            </w:r>
          </w:p>
        </w:tc>
      </w:tr>
      <w:tr w:rsidR="00770160" w14:paraId="15B798D9" w14:textId="77777777">
        <w:trPr>
          <w:cantSplit/>
          <w:jc w:val="center"/>
        </w:trPr>
        <w:tc>
          <w:tcPr>
            <w:tcW w:w="7200" w:type="dxa"/>
          </w:tcPr>
          <w:p w14:paraId="3CDE1A12" w14:textId="0EB5CF20" w:rsidR="00E7672A" w:rsidRDefault="00E7672A" w:rsidP="00E7672A">
            <w:r>
              <w:t xml:space="preserve">This paper </w:t>
            </w:r>
            <w:r w:rsidRPr="00BB17AF">
              <w:t>explore</w:t>
            </w:r>
            <w:r>
              <w:t>s</w:t>
            </w:r>
            <w:r w:rsidRPr="00BB17AF">
              <w:t xml:space="preserve"> the current elements surrounding the coordination</w:t>
            </w:r>
            <w:r>
              <w:t xml:space="preserve"> and planning</w:t>
            </w:r>
            <w:r w:rsidRPr="00BB17AF">
              <w:t xml:space="preserve"> of VHF SATCOM services in relation to terre</w:t>
            </w:r>
            <w:r>
              <w:t>st</w:t>
            </w:r>
            <w:r w:rsidRPr="00BB17AF">
              <w:t>rial networks</w:t>
            </w:r>
            <w:r>
              <w:t>, seeking</w:t>
            </w:r>
            <w:r w:rsidR="006D4919">
              <w:t xml:space="preserve"> clarifications on </w:t>
            </w:r>
            <w:r>
              <w:t xml:space="preserve">some of the concepts discussed.  </w:t>
            </w:r>
            <w:r w:rsidR="006D4919">
              <w:t>Initial suggestions are proposed</w:t>
            </w:r>
            <w:r w:rsidR="0067101D">
              <w:t xml:space="preserve"> </w:t>
            </w:r>
            <w:r w:rsidR="00526169">
              <w:t>for discussion and potential incorporation into an Flimsy and LS to WP 5B as appropriate</w:t>
            </w:r>
            <w:r w:rsidR="006D4919">
              <w:t xml:space="preserve"> </w:t>
            </w:r>
          </w:p>
          <w:p w14:paraId="370A003B" w14:textId="5BA0A4C6" w:rsidR="00770160" w:rsidRDefault="00770160">
            <w:pPr>
              <w:rPr>
                <w:lang w:val="en-US"/>
              </w:rPr>
            </w:pPr>
          </w:p>
        </w:tc>
      </w:tr>
    </w:tbl>
    <w:p w14:paraId="3F6F8643" w14:textId="77777777" w:rsidR="00770160" w:rsidRDefault="00770160"/>
    <w:p w14:paraId="347E927B" w14:textId="77777777" w:rsidR="00770160" w:rsidRDefault="00770160"/>
    <w:p w14:paraId="76C63FDD" w14:textId="77777777" w:rsidR="00770160" w:rsidRDefault="00770160">
      <w:pPr>
        <w:pStyle w:val="1Heading"/>
      </w:pPr>
      <w:r>
        <w:t>INTRODUCTION</w:t>
      </w:r>
    </w:p>
    <w:p w14:paraId="486E1FEE" w14:textId="7CFBABE5" w:rsidR="00A12810" w:rsidRDefault="00A12810" w:rsidP="00A12810">
      <w:pPr>
        <w:pStyle w:val="2para"/>
        <w:ind w:left="720" w:hanging="720"/>
      </w:pPr>
      <w:r>
        <w:t xml:space="preserve">With the ongoing development of WRC-23 Agenda Item 1.7 for VHF SATCOM voice since 2019, and </w:t>
      </w:r>
      <w:proofErr w:type="gramStart"/>
      <w:r>
        <w:t>the</w:t>
      </w:r>
      <w:proofErr w:type="gramEnd"/>
      <w:r>
        <w:t xml:space="preserve"> later introduction of a datalink component in May 2021, discussions are continuing on the ‘what’ and ‘how’ of these applications (especially the VDL component).  Much of the recent discussion</w:t>
      </w:r>
      <w:r w:rsidR="00DD396C">
        <w:t>s</w:t>
      </w:r>
      <w:r>
        <w:t xml:space="preserve"> ha</w:t>
      </w:r>
      <w:r w:rsidR="00DD396C">
        <w:t>ve</w:t>
      </w:r>
      <w:r>
        <w:t xml:space="preserve"> been with the VDL proposals</w:t>
      </w:r>
      <w:r w:rsidR="00FD00B0">
        <w:t>,</w:t>
      </w:r>
      <w:r>
        <w:t xml:space="preserve"> as these are more complicated to integrate with terrestrial networks due to existing CPDLC requirements combined with </w:t>
      </w:r>
      <w:r w:rsidR="003205C9">
        <w:t>protocol integration and digital decoding</w:t>
      </w:r>
      <w:r>
        <w:t>.   After discussions within the US with</w:t>
      </w:r>
      <w:r w:rsidR="003205C9">
        <w:t xml:space="preserve"> some</w:t>
      </w:r>
      <w:r>
        <w:t xml:space="preserve"> interested stakeholders</w:t>
      </w:r>
      <w:r w:rsidR="003205C9">
        <w:t xml:space="preserve"> and experts</w:t>
      </w:r>
      <w:r>
        <w:t>, the following information and recommendations may be helpful in guiding or clarifying the topic.  It should be noted that the below is provided on an evolving subject with a wide international interest, and therefore additions or modifications are welcome to ensure the FSMP membership has the best data</w:t>
      </w:r>
      <w:r w:rsidR="00C8212C">
        <w:t xml:space="preserve"> to inform aviation’s position at WRC-23</w:t>
      </w:r>
      <w:r>
        <w:t xml:space="preserve">.  </w:t>
      </w:r>
    </w:p>
    <w:p w14:paraId="2E8CF08E" w14:textId="359306A4" w:rsidR="00770160" w:rsidRDefault="00A12810" w:rsidP="00A12810">
      <w:pPr>
        <w:pStyle w:val="2para"/>
        <w:tabs>
          <w:tab w:val="num" w:pos="720"/>
        </w:tabs>
        <w:ind w:left="720" w:hanging="720"/>
      </w:pPr>
      <w:r>
        <w:t>Should consensus be possible on some of the points raised, it is proposed these items be captured in a FSMP Flimsy to be carried forward to the next FSMP meeting.  Such material may also be of use to ITU-R WP 5B in their deliberations in July 2023, and therefore a liaison statement format has been suggested if applicable.</w:t>
      </w:r>
    </w:p>
    <w:p w14:paraId="0CE5180E" w14:textId="77777777" w:rsidR="004B124B" w:rsidRPr="004B124B" w:rsidRDefault="004B124B" w:rsidP="004B124B">
      <w:pPr>
        <w:pStyle w:val="1Heading"/>
      </w:pPr>
      <w:r w:rsidRPr="004B124B">
        <w:lastRenderedPageBreak/>
        <w:t>SPECIFIC CONSIDERATIONS OF VDL SATCOM NETWORKS FOR MINIMUM NEEDED PROTECTIONS</w:t>
      </w:r>
    </w:p>
    <w:p w14:paraId="05B50E88" w14:textId="25D4343F" w:rsidR="005D7D35" w:rsidRPr="00F1371D" w:rsidRDefault="001A50B3">
      <w:pPr>
        <w:pStyle w:val="2para"/>
        <w:rPr>
          <w:b/>
          <w:bCs/>
        </w:rPr>
      </w:pPr>
      <w:r w:rsidRPr="00F1371D">
        <w:rPr>
          <w:b/>
          <w:bCs/>
        </w:rPr>
        <w:t>Terrestrial and SATCOM network interactions</w:t>
      </w:r>
    </w:p>
    <w:p w14:paraId="07883EFD" w14:textId="14383604" w:rsidR="00A21519" w:rsidRDefault="00A21519" w:rsidP="00A21519">
      <w:pPr>
        <w:pStyle w:val="3para"/>
      </w:pPr>
      <w:r>
        <w:t xml:space="preserve">Concerns have been raised about the </w:t>
      </w:r>
      <w:r w:rsidR="00E04CC4">
        <w:t xml:space="preserve">unknown effects of </w:t>
      </w:r>
      <w:r>
        <w:t xml:space="preserve">direct interactions between satellite and terrestrial VDL stations on the same frequency.  While additional work in the future during ICAO SARPs standardization may resolve the current concerns, at this time the default planning process should ensure the coverage area of terrestrial and satellite VDL stations is isolated to ensure aircraft at the edge of terrestrial coverage do not have a loss of any performance through additional noise on the terrestrial frequency being used.  </w:t>
      </w:r>
      <w:r w:rsidR="00343C9F">
        <w:t xml:space="preserve">Any interfering signals </w:t>
      </w:r>
      <w:r>
        <w:t>should be</w:t>
      </w:r>
      <w:r w:rsidR="00343C9F">
        <w:t xml:space="preserve"> </w:t>
      </w:r>
      <w:r w:rsidR="00BE6BA2">
        <w:t>reduced</w:t>
      </w:r>
      <w:r>
        <w:t xml:space="preserve"> to the minimum levels specified in aviation standards to ensure no constraint on existing terrestrial systems. </w:t>
      </w:r>
    </w:p>
    <w:p w14:paraId="10E51BE5" w14:textId="5D8E96A6" w:rsidR="00A21519" w:rsidRDefault="00A21519" w:rsidP="00A21519">
      <w:pPr>
        <w:pStyle w:val="3para"/>
      </w:pPr>
      <w:r>
        <w:t xml:space="preserve">This concern </w:t>
      </w:r>
      <w:r w:rsidR="00BE6BA2">
        <w:t xml:space="preserve">may only </w:t>
      </w:r>
      <w:r>
        <w:t>appl</w:t>
      </w:r>
      <w:r w:rsidR="00BE6BA2">
        <w:t>y</w:t>
      </w:r>
      <w:r>
        <w:t xml:space="preserve"> to the coverage of those stations and not aircraft at the edge of </w:t>
      </w:r>
      <w:r w:rsidR="00010283">
        <w:t xml:space="preserve">the respective </w:t>
      </w:r>
      <w:r>
        <w:t xml:space="preserve">coverage.  Under this scenario, </w:t>
      </w:r>
      <w:r w:rsidR="00010283">
        <w:t>these</w:t>
      </w:r>
      <w:r>
        <w:t xml:space="preserve"> aircraft would see each other and the VDL CSMA mechanism would provide some mutual loss of channel utilization.  Such a scenario would </w:t>
      </w:r>
      <w:r w:rsidR="00483C4F">
        <w:t xml:space="preserve">also </w:t>
      </w:r>
      <w:r>
        <w:t xml:space="preserve">create a hidden terminal effect for the respective ground station and satellite.  However, the significantly lower channel utilization of an aircraft compared to a base station means this is expected to be extremely limited in terms of performance loss.   </w:t>
      </w:r>
    </w:p>
    <w:p w14:paraId="2FC0659A" w14:textId="3C8999DC" w:rsidR="00770160" w:rsidRDefault="00FC4D80" w:rsidP="001A50B3">
      <w:pPr>
        <w:pStyle w:val="3para"/>
      </w:pPr>
      <w:r w:rsidRPr="00FC4D80">
        <w:rPr>
          <w:b/>
          <w:bCs/>
        </w:rPr>
        <w:t>Suggestion</w:t>
      </w:r>
      <w:r w:rsidR="002C4FB9" w:rsidRPr="002C4FB9">
        <w:t xml:space="preserve">: Terrestrial and SATCOM </w:t>
      </w:r>
      <w:r w:rsidR="002C4FB9">
        <w:t xml:space="preserve">VDL </w:t>
      </w:r>
      <w:r w:rsidR="002C4FB9" w:rsidRPr="002C4FB9">
        <w:t xml:space="preserve">networks shall be coordinated to remain isolated for operations on the same frequency by coverage.  However, coordination between different aircraft while they are terrestrial and earth stations respectively </w:t>
      </w:r>
      <w:r w:rsidR="00483C4F">
        <w:t>may not</w:t>
      </w:r>
      <w:r w:rsidR="00A449D1">
        <w:t xml:space="preserve"> be </w:t>
      </w:r>
      <w:r w:rsidR="002C4FB9" w:rsidRPr="002C4FB9">
        <w:t>required</w:t>
      </w:r>
      <w:r w:rsidR="00770160">
        <w:t xml:space="preserve">. </w:t>
      </w:r>
    </w:p>
    <w:p w14:paraId="152DA05C" w14:textId="13BA1A48" w:rsidR="000B087D" w:rsidRPr="00FC4D80" w:rsidRDefault="00F1371D" w:rsidP="000B087D">
      <w:pPr>
        <w:pStyle w:val="3para"/>
        <w:numPr>
          <w:ilvl w:val="1"/>
          <w:numId w:val="1"/>
        </w:numPr>
        <w:rPr>
          <w:b/>
          <w:bCs/>
        </w:rPr>
      </w:pPr>
      <w:r w:rsidRPr="00FC4D80">
        <w:rPr>
          <w:b/>
          <w:bCs/>
        </w:rPr>
        <w:t>Ranges of existing terrestrial networks</w:t>
      </w:r>
    </w:p>
    <w:p w14:paraId="08EA2E62" w14:textId="439CD2FE" w:rsidR="00FC4D80" w:rsidRDefault="00FC4D80" w:rsidP="00FC4D80">
      <w:pPr>
        <w:pStyle w:val="3para"/>
      </w:pPr>
      <w:r>
        <w:t xml:space="preserve">VDL networks were originally designed by the international airlines to provide AOC capabilities.  Existing terrestrial networks are now extensive given modern aircraft data requirements, including ground station coverage out over oceanic areas.  This has been a priority for airlines, as VDL performance and costs are often better than </w:t>
      </w:r>
      <w:r w:rsidR="006813DF">
        <w:t>other</w:t>
      </w:r>
      <w:r>
        <w:t xml:space="preserve"> oceanic services.  Therefore, networks are planned to acquire aircraft at the greatest range possible for known routes.   While this range is not formally specified, current deployments are operating on an assumption of a 250 NM range at FL400.  However better range/performance has been seen up to 400 NM under the most optimal equipment and environmental conditions.  </w:t>
      </w:r>
    </w:p>
    <w:p w14:paraId="1B022CDC" w14:textId="77777777" w:rsidR="00FC4D80" w:rsidRDefault="00FC4D80" w:rsidP="00FC4D80">
      <w:pPr>
        <w:pStyle w:val="3para"/>
      </w:pPr>
      <w:r>
        <w:t>CPDLC functions are still being introduced by different administrations according to individual national requirements.  In the US, the FAA Datacomm program specifies that coverage out to sea for CPDLC should ensure a minimum of 115 NM from the coast at FL250.</w:t>
      </w:r>
    </w:p>
    <w:p w14:paraId="3D7FC3CC" w14:textId="46C02CE6" w:rsidR="00FC4D80" w:rsidRDefault="00FC4D80" w:rsidP="00FC4D80">
      <w:pPr>
        <w:pStyle w:val="3para"/>
      </w:pPr>
      <w:r w:rsidRPr="00FC4D80">
        <w:rPr>
          <w:b/>
          <w:bCs/>
        </w:rPr>
        <w:t>Suggestion</w:t>
      </w:r>
      <w:r>
        <w:t xml:space="preserve">: While there are multiple different ranges, it is suggested that protection for terrestrial coverage should be ensured at 250 NM </w:t>
      </w:r>
      <w:r w:rsidR="00A449D1">
        <w:t xml:space="preserve">oceanic range </w:t>
      </w:r>
      <w:r>
        <w:t>from national co</w:t>
      </w:r>
      <w:r w:rsidR="00794D60">
        <w:t>astlines</w:t>
      </w:r>
      <w:r>
        <w:t xml:space="preserve"> at FL400.  This would ensure existing terrestrial networks are not constrained while also not overprotecting some stations that may provide greater coverage on an inconsistent basis.  </w:t>
      </w:r>
    </w:p>
    <w:p w14:paraId="091DD120" w14:textId="79FC240A" w:rsidR="00F03E6B" w:rsidRPr="00F03E6B" w:rsidRDefault="00F03E6B" w:rsidP="00F03E6B">
      <w:pPr>
        <w:pStyle w:val="3para"/>
        <w:numPr>
          <w:ilvl w:val="1"/>
          <w:numId w:val="1"/>
        </w:numPr>
        <w:rPr>
          <w:b/>
          <w:bCs/>
        </w:rPr>
      </w:pPr>
      <w:r w:rsidRPr="00F03E6B">
        <w:rPr>
          <w:b/>
          <w:bCs/>
        </w:rPr>
        <w:t>PFD values for protection of terrestrial coverage under any ITU-R coordination process</w:t>
      </w:r>
    </w:p>
    <w:p w14:paraId="57EC6428" w14:textId="157D29E3" w:rsidR="00F03E6B" w:rsidRDefault="00F03E6B" w:rsidP="00F03E6B">
      <w:pPr>
        <w:pStyle w:val="3para"/>
      </w:pPr>
      <w:r>
        <w:t>Several values have previously been used to define necessary protection for VDL systems at the edge of terrestrial coverage</w:t>
      </w:r>
      <w:r w:rsidR="00AF4E4D">
        <w:rPr>
          <w:rStyle w:val="FootnoteReference"/>
          <w:bCs/>
        </w:rPr>
        <w:footnoteReference w:id="1"/>
      </w:r>
      <w:r>
        <w:t>:</w:t>
      </w:r>
    </w:p>
    <w:p w14:paraId="22CB40D4" w14:textId="77777777" w:rsidR="00F03E6B" w:rsidRDefault="00F03E6B" w:rsidP="00F03E6B">
      <w:pPr>
        <w:pStyle w:val="3para"/>
      </w:pPr>
      <w:r>
        <w:lastRenderedPageBreak/>
        <w:t xml:space="preserve">-176 dBW/m2/4 kHz was recommended at WRC-19 Agenda Item 1.7.  This was based on VDL radio performance at 136.975 MHz, and how to protect it against small NGSO satellites above 137 MHz.  As there were no guarantees available on limiting aggregate emissions, the proposed PFD level included an aggregate protection factor to accommodate up to 79 small satellites transmitting simultaneously (an extra 19 dB of margin).  </w:t>
      </w:r>
    </w:p>
    <w:p w14:paraId="6A82C6E0" w14:textId="77777777" w:rsidR="00F03E6B" w:rsidRDefault="00F03E6B" w:rsidP="00F03E6B">
      <w:pPr>
        <w:pStyle w:val="3para"/>
      </w:pPr>
      <w:r>
        <w:t xml:space="preserve">-140 dBW/m2/4 kHz – Has been suggested by serval administrations in current CPM work.  </w:t>
      </w:r>
    </w:p>
    <w:p w14:paraId="3614729E" w14:textId="1E363557" w:rsidR="00F03E6B" w:rsidRDefault="00F03E6B" w:rsidP="00F03E6B">
      <w:pPr>
        <w:pStyle w:val="3para"/>
      </w:pPr>
      <w:r>
        <w:t>-166 dBW/m2/4</w:t>
      </w:r>
      <w:r w:rsidR="00F2728B">
        <w:t xml:space="preserve"> </w:t>
      </w:r>
      <w:r>
        <w:t xml:space="preserve">kHz – Has been suggested by the US at the ITU-R WP 5B meeting in November 2022, and was based on initial receiver noise figures of the radios provided.  </w:t>
      </w:r>
    </w:p>
    <w:p w14:paraId="497DD8D0" w14:textId="77E16D97" w:rsidR="00F03E6B" w:rsidRDefault="00F03E6B" w:rsidP="00F03E6B">
      <w:pPr>
        <w:pStyle w:val="3para"/>
      </w:pPr>
      <w:r>
        <w:t>-148 dBW/m2/4 kHz  - Derived</w:t>
      </w:r>
      <w:r w:rsidR="00F2728B">
        <w:t xml:space="preserve"> </w:t>
      </w:r>
      <w:r>
        <w:t xml:space="preserve">from ICAO standards and CSP planning functions to ensure a full 20 dB D/U decode and the expect receiver sensitivity of the radio.  </w:t>
      </w:r>
    </w:p>
    <w:p w14:paraId="7BF36CFD" w14:textId="6CE25F88" w:rsidR="00F03E6B" w:rsidRDefault="00F03E6B" w:rsidP="00F03E6B">
      <w:pPr>
        <w:pStyle w:val="3para"/>
      </w:pPr>
      <w:r w:rsidRPr="00527A52">
        <w:rPr>
          <w:b/>
          <w:bCs/>
        </w:rPr>
        <w:t>Suggestion</w:t>
      </w:r>
      <w:r>
        <w:t xml:space="preserve">:  After recent datalink CSP discussions for the coordination of AMS(R)S to AM(R)S, a value of -148 dBW/m2/4 kHz has been agreed as providing the necessary planning margin between the </w:t>
      </w:r>
      <w:r w:rsidR="00076B69">
        <w:t xml:space="preserve">VDL </w:t>
      </w:r>
      <w:r>
        <w:t>system</w:t>
      </w:r>
      <w:r w:rsidR="00076B69">
        <w:t>s</w:t>
      </w:r>
      <w:r>
        <w:t xml:space="preserve">.   Defining the level against other non-aviation systems with different parameters and waveforms may require other values to be used, with -166 dBW/m2/4 kHz likely to be the most appropriate based on documented radio performance.  </w:t>
      </w:r>
    </w:p>
    <w:p w14:paraId="5089E61B" w14:textId="52AF3049" w:rsidR="00BE65C4" w:rsidRPr="00C976AA" w:rsidRDefault="007E0685" w:rsidP="00BE65C4">
      <w:pPr>
        <w:pStyle w:val="1Heading"/>
      </w:pPr>
      <w:r>
        <w:t xml:space="preserve">AM(R)S to AMS(R)S VDL </w:t>
      </w:r>
      <w:r w:rsidR="00BE65C4" w:rsidRPr="00C976AA">
        <w:t>SATCOM OPERATING SCENARIOS</w:t>
      </w:r>
    </w:p>
    <w:p w14:paraId="6303BB16" w14:textId="55EFCB70" w:rsidR="009D26F8" w:rsidRPr="009D26F8" w:rsidRDefault="009D26F8" w:rsidP="009D26F8">
      <w:pPr>
        <w:pStyle w:val="ListParagraph"/>
        <w:numPr>
          <w:ilvl w:val="1"/>
          <w:numId w:val="1"/>
        </w:numPr>
        <w:rPr>
          <w:bCs/>
        </w:rPr>
      </w:pPr>
      <w:r w:rsidRPr="009D26F8">
        <w:rPr>
          <w:bCs/>
        </w:rPr>
        <w:t xml:space="preserve">The following scenarios have been discussed in the industry ConOps for VDL SATCOM services and assumes some level of Article 9 coordination.  </w:t>
      </w:r>
      <w:r w:rsidR="004245FB">
        <w:rPr>
          <w:bCs/>
        </w:rPr>
        <w:t>F</w:t>
      </w:r>
      <w:r w:rsidR="004245FB" w:rsidRPr="004245FB">
        <w:rPr>
          <w:bCs/>
        </w:rPr>
        <w:t>urther consideration of VHF SAT</w:t>
      </w:r>
      <w:r w:rsidR="004245FB">
        <w:rPr>
          <w:bCs/>
        </w:rPr>
        <w:t>COM</w:t>
      </w:r>
      <w:r w:rsidR="004245FB" w:rsidRPr="004245FB">
        <w:rPr>
          <w:bCs/>
        </w:rPr>
        <w:t xml:space="preserve"> voice </w:t>
      </w:r>
      <w:r w:rsidR="007E0685">
        <w:rPr>
          <w:bCs/>
        </w:rPr>
        <w:t>may also be required</w:t>
      </w:r>
      <w:r w:rsidR="00C05289">
        <w:rPr>
          <w:bCs/>
        </w:rPr>
        <w:t xml:space="preserve"> and how that would be incorporated into </w:t>
      </w:r>
      <w:r w:rsidR="00E50591">
        <w:rPr>
          <w:bCs/>
        </w:rPr>
        <w:t>any</w:t>
      </w:r>
      <w:r w:rsidR="00C05289">
        <w:rPr>
          <w:bCs/>
        </w:rPr>
        <w:t xml:space="preserve"> ICAO </w:t>
      </w:r>
      <w:r w:rsidR="004245FB" w:rsidRPr="004245FB">
        <w:rPr>
          <w:bCs/>
        </w:rPr>
        <w:t>planning process</w:t>
      </w:r>
      <w:r w:rsidR="00E50591">
        <w:rPr>
          <w:bCs/>
        </w:rPr>
        <w:t>, but this section purely considers VDL coor</w:t>
      </w:r>
      <w:r w:rsidR="00531741">
        <w:rPr>
          <w:bCs/>
        </w:rPr>
        <w:t>dination and planning</w:t>
      </w:r>
      <w:r w:rsidR="004245FB" w:rsidRPr="004245FB">
        <w:rPr>
          <w:bCs/>
        </w:rPr>
        <w:t>.</w:t>
      </w:r>
    </w:p>
    <w:p w14:paraId="3C4828B1" w14:textId="475FCB70" w:rsidR="00F1371D" w:rsidRPr="00903923" w:rsidRDefault="00682763" w:rsidP="00903923">
      <w:pPr>
        <w:pStyle w:val="1Heading"/>
        <w:numPr>
          <w:ilvl w:val="1"/>
          <w:numId w:val="1"/>
        </w:numPr>
        <w:ind w:right="109"/>
      </w:pPr>
      <w:r w:rsidRPr="00903923">
        <w:t>Scenario #1 – Base Scen</w:t>
      </w:r>
      <w:r w:rsidR="00C40335">
        <w:t>a</w:t>
      </w:r>
      <w:r w:rsidRPr="00903923">
        <w:t>rio - Complete isolation of terrestrial networks from VHF SATCOM</w:t>
      </w:r>
    </w:p>
    <w:p w14:paraId="40AC395F" w14:textId="6B1CB824" w:rsidR="00903923" w:rsidRDefault="00903923" w:rsidP="00903923">
      <w:pPr>
        <w:pStyle w:val="3para"/>
      </w:pPr>
      <w:r w:rsidRPr="00903923">
        <w:t xml:space="preserve">Administrations not wishing to participate in any VHF SATCOM service in their FIRs with terrestrial coverage could object/not accept the </w:t>
      </w:r>
      <w:r>
        <w:t xml:space="preserve">appropriate Article 9 </w:t>
      </w:r>
      <w:r w:rsidRPr="00903923">
        <w:t xml:space="preserve">satellite </w:t>
      </w:r>
      <w:r w:rsidR="00412FF4">
        <w:t>coordination re</w:t>
      </w:r>
      <w:r w:rsidR="00F510FF">
        <w:t>q</w:t>
      </w:r>
      <w:r w:rsidR="00412FF4">
        <w:t>uests</w:t>
      </w:r>
      <w:r w:rsidRPr="00903923">
        <w:t xml:space="preserve"> at the ITU-R.  This would implement the required protection of their networks at an agreed PFD level and point in space, ensuring terrestrial networks are not impacted in any way by VHF SATCOM operations.</w:t>
      </w:r>
    </w:p>
    <w:p w14:paraId="735A7B00" w14:textId="51A254D0" w:rsidR="00EB0220" w:rsidRPr="00903923" w:rsidRDefault="00CB62D6" w:rsidP="00CB62D6">
      <w:pPr>
        <w:pStyle w:val="1Heading"/>
        <w:numPr>
          <w:ilvl w:val="1"/>
          <w:numId w:val="1"/>
        </w:numPr>
        <w:ind w:right="-33"/>
      </w:pPr>
      <w:r w:rsidRPr="00CB62D6">
        <w:t>Scenario #2a – Overlapping coverage to provide continuity of VHF services between SATCOM and terrestrial</w:t>
      </w:r>
      <w:r w:rsidR="003268D4">
        <w:t xml:space="preserve"> VDL networks</w:t>
      </w:r>
    </w:p>
    <w:p w14:paraId="7DD056D7" w14:textId="628B5494" w:rsidR="00F510FF" w:rsidRDefault="00F510FF" w:rsidP="00F510FF">
      <w:pPr>
        <w:pStyle w:val="3para"/>
      </w:pPr>
      <w:r>
        <w:t>Those administrations wishing to incorporate Oceanic VHF services to complement their extended terrestrial networks could accept/not object the</w:t>
      </w:r>
      <w:r w:rsidRPr="00F510FF">
        <w:t xml:space="preserve"> appropriate Article 9 satellite coordination requests </w:t>
      </w:r>
      <w:r>
        <w:t>at the ITU-R and then enter negotiations with the satellite operator to provide VHF SATCOM services up to a specified point from the</w:t>
      </w:r>
      <w:r w:rsidR="000E200C">
        <w:t>ir</w:t>
      </w:r>
      <w:r>
        <w:t xml:space="preserve"> national coastline under national licensing rules.  While the satellite operator would still agree to meet the PFD coordination threshold for existing terrestrial networks to ensure those frequencies are isolated as per the Scenario #1, dedicated SATCOM frequencies could be authorized/licensed in oceanic areas near the national coastline to create a ‘handover’</w:t>
      </w:r>
      <w:r w:rsidR="005F32E3">
        <w:t xml:space="preserve"> region</w:t>
      </w:r>
      <w:r>
        <w:t>.  This would enable an aircraft at the edge of terrestrial or SATCOM coverage to be referred to the dedicated frequency, traverse the gap in coverage, and then be moved to a suitable channel when fully in coverage of the respective SATCOM o</w:t>
      </w:r>
      <w:r w:rsidR="005F32E3">
        <w:t>r</w:t>
      </w:r>
      <w:r>
        <w:t xml:space="preserve"> terrestrial network.  </w:t>
      </w:r>
    </w:p>
    <w:p w14:paraId="3CA06500" w14:textId="10813169" w:rsidR="00F510FF" w:rsidRDefault="00F510FF" w:rsidP="00F510FF">
      <w:pPr>
        <w:pStyle w:val="3para"/>
      </w:pPr>
      <w:r>
        <w:lastRenderedPageBreak/>
        <w:t>The handover region would be decided each Administration separately, but would need to balance a potential ‘no-comm’ situation with up to 4 mins to require the relevant network</w:t>
      </w:r>
      <w:r w:rsidR="005F32E3">
        <w:rPr>
          <w:rStyle w:val="FootnoteReference"/>
        </w:rPr>
        <w:footnoteReference w:id="2"/>
      </w:r>
      <w:r>
        <w:t>, while also minimizing the increase of RF energy being received over land of that administration that may limit current or future terrestrial ground station assignments.</w:t>
      </w:r>
    </w:p>
    <w:p w14:paraId="704F843E" w14:textId="5619F7E3" w:rsidR="00F510FF" w:rsidRDefault="00F510FF" w:rsidP="00F510FF">
      <w:pPr>
        <w:pStyle w:val="3para"/>
      </w:pPr>
      <w:r>
        <w:t>Any process to manage such a handover region would likely require some form of ICAO planning process at the PIRG level.  However, there is no existing process that could be easily used, including the likely need for coordination between different PIRGs</w:t>
      </w:r>
      <w:r w:rsidR="00C40335">
        <w:t xml:space="preserve"> to plan between </w:t>
      </w:r>
      <w:r w:rsidR="00F71246">
        <w:t>neighbouring</w:t>
      </w:r>
      <w:r w:rsidR="00C40335">
        <w:t xml:space="preserve"> FIRs</w:t>
      </w:r>
      <w:r>
        <w:t xml:space="preserve">. </w:t>
      </w:r>
    </w:p>
    <w:p w14:paraId="1256F089" w14:textId="77777777" w:rsidR="001B792F" w:rsidRPr="001B792F" w:rsidRDefault="001B792F" w:rsidP="001B792F">
      <w:pPr>
        <w:pStyle w:val="3para"/>
        <w:numPr>
          <w:ilvl w:val="1"/>
          <w:numId w:val="1"/>
        </w:numPr>
        <w:rPr>
          <w:b/>
          <w:bCs/>
        </w:rPr>
      </w:pPr>
      <w:r w:rsidRPr="001B792F">
        <w:rPr>
          <w:b/>
          <w:bCs/>
        </w:rPr>
        <w:t>Scenario #2b - Full VHF SATCOM coverage over national territory</w:t>
      </w:r>
    </w:p>
    <w:p w14:paraId="2C567DD4" w14:textId="2369B832" w:rsidR="001B792F" w:rsidRDefault="001B792F" w:rsidP="001B792F">
      <w:pPr>
        <w:pStyle w:val="3para"/>
      </w:pPr>
      <w:r>
        <w:t xml:space="preserve">An Administration wishes to use VHF SATCOM services over its national territory, accepts/does not object to </w:t>
      </w:r>
      <w:r w:rsidRPr="001B792F">
        <w:t>the appropriate Article 9 satellite coordination requests</w:t>
      </w:r>
      <w:r>
        <w:t xml:space="preserve"> at the ITU-R</w:t>
      </w:r>
      <w:r w:rsidRPr="001B792F">
        <w:t xml:space="preserve"> </w:t>
      </w:r>
      <w:r>
        <w:t>and then implements appropriate national licensing mechanisms</w:t>
      </w:r>
      <w:r w:rsidR="009B7A44">
        <w:t xml:space="preserve"> in negotiation with the satellite provider</w:t>
      </w:r>
      <w:r>
        <w:t xml:space="preserve">.  The protections of existing frequencies are maintained as per Scenario #1, but the VHF SATCOM system operates over part or all of an Administration on dedicated channels.  </w:t>
      </w:r>
      <w:r w:rsidR="00533D18">
        <w:t xml:space="preserve">As this would encompass a handover region also, </w:t>
      </w:r>
      <w:r w:rsidR="00C40335">
        <w:t xml:space="preserve">the setup of a similar process at the ICAO PIRGS to plan these between </w:t>
      </w:r>
      <w:r w:rsidR="00F71246">
        <w:t>neighbouring</w:t>
      </w:r>
      <w:r w:rsidR="00C40335">
        <w:t xml:space="preserve"> FIRs would still be needed.  </w:t>
      </w:r>
    </w:p>
    <w:p w14:paraId="3E0E98ED" w14:textId="47B24A52" w:rsidR="00682763" w:rsidRDefault="000E206A" w:rsidP="00BD4F38">
      <w:pPr>
        <w:pStyle w:val="1Heading"/>
      </w:pPr>
      <w:r>
        <w:t>SUMMARY</w:t>
      </w:r>
    </w:p>
    <w:p w14:paraId="400CFDA5" w14:textId="346E77B5" w:rsidR="00BD4F38" w:rsidRPr="00BD4F38" w:rsidRDefault="004F04C2" w:rsidP="00BD4F38">
      <w:pPr>
        <w:pStyle w:val="2para"/>
      </w:pPr>
      <w:r>
        <w:t xml:space="preserve">The number of </w:t>
      </w:r>
      <w:r w:rsidR="006C07AF">
        <w:t xml:space="preserve">outstanding unknown </w:t>
      </w:r>
      <w:r>
        <w:t xml:space="preserve">variables for the VHF SATCOM agenda item, especially for </w:t>
      </w:r>
      <w:r w:rsidR="00E70F09">
        <w:t xml:space="preserve">the VDL component, </w:t>
      </w:r>
      <w:r w:rsidR="0071581F">
        <w:t xml:space="preserve">need to be clarified to help progress agenda item 1.7.  </w:t>
      </w:r>
      <w:r w:rsidR="00986264">
        <w:t>Consolidating the agreed ‘knowns’ and ‘unknowns’ within an FSMP Flimsy may help progress the work (assuming consensus on some/all of the components can be reached).</w:t>
      </w:r>
      <w:r w:rsidR="00657AE5">
        <w:t xml:space="preserve">  Should progress be substantial, then a LS to ITU-R WP 5B may be productive to inform the ITU-R of the progress in ICAO.  Annexes A and B are provided as </w:t>
      </w:r>
      <w:r w:rsidR="003A169F">
        <w:t xml:space="preserve">options for </w:t>
      </w:r>
      <w:r w:rsidR="00657AE5">
        <w:t>framework</w:t>
      </w:r>
      <w:r w:rsidR="003A169F">
        <w:t>s</w:t>
      </w:r>
      <w:r w:rsidR="00657AE5">
        <w:t xml:space="preserve"> should </w:t>
      </w:r>
      <w:r w:rsidR="003A169F">
        <w:t>the</w:t>
      </w:r>
      <w:r w:rsidR="00657AE5">
        <w:t xml:space="preserve"> approach</w:t>
      </w:r>
      <w:r w:rsidR="003A169F">
        <w:t>es</w:t>
      </w:r>
      <w:r w:rsidR="00657AE5">
        <w:t xml:space="preserve"> be agreeable to the meeting.  </w:t>
      </w:r>
    </w:p>
    <w:p w14:paraId="0306871C" w14:textId="77777777" w:rsidR="00770160" w:rsidRDefault="00770160">
      <w:pPr>
        <w:pStyle w:val="1Heading"/>
      </w:pPr>
      <w:r>
        <w:t>ACTION BY THE MEETING</w:t>
      </w:r>
    </w:p>
    <w:p w14:paraId="2C79FF8F" w14:textId="77777777" w:rsidR="00770160" w:rsidRDefault="00770160">
      <w:pPr>
        <w:pStyle w:val="2para"/>
      </w:pPr>
      <w:r>
        <w:t>The meeting is invited to:</w:t>
      </w:r>
    </w:p>
    <w:p w14:paraId="5F4DE83E" w14:textId="77777777" w:rsidR="00770160" w:rsidRDefault="00770160">
      <w:pPr>
        <w:pStyle w:val="Listabc"/>
      </w:pPr>
      <w:r>
        <w:rPr>
          <w:lang w:val="en-GB"/>
        </w:rPr>
        <w:t>n</w:t>
      </w:r>
      <w:r>
        <w:t>ote and review the contents of this working paper;</w:t>
      </w:r>
    </w:p>
    <w:p w14:paraId="4AD37474" w14:textId="3F4ED9D0" w:rsidR="00770160" w:rsidRDefault="00F71246">
      <w:pPr>
        <w:pStyle w:val="Listabc"/>
      </w:pPr>
      <w:r>
        <w:t xml:space="preserve">discuss and </w:t>
      </w:r>
      <w:r w:rsidR="003A74A7">
        <w:t xml:space="preserve">add/modify/agree the suggested items in </w:t>
      </w:r>
      <w:r w:rsidR="00770160">
        <w:t>paragraphs 2.</w:t>
      </w:r>
      <w:r w:rsidR="00817D2C">
        <w:t xml:space="preserve">1.3, </w:t>
      </w:r>
      <w:r w:rsidR="004D5C94">
        <w:t>2</w:t>
      </w:r>
      <w:r w:rsidR="00817D2C">
        <w:t>.</w:t>
      </w:r>
      <w:r w:rsidR="004D5C94">
        <w:t>2</w:t>
      </w:r>
      <w:r w:rsidR="00817D2C">
        <w:t xml:space="preserve">.3, </w:t>
      </w:r>
      <w:r w:rsidR="00974F7B">
        <w:t xml:space="preserve">and </w:t>
      </w:r>
      <w:r w:rsidR="004D5C94">
        <w:t>2</w:t>
      </w:r>
      <w:r w:rsidR="00817D2C">
        <w:t>.</w:t>
      </w:r>
      <w:r w:rsidR="004D5C94">
        <w:t>3</w:t>
      </w:r>
      <w:r w:rsidR="00817D2C">
        <w:t>.6</w:t>
      </w:r>
      <w:r w:rsidR="00770160">
        <w:t>;</w:t>
      </w:r>
    </w:p>
    <w:p w14:paraId="0B55E334" w14:textId="69B77860" w:rsidR="004D5C94" w:rsidRDefault="00162F26" w:rsidP="00F56F90">
      <w:pPr>
        <w:pStyle w:val="Listabc"/>
      </w:pPr>
      <w:r>
        <w:t>Review the scenarios describved in Section 3;</w:t>
      </w:r>
    </w:p>
    <w:p w14:paraId="4E1598F4" w14:textId="39ADF095" w:rsidR="00F8644B" w:rsidRDefault="00F8644B" w:rsidP="00F56F90">
      <w:pPr>
        <w:pStyle w:val="Listabc"/>
      </w:pPr>
      <w:r>
        <w:t>Create a flimsy capturing agreements or oustanding questions</w:t>
      </w:r>
      <w:r w:rsidR="00BD4F38">
        <w:t xml:space="preserve"> as detailed in Annex A</w:t>
      </w:r>
      <w:r>
        <w:t>; and</w:t>
      </w:r>
    </w:p>
    <w:p w14:paraId="2631EAF1" w14:textId="411C412E" w:rsidR="00F8644B" w:rsidRDefault="00F8644B" w:rsidP="00F56F90">
      <w:pPr>
        <w:pStyle w:val="Listabc"/>
      </w:pPr>
      <w:r>
        <w:t xml:space="preserve">Based on discussions and </w:t>
      </w:r>
      <w:r w:rsidR="00BA3009">
        <w:t xml:space="preserve">the </w:t>
      </w:r>
      <w:r>
        <w:t>appr</w:t>
      </w:r>
      <w:r w:rsidR="00BD4F38">
        <w:t>opriate</w:t>
      </w:r>
      <w:r w:rsidR="00BA3009">
        <w:t xml:space="preserve">ness of the </w:t>
      </w:r>
      <w:r w:rsidR="008C37DA">
        <w:t>agreements, consider sending the information (in part or all) to ICAO WP 5B in the LS proposed in Annex B;</w:t>
      </w:r>
    </w:p>
    <w:p w14:paraId="15573E79" w14:textId="1C65E60F" w:rsidR="008C37DA" w:rsidRDefault="00770160" w:rsidP="00D27FAC">
      <w:pPr>
        <w:spacing w:before="600"/>
        <w:jc w:val="center"/>
      </w:pPr>
      <w:r>
        <w:lastRenderedPageBreak/>
        <w:t>— END —</w:t>
      </w:r>
      <w:r w:rsidR="008C37DA">
        <w:br w:type="page"/>
      </w:r>
    </w:p>
    <w:p w14:paraId="76E96F56" w14:textId="35FF0C02" w:rsidR="008C37DA" w:rsidRDefault="008C37DA" w:rsidP="00974F7B">
      <w:pPr>
        <w:pStyle w:val="Heading1"/>
      </w:pPr>
      <w:bookmarkStart w:id="3" w:name="_Hlk126590326"/>
      <w:r>
        <w:lastRenderedPageBreak/>
        <w:t>ANNEX A – Proposed Flimsy for Agreement</w:t>
      </w:r>
      <w:r w:rsidR="00767A9F">
        <w:t xml:space="preserve"> or Outstanding</w:t>
      </w:r>
      <w:r>
        <w:t xml:space="preserve"> Coordination Items for </w:t>
      </w:r>
      <w:r w:rsidR="00767A9F">
        <w:t>WRC-23 AI 1.7</w:t>
      </w:r>
    </w:p>
    <w:bookmarkEnd w:id="3"/>
    <w:p w14:paraId="0456710B" w14:textId="77777777" w:rsidR="00EE0FA8" w:rsidRDefault="00EE0FA8" w:rsidP="00EE0FA8">
      <w:pPr>
        <w:pStyle w:val="Heading1"/>
      </w:pPr>
    </w:p>
    <w:p w14:paraId="06A4321F" w14:textId="1753C919" w:rsidR="00767A9F" w:rsidRPr="00EE0FA8" w:rsidRDefault="00767A9F" w:rsidP="00EE0FA8">
      <w:pPr>
        <w:pStyle w:val="Heading1"/>
      </w:pPr>
      <w:r w:rsidRPr="00EE0FA8">
        <w:t>FLIMSY XX</w:t>
      </w:r>
    </w:p>
    <w:p w14:paraId="2568A808" w14:textId="0CD4F8B0" w:rsidR="00767A9F" w:rsidRDefault="00767A9F" w:rsidP="00767A9F">
      <w:pPr>
        <w:pStyle w:val="1Heading"/>
        <w:numPr>
          <w:ilvl w:val="0"/>
          <w:numId w:val="7"/>
        </w:numPr>
      </w:pPr>
      <w:r>
        <w:t>INTRODUCTION</w:t>
      </w:r>
    </w:p>
    <w:p w14:paraId="3B0305D6" w14:textId="4C48533C" w:rsidR="00767A9F" w:rsidRDefault="00767A9F" w:rsidP="00767A9F">
      <w:pPr>
        <w:pStyle w:val="2para"/>
        <w:numPr>
          <w:ilvl w:val="1"/>
          <w:numId w:val="7"/>
        </w:numPr>
      </w:pPr>
      <w:r>
        <w:t xml:space="preserve">The below items were captured </w:t>
      </w:r>
      <w:r w:rsidR="002B3BE5">
        <w:t>during the FSMP WG/16 discussions from the 15-24</w:t>
      </w:r>
      <w:r w:rsidR="002B3BE5" w:rsidRPr="002B3BE5">
        <w:rPr>
          <w:vertAlign w:val="superscript"/>
        </w:rPr>
        <w:t>th</w:t>
      </w:r>
      <w:r w:rsidR="002B3BE5">
        <w:t xml:space="preserve"> February 2023 and are intended to assist with the </w:t>
      </w:r>
      <w:r w:rsidR="002B32CB">
        <w:t>resolution of variables for</w:t>
      </w:r>
      <w:r w:rsidR="002B3BE5">
        <w:t xml:space="preserve"> </w:t>
      </w:r>
      <w:r w:rsidR="00E23CC3">
        <w:t xml:space="preserve">WRC-23 Agenda Item 1.7 – VHF SATCOM. </w:t>
      </w:r>
      <w:r w:rsidR="00794D60">
        <w:t xml:space="preserve">  Additional work is expected at the next FSMP AG/17 meeting in Aug 2023</w:t>
      </w:r>
    </w:p>
    <w:p w14:paraId="79B7F20C" w14:textId="77777777" w:rsidR="003A169F" w:rsidRPr="00F1371D" w:rsidRDefault="003A169F" w:rsidP="003A169F">
      <w:pPr>
        <w:pStyle w:val="2para"/>
        <w:numPr>
          <w:ilvl w:val="1"/>
          <w:numId w:val="7"/>
        </w:numPr>
        <w:rPr>
          <w:b/>
          <w:bCs/>
        </w:rPr>
      </w:pPr>
      <w:r w:rsidRPr="00F1371D">
        <w:rPr>
          <w:b/>
          <w:bCs/>
        </w:rPr>
        <w:t>Terrestrial and SATCOM network interactions</w:t>
      </w:r>
    </w:p>
    <w:p w14:paraId="49CD89D7" w14:textId="6061ABBD" w:rsidR="003A169F" w:rsidRDefault="003A169F" w:rsidP="003A169F">
      <w:pPr>
        <w:pStyle w:val="3para"/>
        <w:numPr>
          <w:ilvl w:val="2"/>
          <w:numId w:val="7"/>
        </w:numPr>
      </w:pPr>
      <w:r w:rsidRPr="002C4FB9">
        <w:t xml:space="preserve">Terrestrial and SATCOM </w:t>
      </w:r>
      <w:r>
        <w:t xml:space="preserve">VDL </w:t>
      </w:r>
      <w:r w:rsidRPr="002C4FB9">
        <w:t xml:space="preserve">networks shall be coordinated to remain isolated for operations on the same frequency by coverage.  </w:t>
      </w:r>
      <w:r w:rsidR="00441C99" w:rsidRPr="002C4FB9">
        <w:t xml:space="preserve">However, coordination between different aircraft while they are terrestrial and earth stations respectively </w:t>
      </w:r>
      <w:r w:rsidR="00441C99">
        <w:t xml:space="preserve">may not be </w:t>
      </w:r>
      <w:r w:rsidR="00441C99" w:rsidRPr="002C4FB9">
        <w:t>required</w:t>
      </w:r>
      <w:r w:rsidR="00441C99">
        <w:t>.</w:t>
      </w:r>
      <w:r>
        <w:t xml:space="preserve"> </w:t>
      </w:r>
    </w:p>
    <w:p w14:paraId="6D2DE361" w14:textId="77777777" w:rsidR="003A169F" w:rsidRPr="00FC4D80" w:rsidRDefault="003A169F" w:rsidP="003A169F">
      <w:pPr>
        <w:pStyle w:val="3para"/>
        <w:numPr>
          <w:ilvl w:val="1"/>
          <w:numId w:val="7"/>
        </w:numPr>
        <w:rPr>
          <w:b/>
          <w:bCs/>
        </w:rPr>
      </w:pPr>
      <w:r w:rsidRPr="00FC4D80">
        <w:rPr>
          <w:b/>
          <w:bCs/>
        </w:rPr>
        <w:t>Ranges of existing terrestrial networks</w:t>
      </w:r>
    </w:p>
    <w:p w14:paraId="6CF17FFC" w14:textId="0AE3BADF" w:rsidR="003A169F" w:rsidRDefault="003A169F" w:rsidP="003A169F">
      <w:pPr>
        <w:pStyle w:val="3para"/>
        <w:numPr>
          <w:ilvl w:val="2"/>
          <w:numId w:val="7"/>
        </w:numPr>
      </w:pPr>
      <w:r>
        <w:t>Protection for terrestrial coverage should be ensured at 250 NM</w:t>
      </w:r>
      <w:r w:rsidR="00794D60">
        <w:t xml:space="preserve"> oceanic range</w:t>
      </w:r>
      <w:r>
        <w:t xml:space="preserve"> from national co</w:t>
      </w:r>
      <w:r w:rsidR="00794D60">
        <w:t>a</w:t>
      </w:r>
      <w:r>
        <w:t>st</w:t>
      </w:r>
      <w:r w:rsidR="00794D60">
        <w:t>lines</w:t>
      </w:r>
      <w:r>
        <w:t xml:space="preserve"> at FL400.  This would ensure existing terrestrial networks are not constrained while also not overprotecting some stations that may provide greater coverage on an inconsistent basis.  </w:t>
      </w:r>
    </w:p>
    <w:p w14:paraId="07C7CF87" w14:textId="77777777" w:rsidR="003A169F" w:rsidRPr="00F03E6B" w:rsidRDefault="003A169F" w:rsidP="003A169F">
      <w:pPr>
        <w:pStyle w:val="3para"/>
        <w:numPr>
          <w:ilvl w:val="1"/>
          <w:numId w:val="7"/>
        </w:numPr>
        <w:rPr>
          <w:b/>
          <w:bCs/>
        </w:rPr>
      </w:pPr>
      <w:r w:rsidRPr="00F03E6B">
        <w:rPr>
          <w:b/>
          <w:bCs/>
        </w:rPr>
        <w:t>PFD values for protection of terrestrial coverage under any ITU-R coordination process</w:t>
      </w:r>
    </w:p>
    <w:p w14:paraId="065E639E" w14:textId="2499D67C" w:rsidR="003A169F" w:rsidRDefault="003A169F" w:rsidP="003A169F">
      <w:pPr>
        <w:pStyle w:val="3para"/>
        <w:numPr>
          <w:ilvl w:val="2"/>
          <w:numId w:val="7"/>
        </w:numPr>
      </w:pPr>
      <w:r>
        <w:t xml:space="preserve">A value of -148 dBW/m2/4 kHz has been agreed as providing the necessary planning margin between the same system configurations.   Defining the level against other non-aviation systems with different parameters and waveforms may require other values to be used, with -166 dBW/m2/4 kHz likely to be the most appropriate based on documented radio performance.  </w:t>
      </w:r>
    </w:p>
    <w:p w14:paraId="4D90355F" w14:textId="77777777" w:rsidR="003A169F" w:rsidRPr="00C976AA" w:rsidRDefault="003A169F" w:rsidP="003A169F">
      <w:pPr>
        <w:pStyle w:val="1Heading"/>
        <w:numPr>
          <w:ilvl w:val="0"/>
          <w:numId w:val="7"/>
        </w:numPr>
      </w:pPr>
      <w:r w:rsidRPr="00C976AA">
        <w:t>VDL SATCOM OPERATING SCENARIOS</w:t>
      </w:r>
    </w:p>
    <w:p w14:paraId="61C3A70A" w14:textId="77777777" w:rsidR="003A169F" w:rsidRPr="00903923" w:rsidRDefault="003A169F" w:rsidP="003A169F">
      <w:pPr>
        <w:pStyle w:val="1Heading"/>
        <w:numPr>
          <w:ilvl w:val="1"/>
          <w:numId w:val="7"/>
        </w:numPr>
        <w:ind w:right="109"/>
      </w:pPr>
      <w:r w:rsidRPr="00903923">
        <w:t>Scenario #1 – Base Scen</w:t>
      </w:r>
      <w:r>
        <w:t>a</w:t>
      </w:r>
      <w:r w:rsidRPr="00903923">
        <w:t>rio - Complete isolation of terrestrial networks from VHF SATCOM</w:t>
      </w:r>
    </w:p>
    <w:p w14:paraId="29EC0692" w14:textId="77777777" w:rsidR="003A169F" w:rsidRDefault="003A169F" w:rsidP="003A169F">
      <w:pPr>
        <w:pStyle w:val="3para"/>
        <w:numPr>
          <w:ilvl w:val="2"/>
          <w:numId w:val="7"/>
        </w:numPr>
      </w:pPr>
      <w:r w:rsidRPr="00903923">
        <w:t xml:space="preserve">Administrations not wishing to participate in any VHF SATCOM service in their FIRs with terrestrial coverage, they could object/not accept the </w:t>
      </w:r>
      <w:r>
        <w:t xml:space="preserve">appropriate Article 9 </w:t>
      </w:r>
      <w:r w:rsidRPr="00903923">
        <w:t xml:space="preserve">satellite </w:t>
      </w:r>
      <w:r>
        <w:t>coordination requests</w:t>
      </w:r>
      <w:r w:rsidRPr="00903923">
        <w:t xml:space="preserve"> at the ITU-R.  This would implement the required protection of their networks at an agreed PFD level and point in space, ensuring terrestrial networks are not impacted in any way by VHF SATCOM operations.</w:t>
      </w:r>
    </w:p>
    <w:p w14:paraId="5EC4E402" w14:textId="77777777" w:rsidR="003A169F" w:rsidRPr="00903923" w:rsidRDefault="003A169F" w:rsidP="003A169F">
      <w:pPr>
        <w:pStyle w:val="1Heading"/>
        <w:numPr>
          <w:ilvl w:val="1"/>
          <w:numId w:val="7"/>
        </w:numPr>
        <w:ind w:right="-33"/>
      </w:pPr>
      <w:r w:rsidRPr="00CB62D6">
        <w:t>Scenario #2a – Overlapping coverage to provide continuity of VHF services between SATCOM and terrestrial</w:t>
      </w:r>
      <w:r>
        <w:t xml:space="preserve"> VDL networks</w:t>
      </w:r>
    </w:p>
    <w:p w14:paraId="426BF9D1" w14:textId="77777777" w:rsidR="003A169F" w:rsidRDefault="003A169F" w:rsidP="003A169F">
      <w:pPr>
        <w:pStyle w:val="3para"/>
        <w:numPr>
          <w:ilvl w:val="2"/>
          <w:numId w:val="7"/>
        </w:numPr>
      </w:pPr>
      <w:r>
        <w:t>Those administrations wishing to incorporate Oceanic VHF services to complement their extended terrestrial networks could accept/not object the</w:t>
      </w:r>
      <w:r w:rsidRPr="00F510FF">
        <w:t xml:space="preserve"> appropriate Article 9 satellite coordination requests </w:t>
      </w:r>
      <w:r>
        <w:t xml:space="preserve">at the ITU-R and then enter negotiations with the satellite operator to provide VHF SATCOM services up to a specified point from the national coastline under </w:t>
      </w:r>
      <w:r>
        <w:lastRenderedPageBreak/>
        <w:t xml:space="preserve">national licensing rules.  While the satellite operator would still agree to meet the PFD coordination threshold for existing terrestrial networks to ensure those frequencies are isolated as per the Scenario #1, dedicated SATCOM frequencies could be authorized/licensed in oceanic areas near the national coastline to create a ‘handover’ region.  This would enable an aircraft at the edge of terrestrial or SATCOM coverage to be referred to the dedicated frequency, traverse the gap in coverage, and then be moved to a suitable channel when fully in coverage of the respective SATCOM or terrestrial network.  </w:t>
      </w:r>
    </w:p>
    <w:p w14:paraId="435B9FA4" w14:textId="77777777" w:rsidR="003A169F" w:rsidRDefault="003A169F" w:rsidP="003A169F">
      <w:pPr>
        <w:pStyle w:val="3para"/>
        <w:numPr>
          <w:ilvl w:val="2"/>
          <w:numId w:val="7"/>
        </w:numPr>
      </w:pPr>
      <w:r>
        <w:t>The handover region would be decided each Administration separately, but would need to balance a potential ‘no-comm’ situation with up to 4 mins to require the relevant network</w:t>
      </w:r>
      <w:r>
        <w:rPr>
          <w:rStyle w:val="FootnoteReference"/>
        </w:rPr>
        <w:footnoteReference w:id="3"/>
      </w:r>
      <w:r>
        <w:t>, while also minimizing the increase of RF energy being received over land of that administration that may limit current or future terrestrial ground station assignments.</w:t>
      </w:r>
    </w:p>
    <w:p w14:paraId="2D0832D1" w14:textId="77777777" w:rsidR="003A169F" w:rsidRDefault="003A169F" w:rsidP="003A169F">
      <w:pPr>
        <w:pStyle w:val="3para"/>
        <w:numPr>
          <w:ilvl w:val="2"/>
          <w:numId w:val="7"/>
        </w:numPr>
      </w:pPr>
      <w:r>
        <w:t xml:space="preserve">Any process to manage such a handover region would likely require some form of ICAO planning process at the PIRG level.  However, there is no existing process that could be easily used, including the likely need for coordination between different PIRGs to plan between neighbouring FIRs. </w:t>
      </w:r>
    </w:p>
    <w:p w14:paraId="2E924668" w14:textId="77777777" w:rsidR="003A169F" w:rsidRPr="001B792F" w:rsidRDefault="003A169F" w:rsidP="003A169F">
      <w:pPr>
        <w:pStyle w:val="3para"/>
        <w:numPr>
          <w:ilvl w:val="1"/>
          <w:numId w:val="7"/>
        </w:numPr>
        <w:rPr>
          <w:b/>
          <w:bCs/>
        </w:rPr>
      </w:pPr>
      <w:r w:rsidRPr="001B792F">
        <w:rPr>
          <w:b/>
          <w:bCs/>
        </w:rPr>
        <w:t>Scenario #2b - Full VHF SATCOM coverage over national territory</w:t>
      </w:r>
    </w:p>
    <w:p w14:paraId="3CA3CC63" w14:textId="77777777" w:rsidR="003A169F" w:rsidRDefault="003A169F" w:rsidP="003A169F">
      <w:pPr>
        <w:pStyle w:val="3para"/>
        <w:numPr>
          <w:ilvl w:val="2"/>
          <w:numId w:val="7"/>
        </w:numPr>
      </w:pPr>
      <w:r>
        <w:t xml:space="preserve">An Administration wishes to use VHF SATCOM services over its national territory, accepts/does not object to </w:t>
      </w:r>
      <w:r w:rsidRPr="001B792F">
        <w:t>the appropriate Article 9 satellite coordination requests</w:t>
      </w:r>
      <w:r>
        <w:t xml:space="preserve"> at the ITU-R</w:t>
      </w:r>
      <w:r w:rsidRPr="001B792F">
        <w:t xml:space="preserve"> </w:t>
      </w:r>
      <w:r>
        <w:t xml:space="preserve">and then implements appropriate national licensing mechanisms.  The protections of existing frequencies are maintained as per Scenario #1, but the VHF SATCOM system operates over part or all of an Administration on dedicated channels.  As this would encompass a handover region also, the setup of a similar process at the ICAO PIRGS to plan these between neighbouring FIRs would still be needed.  </w:t>
      </w:r>
    </w:p>
    <w:p w14:paraId="7E03AECA" w14:textId="626FCF85" w:rsidR="00EE0FA8" w:rsidRDefault="00EE0FA8">
      <w:pPr>
        <w:jc w:val="left"/>
        <w:rPr>
          <w:b/>
        </w:rPr>
      </w:pPr>
      <w:r>
        <w:br w:type="page"/>
      </w:r>
    </w:p>
    <w:p w14:paraId="2EF3936C" w14:textId="77777777" w:rsidR="00C25982" w:rsidRPr="00C25982" w:rsidRDefault="00C25982" w:rsidP="00C25982">
      <w:pPr>
        <w:pStyle w:val="Heading1"/>
        <w:rPr>
          <w:lang w:eastAsia="zh-CN"/>
        </w:rPr>
      </w:pPr>
      <w:r w:rsidRPr="00C25982">
        <w:lastRenderedPageBreak/>
        <w:t>ANNEX A – Proposed LS to WP 5B for Agreement on Coordination Items for WRC-23 AI 1.7</w:t>
      </w:r>
    </w:p>
    <w:p w14:paraId="305A2EE6" w14:textId="23E2D054" w:rsidR="00EE0FA8" w:rsidRDefault="00EE0FA8" w:rsidP="00EE0FA8">
      <w:pPr>
        <w:jc w:val="center"/>
        <w:rPr>
          <w:b/>
        </w:rPr>
      </w:pPr>
    </w:p>
    <w:tbl>
      <w:tblPr>
        <w:tblpPr w:leftFromText="180" w:rightFromText="180" w:vertAnchor="page" w:horzAnchor="margin" w:tblpY="2411"/>
        <w:tblW w:w="9885" w:type="dxa"/>
        <w:tblLayout w:type="fixed"/>
        <w:tblLook w:val="04A0" w:firstRow="1" w:lastRow="0" w:firstColumn="1" w:lastColumn="0" w:noHBand="0" w:noVBand="1"/>
      </w:tblPr>
      <w:tblGrid>
        <w:gridCol w:w="9885"/>
      </w:tblGrid>
      <w:tr w:rsidR="00C25982" w14:paraId="46176479" w14:textId="77777777" w:rsidTr="00C25982">
        <w:trPr>
          <w:cantSplit/>
        </w:trPr>
        <w:tc>
          <w:tcPr>
            <w:tcW w:w="9885" w:type="dxa"/>
            <w:hideMark/>
          </w:tcPr>
          <w:p w14:paraId="4C21C1DF" w14:textId="77777777" w:rsidR="00C25982" w:rsidRDefault="00C25982" w:rsidP="00C25982">
            <w:pPr>
              <w:pStyle w:val="Source"/>
              <w:rPr>
                <w:lang w:eastAsia="zh-CN"/>
              </w:rPr>
            </w:pPr>
            <w:bookmarkStart w:id="4" w:name="dsource"/>
            <w:r>
              <w:rPr>
                <w:lang w:eastAsia="zh-CN"/>
              </w:rPr>
              <w:t>International Civil Aviation Organization</w:t>
            </w:r>
            <w:r>
              <w:rPr>
                <w:caps/>
                <w:lang w:eastAsia="zh-CN"/>
              </w:rPr>
              <w:t xml:space="preserve"> (ICAO)</w:t>
            </w:r>
          </w:p>
        </w:tc>
        <w:bookmarkEnd w:id="4"/>
      </w:tr>
      <w:tr w:rsidR="00C25982" w14:paraId="78B4CD35" w14:textId="77777777" w:rsidTr="00C25982">
        <w:trPr>
          <w:cantSplit/>
        </w:trPr>
        <w:tc>
          <w:tcPr>
            <w:tcW w:w="9885" w:type="dxa"/>
            <w:hideMark/>
          </w:tcPr>
          <w:p w14:paraId="0A765558" w14:textId="77777777" w:rsidR="00C25982" w:rsidRDefault="00C25982" w:rsidP="00C25982">
            <w:pPr>
              <w:pStyle w:val="Title1"/>
              <w:rPr>
                <w:lang w:eastAsia="zh-CN"/>
              </w:rPr>
            </w:pPr>
            <w:bookmarkStart w:id="5" w:name="_Hlk119917350"/>
            <w:bookmarkStart w:id="6" w:name="drec"/>
            <w:r>
              <w:rPr>
                <w:caps w:val="0"/>
                <w:lang w:eastAsia="zh-CN"/>
              </w:rPr>
              <w:t xml:space="preserve">LIAISON STATEMENT TO </w:t>
            </w:r>
            <w:bookmarkEnd w:id="5"/>
            <w:r>
              <w:rPr>
                <w:lang w:eastAsia="zh-CN"/>
              </w:rPr>
              <w:t>ITU-R WORKING PARTY 5B</w:t>
            </w:r>
          </w:p>
        </w:tc>
        <w:bookmarkEnd w:id="6"/>
      </w:tr>
      <w:tr w:rsidR="00C25982" w14:paraId="420759AA" w14:textId="77777777" w:rsidTr="00C25982">
        <w:trPr>
          <w:cantSplit/>
        </w:trPr>
        <w:tc>
          <w:tcPr>
            <w:tcW w:w="9885" w:type="dxa"/>
            <w:hideMark/>
          </w:tcPr>
          <w:p w14:paraId="4B316BF4" w14:textId="32D5F9C9" w:rsidR="00C25982" w:rsidRDefault="00341DF2" w:rsidP="000E2753">
            <w:pPr>
              <w:pStyle w:val="Title4"/>
              <w:rPr>
                <w:lang w:eastAsia="zh-CN"/>
              </w:rPr>
            </w:pPr>
            <w:bookmarkStart w:id="7" w:name="_Hlk119917374"/>
            <w:bookmarkStart w:id="8" w:name="dtitle1"/>
            <w:r>
              <w:rPr>
                <w:lang w:eastAsia="zh-CN"/>
              </w:rPr>
              <w:t xml:space="preserve">Updates on VHF SATCOM Systems </w:t>
            </w:r>
            <w:r w:rsidR="000E2753">
              <w:rPr>
                <w:lang w:eastAsia="zh-CN"/>
              </w:rPr>
              <w:t>Being Developed as Part of WRC-23 Agenda Item 1.7</w:t>
            </w:r>
            <w:bookmarkEnd w:id="7"/>
          </w:p>
        </w:tc>
      </w:tr>
      <w:bookmarkEnd w:id="8"/>
    </w:tbl>
    <w:p w14:paraId="0DEEE1CC" w14:textId="77777777" w:rsidR="00EE0FA8" w:rsidRDefault="00EE0FA8" w:rsidP="00EE0FA8">
      <w:pPr>
        <w:rPr>
          <w:b/>
        </w:rPr>
      </w:pPr>
    </w:p>
    <w:p w14:paraId="23D5EA4D" w14:textId="0F8DB5FE" w:rsidR="00C25982" w:rsidRDefault="00C25982" w:rsidP="00C25982">
      <w:pPr>
        <w:pStyle w:val="Normalaftertitle"/>
        <w:spacing w:before="120"/>
        <w:rPr>
          <w:szCs w:val="24"/>
        </w:rPr>
      </w:pPr>
      <w:bookmarkStart w:id="9" w:name="dbreak"/>
      <w:bookmarkEnd w:id="9"/>
      <w:r>
        <w:rPr>
          <w:szCs w:val="24"/>
        </w:rPr>
        <w:t>At its recent Frequency Spectrum Management Panel (FSMP) Meeting</w:t>
      </w:r>
      <w:r w:rsidR="00A000A6">
        <w:rPr>
          <w:szCs w:val="24"/>
        </w:rPr>
        <w:t xml:space="preserve"> in February 2023</w:t>
      </w:r>
      <w:r>
        <w:rPr>
          <w:szCs w:val="24"/>
        </w:rPr>
        <w:t xml:space="preserve">, ICAO has </w:t>
      </w:r>
      <w:r w:rsidR="00974F7B">
        <w:rPr>
          <w:szCs w:val="24"/>
        </w:rPr>
        <w:t xml:space="preserve">discussed various elements to clarify its views on </w:t>
      </w:r>
      <w:r w:rsidR="00EE57B6">
        <w:rPr>
          <w:szCs w:val="24"/>
        </w:rPr>
        <w:t>elements supporting ARC-23 – Agenda Item 1.7.  These are captured below</w:t>
      </w:r>
      <w:r w:rsidR="00A000A6">
        <w:rPr>
          <w:szCs w:val="24"/>
        </w:rPr>
        <w:t xml:space="preserve"> and provided for information to WP 5B</w:t>
      </w:r>
      <w:r w:rsidR="00EE57B6">
        <w:rPr>
          <w:szCs w:val="24"/>
        </w:rPr>
        <w:t>:</w:t>
      </w:r>
    </w:p>
    <w:p w14:paraId="1520A772" w14:textId="77777777" w:rsidR="00EE57B6" w:rsidRDefault="00EE57B6" w:rsidP="00EE57B6"/>
    <w:p w14:paraId="4B14C4E5" w14:textId="1806D559" w:rsidR="009B2CFF" w:rsidRPr="00CB63B5" w:rsidRDefault="009B2CFF" w:rsidP="00EE57B6">
      <w:pPr>
        <w:rPr>
          <w:i/>
          <w:iCs/>
        </w:rPr>
      </w:pPr>
      <w:r w:rsidRPr="00CB63B5">
        <w:rPr>
          <w:i/>
          <w:iCs/>
        </w:rPr>
        <w:t>[</w:t>
      </w:r>
      <w:r w:rsidR="00CB63B5" w:rsidRPr="00CB63B5">
        <w:rPr>
          <w:i/>
          <w:iCs/>
        </w:rPr>
        <w:t xml:space="preserve">Editor’s Note: </w:t>
      </w:r>
      <w:r w:rsidRPr="00CB63B5">
        <w:rPr>
          <w:i/>
          <w:iCs/>
        </w:rPr>
        <w:t xml:space="preserve">The below is included </w:t>
      </w:r>
      <w:r w:rsidR="00CB63B5" w:rsidRPr="00CB63B5">
        <w:rPr>
          <w:i/>
          <w:iCs/>
        </w:rPr>
        <w:t>as possible material.  If agreed, it would need to be written in an appropriate style for a LS to WP 5B]</w:t>
      </w:r>
    </w:p>
    <w:p w14:paraId="38361A75" w14:textId="77777777" w:rsidR="00CB63B5" w:rsidRDefault="00CB63B5" w:rsidP="009B2CFF">
      <w:pPr>
        <w:pStyle w:val="2para"/>
        <w:numPr>
          <w:ilvl w:val="0"/>
          <w:numId w:val="0"/>
        </w:numPr>
        <w:rPr>
          <w:i/>
          <w:iCs/>
        </w:rPr>
      </w:pPr>
    </w:p>
    <w:p w14:paraId="5BE6E58A" w14:textId="65563B84" w:rsidR="009B2CFF" w:rsidRPr="00CB63B5" w:rsidRDefault="009B2CFF" w:rsidP="009B2CFF">
      <w:pPr>
        <w:pStyle w:val="2para"/>
        <w:numPr>
          <w:ilvl w:val="0"/>
          <w:numId w:val="0"/>
        </w:numPr>
        <w:rPr>
          <w:b/>
          <w:bCs/>
          <w:i/>
          <w:iCs/>
        </w:rPr>
      </w:pPr>
      <w:r w:rsidRPr="00CB63B5">
        <w:rPr>
          <w:i/>
          <w:iCs/>
        </w:rPr>
        <w:t>[</w:t>
      </w:r>
      <w:r w:rsidRPr="00CB63B5">
        <w:rPr>
          <w:b/>
          <w:bCs/>
          <w:i/>
          <w:iCs/>
        </w:rPr>
        <w:t>Terrestrial and SATCOM network interactions</w:t>
      </w:r>
    </w:p>
    <w:p w14:paraId="4400D705" w14:textId="6C7F0FCF" w:rsidR="009B2CFF" w:rsidRPr="00CB63B5" w:rsidRDefault="009B2CFF" w:rsidP="009B2CFF">
      <w:pPr>
        <w:pStyle w:val="3para"/>
        <w:numPr>
          <w:ilvl w:val="0"/>
          <w:numId w:val="0"/>
        </w:numPr>
        <w:rPr>
          <w:i/>
          <w:iCs/>
        </w:rPr>
      </w:pPr>
      <w:r w:rsidRPr="00CB63B5">
        <w:rPr>
          <w:i/>
          <w:iCs/>
        </w:rPr>
        <w:t xml:space="preserve">Terrestrial and SATCOM VDL networks shall be coordinated to remain isolated for operations on the same frequency by coverage.  </w:t>
      </w:r>
      <w:r w:rsidR="00441C99" w:rsidRPr="00441C99">
        <w:rPr>
          <w:i/>
          <w:iCs/>
        </w:rPr>
        <w:t>However, coordination between different aircraft while they are terrestrial and earth stations respectively may not be required</w:t>
      </w:r>
      <w:r w:rsidRPr="00CB63B5">
        <w:rPr>
          <w:i/>
          <w:iCs/>
        </w:rPr>
        <w:t xml:space="preserve">. </w:t>
      </w:r>
    </w:p>
    <w:p w14:paraId="6F45A644" w14:textId="77777777" w:rsidR="009B2CFF" w:rsidRPr="00CB63B5" w:rsidRDefault="009B2CFF" w:rsidP="009B2CFF">
      <w:pPr>
        <w:pStyle w:val="3para"/>
        <w:numPr>
          <w:ilvl w:val="0"/>
          <w:numId w:val="0"/>
        </w:numPr>
        <w:rPr>
          <w:b/>
          <w:bCs/>
          <w:i/>
          <w:iCs/>
        </w:rPr>
      </w:pPr>
      <w:r w:rsidRPr="00CB63B5">
        <w:rPr>
          <w:b/>
          <w:bCs/>
          <w:i/>
          <w:iCs/>
        </w:rPr>
        <w:t>Ranges of existing terrestrial networks</w:t>
      </w:r>
    </w:p>
    <w:p w14:paraId="5E087B88" w14:textId="77777777" w:rsidR="009B2CFF" w:rsidRPr="00CB63B5" w:rsidRDefault="009B2CFF" w:rsidP="009B2CFF">
      <w:pPr>
        <w:pStyle w:val="3para"/>
        <w:numPr>
          <w:ilvl w:val="0"/>
          <w:numId w:val="0"/>
        </w:numPr>
        <w:rPr>
          <w:i/>
          <w:iCs/>
        </w:rPr>
      </w:pPr>
      <w:r w:rsidRPr="00CB63B5">
        <w:rPr>
          <w:i/>
          <w:iCs/>
        </w:rPr>
        <w:t xml:space="preserve">Protection for terrestrial coverage should be ensured at 250 NM oceanic range from national coastlines at FL400.  This would ensure existing terrestrial networks are not constrained while also not overprotecting some stations that may provide greater coverage on an inconsistent basis.  </w:t>
      </w:r>
    </w:p>
    <w:p w14:paraId="067801ED" w14:textId="77777777" w:rsidR="009B2CFF" w:rsidRPr="00CB63B5" w:rsidRDefault="009B2CFF" w:rsidP="009B2CFF">
      <w:pPr>
        <w:pStyle w:val="3para"/>
        <w:numPr>
          <w:ilvl w:val="0"/>
          <w:numId w:val="0"/>
        </w:numPr>
        <w:rPr>
          <w:b/>
          <w:bCs/>
          <w:i/>
          <w:iCs/>
        </w:rPr>
      </w:pPr>
      <w:r w:rsidRPr="00CB63B5">
        <w:rPr>
          <w:b/>
          <w:bCs/>
          <w:i/>
          <w:iCs/>
        </w:rPr>
        <w:t>PFD values for protection of terrestrial coverage under any ITU-R coordination process</w:t>
      </w:r>
    </w:p>
    <w:p w14:paraId="2D762E4B" w14:textId="13E4B184" w:rsidR="00EE57B6" w:rsidRPr="00CB63B5" w:rsidRDefault="009B2CFF" w:rsidP="009B2CFF">
      <w:pPr>
        <w:rPr>
          <w:i/>
          <w:iCs/>
        </w:rPr>
      </w:pPr>
      <w:r w:rsidRPr="00CB63B5">
        <w:rPr>
          <w:i/>
          <w:iCs/>
        </w:rPr>
        <w:t>A value of -148 dBW/m2/4 kHz has been agreed as providing the necessary planning margin between the same system configurations.   Defining the level against other non-aviation systems with different parameters and waveforms may require other values to be used, with -166 dBW/m2/4 kHz likely to be the most appropriate based on documented radio performance]</w:t>
      </w:r>
    </w:p>
    <w:p w14:paraId="381A721D" w14:textId="77777777" w:rsidR="00C25982" w:rsidRDefault="00C25982" w:rsidP="00C25982">
      <w:pPr>
        <w:pStyle w:val="Normalaftertitle"/>
        <w:spacing w:before="120"/>
        <w:rPr>
          <w:szCs w:val="24"/>
        </w:rPr>
      </w:pPr>
    </w:p>
    <w:p w14:paraId="4D95F032" w14:textId="21D2BFD6" w:rsidR="009B2CFF" w:rsidRDefault="009B2CFF" w:rsidP="009B2CFF">
      <w:pPr>
        <w:spacing w:before="120"/>
        <w:rPr>
          <w:sz w:val="24"/>
          <w:szCs w:val="24"/>
        </w:rPr>
      </w:pPr>
      <w:r>
        <w:rPr>
          <w:sz w:val="24"/>
          <w:szCs w:val="24"/>
        </w:rPr>
        <w:t xml:space="preserve">ICAO would request </w:t>
      </w:r>
      <w:r>
        <w:t xml:space="preserve">WP 5B </w:t>
      </w:r>
      <w:r>
        <w:rPr>
          <w:sz w:val="24"/>
          <w:szCs w:val="24"/>
        </w:rPr>
        <w:t>keep ICAO informed on the progress made on this issue.</w:t>
      </w:r>
    </w:p>
    <w:p w14:paraId="0C2C829D" w14:textId="77777777" w:rsidR="009B2CFF" w:rsidRDefault="009B2CFF" w:rsidP="009B2CFF">
      <w:pPr>
        <w:spacing w:before="120"/>
        <w:rPr>
          <w:sz w:val="24"/>
          <w:szCs w:val="24"/>
        </w:rPr>
      </w:pPr>
    </w:p>
    <w:tbl>
      <w:tblPr>
        <w:tblW w:w="9600" w:type="dxa"/>
        <w:tblLayout w:type="fixed"/>
        <w:tblLook w:val="04A0" w:firstRow="1" w:lastRow="0" w:firstColumn="1" w:lastColumn="0" w:noHBand="0" w:noVBand="1"/>
      </w:tblPr>
      <w:tblGrid>
        <w:gridCol w:w="6233"/>
        <w:gridCol w:w="3367"/>
      </w:tblGrid>
      <w:tr w:rsidR="009B2CFF" w14:paraId="14A91D06" w14:textId="77777777" w:rsidTr="006B7C48">
        <w:trPr>
          <w:cantSplit/>
        </w:trPr>
        <w:tc>
          <w:tcPr>
            <w:tcW w:w="6233" w:type="dxa"/>
            <w:hideMark/>
          </w:tcPr>
          <w:p w14:paraId="229B6959" w14:textId="77777777" w:rsidR="009B2CFF" w:rsidRDefault="009B2CFF" w:rsidP="006B7C48">
            <w:pPr>
              <w:spacing w:before="120"/>
              <w:rPr>
                <w:sz w:val="24"/>
                <w:szCs w:val="24"/>
                <w:lang w:eastAsia="zh-CN"/>
              </w:rPr>
            </w:pPr>
            <w:r>
              <w:rPr>
                <w:b/>
                <w:sz w:val="24"/>
                <w:szCs w:val="24"/>
                <w:lang w:eastAsia="zh-CN"/>
              </w:rPr>
              <w:t>Status:</w:t>
            </w:r>
            <w:r>
              <w:rPr>
                <w:b/>
                <w:sz w:val="24"/>
                <w:szCs w:val="24"/>
                <w:lang w:eastAsia="zh-CN"/>
              </w:rPr>
              <w:tab/>
            </w:r>
            <w:r>
              <w:rPr>
                <w:b/>
                <w:sz w:val="24"/>
                <w:szCs w:val="24"/>
                <w:lang w:eastAsia="zh-CN"/>
              </w:rPr>
              <w:tab/>
            </w:r>
            <w:r>
              <w:rPr>
                <w:b/>
                <w:sz w:val="24"/>
                <w:szCs w:val="24"/>
                <w:lang w:eastAsia="zh-CN"/>
              </w:rPr>
              <w:tab/>
            </w:r>
            <w:r>
              <w:rPr>
                <w:sz w:val="24"/>
                <w:szCs w:val="24"/>
                <w:lang w:eastAsia="zh-CN"/>
              </w:rPr>
              <w:t>For information</w:t>
            </w:r>
          </w:p>
        </w:tc>
        <w:tc>
          <w:tcPr>
            <w:tcW w:w="3367" w:type="dxa"/>
          </w:tcPr>
          <w:p w14:paraId="3F254A88" w14:textId="77777777" w:rsidR="009B2CFF" w:rsidRDefault="009B2CFF" w:rsidP="006B7C48">
            <w:pPr>
              <w:spacing w:before="120"/>
              <w:rPr>
                <w:sz w:val="24"/>
                <w:szCs w:val="24"/>
                <w:lang w:eastAsia="zh-CN"/>
              </w:rPr>
            </w:pPr>
          </w:p>
        </w:tc>
      </w:tr>
      <w:tr w:rsidR="009B2CFF" w14:paraId="615C1538" w14:textId="77777777" w:rsidTr="006B7C48">
        <w:trPr>
          <w:cantSplit/>
          <w:trHeight w:val="270"/>
        </w:trPr>
        <w:tc>
          <w:tcPr>
            <w:tcW w:w="6233" w:type="dxa"/>
            <w:hideMark/>
          </w:tcPr>
          <w:p w14:paraId="36CB2BF3" w14:textId="77777777" w:rsidR="009B2CFF" w:rsidRDefault="009B2CFF" w:rsidP="006B7C48">
            <w:pPr>
              <w:spacing w:before="120"/>
              <w:rPr>
                <w:sz w:val="24"/>
                <w:szCs w:val="24"/>
              </w:rPr>
            </w:pPr>
            <w:r>
              <w:rPr>
                <w:b/>
                <w:sz w:val="24"/>
                <w:szCs w:val="24"/>
                <w:lang w:eastAsia="zh-CN"/>
              </w:rPr>
              <w:t>Contact:</w:t>
            </w:r>
            <w:r>
              <w:rPr>
                <w:b/>
                <w:sz w:val="24"/>
                <w:szCs w:val="24"/>
                <w:lang w:eastAsia="zh-CN"/>
              </w:rPr>
              <w:tab/>
            </w:r>
            <w:r>
              <w:rPr>
                <w:b/>
                <w:sz w:val="24"/>
                <w:szCs w:val="24"/>
                <w:lang w:eastAsia="zh-CN"/>
              </w:rPr>
              <w:tab/>
            </w:r>
            <w:r>
              <w:rPr>
                <w:b/>
                <w:sz w:val="24"/>
                <w:szCs w:val="24"/>
                <w:lang w:eastAsia="zh-CN"/>
              </w:rPr>
              <w:tab/>
            </w:r>
            <w:r w:rsidRPr="008D3B5C">
              <w:rPr>
                <w:bCs/>
                <w:sz w:val="24"/>
                <w:szCs w:val="24"/>
                <w:lang w:eastAsia="zh-CN"/>
              </w:rPr>
              <w:t>Loftur Jonasson</w:t>
            </w:r>
          </w:p>
        </w:tc>
        <w:tc>
          <w:tcPr>
            <w:tcW w:w="3367" w:type="dxa"/>
            <w:hideMark/>
          </w:tcPr>
          <w:p w14:paraId="2B61C8AB" w14:textId="77777777" w:rsidR="009B2CFF" w:rsidRDefault="009B2CFF" w:rsidP="006B7C48">
            <w:pPr>
              <w:spacing w:before="120"/>
              <w:rPr>
                <w:sz w:val="24"/>
                <w:szCs w:val="24"/>
                <w:lang w:eastAsia="zh-CN"/>
              </w:rPr>
            </w:pPr>
            <w:r>
              <w:rPr>
                <w:b/>
                <w:bCs/>
                <w:sz w:val="24"/>
                <w:szCs w:val="24"/>
                <w:lang w:eastAsia="zh-CN"/>
              </w:rPr>
              <w:t xml:space="preserve">E-mail: </w:t>
            </w:r>
            <w:hyperlink r:id="rId11" w:history="1">
              <w:r w:rsidRPr="00237FAA">
                <w:rPr>
                  <w:rStyle w:val="Hyperlink"/>
                  <w:sz w:val="24"/>
                  <w:szCs w:val="24"/>
                  <w:lang w:eastAsia="zh-CN"/>
                </w:rPr>
                <w:t>ljonasson@icao.int</w:t>
              </w:r>
            </w:hyperlink>
            <w:r>
              <w:rPr>
                <w:sz w:val="24"/>
                <w:szCs w:val="24"/>
                <w:lang w:eastAsia="zh-CN"/>
              </w:rPr>
              <w:t xml:space="preserve"> </w:t>
            </w:r>
            <w:r w:rsidRPr="00341DF2">
              <w:rPr>
                <w:sz w:val="24"/>
                <w:szCs w:val="24"/>
                <w:lang w:eastAsia="zh-CN"/>
              </w:rPr>
              <w:tab/>
              <w:t xml:space="preserve"> </w:t>
            </w:r>
            <w:r>
              <w:rPr>
                <w:sz w:val="24"/>
                <w:szCs w:val="24"/>
                <w:lang w:eastAsia="zh-CN"/>
              </w:rPr>
              <w:t xml:space="preserve"> </w:t>
            </w:r>
          </w:p>
        </w:tc>
      </w:tr>
    </w:tbl>
    <w:p w14:paraId="5C059728" w14:textId="77777777" w:rsidR="00EE0FA8" w:rsidRPr="00EE0FA8" w:rsidRDefault="00EE0FA8" w:rsidP="00EE0FA8"/>
    <w:sectPr w:rsidR="00EE0FA8" w:rsidRPr="00EE0FA8">
      <w:headerReference w:type="even" r:id="rId12"/>
      <w:head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260E8" w14:textId="77777777" w:rsidR="00F463B9" w:rsidRDefault="00F463B9">
      <w:r>
        <w:separator/>
      </w:r>
    </w:p>
  </w:endnote>
  <w:endnote w:type="continuationSeparator" w:id="0">
    <w:p w14:paraId="1F9D5A13" w14:textId="77777777" w:rsidR="00F463B9" w:rsidRDefault="00F4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8AA9E" w14:textId="71CE09FC"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707C4A">
      <w:rPr>
        <w:noProof/>
        <w:sz w:val="18"/>
        <w:lang w:val="fr-FR"/>
      </w:rPr>
      <w:t>8</w:t>
    </w:r>
    <w:r>
      <w:rPr>
        <w:sz w:val="18"/>
        <w:lang w:val="en-US"/>
      </w:rPr>
      <w:fldChar w:fldCharType="end"/>
    </w:r>
    <w:r>
      <w:rPr>
        <w:sz w:val="18"/>
        <w:lang w:val="fr-FR"/>
      </w:rPr>
      <w:t xml:space="preserve"> pages)</w:t>
    </w:r>
  </w:p>
  <w:p w14:paraId="7F466C55" w14:textId="7212A479"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707C4A">
      <w:rPr>
        <w:noProof/>
        <w:sz w:val="18"/>
        <w:lang w:val="en-US"/>
      </w:rPr>
      <w:t>FSMP-WG16-WP24_Considerations for VHF SATCOM Coordination.docx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CDC87" w14:textId="77777777" w:rsidR="00F463B9" w:rsidRDefault="00F463B9">
      <w:r>
        <w:separator/>
      </w:r>
    </w:p>
  </w:footnote>
  <w:footnote w:type="continuationSeparator" w:id="0">
    <w:p w14:paraId="4B83EE27" w14:textId="77777777" w:rsidR="00F463B9" w:rsidRDefault="00F463B9">
      <w:r>
        <w:continuationSeparator/>
      </w:r>
    </w:p>
  </w:footnote>
  <w:footnote w:id="1">
    <w:p w14:paraId="7DBCB55D" w14:textId="77777777" w:rsidR="00AF4E4D" w:rsidRPr="00531741" w:rsidRDefault="00AF4E4D" w:rsidP="00AF4E4D">
      <w:pPr>
        <w:pStyle w:val="FootnoteText"/>
        <w:rPr>
          <w:lang w:val="en-US"/>
        </w:rPr>
      </w:pPr>
      <w:r>
        <w:rPr>
          <w:rStyle w:val="FootnoteReference"/>
        </w:rPr>
        <w:footnoteRef/>
      </w:r>
      <w:r>
        <w:t xml:space="preserve"> </w:t>
      </w:r>
      <w:r>
        <w:rPr>
          <w:lang w:val="en-US"/>
        </w:rPr>
        <w:t>VHF voice systems use the same radios as the VDL systems, and also are specified with a 20 dB D/U demodulation requirement.</w:t>
      </w:r>
    </w:p>
  </w:footnote>
  <w:footnote w:id="2">
    <w:p w14:paraId="4751446A" w14:textId="3E841445" w:rsidR="005F32E3" w:rsidRPr="005F32E3" w:rsidRDefault="005F32E3">
      <w:pPr>
        <w:pStyle w:val="FootnoteText"/>
        <w:rPr>
          <w:lang w:val="en-US"/>
        </w:rPr>
      </w:pPr>
      <w:r>
        <w:rPr>
          <w:rStyle w:val="FootnoteReference"/>
        </w:rPr>
        <w:footnoteRef/>
      </w:r>
      <w:r>
        <w:t xml:space="preserve"> </w:t>
      </w:r>
      <w:r>
        <w:rPr>
          <w:lang w:val="en-US"/>
        </w:rPr>
        <w:t>Based on worst case current no-comm procedure as the CMU/ATSU tries relevant frequency lookup tables and then negotiates/</w:t>
      </w:r>
      <w:r w:rsidR="000543FC">
        <w:rPr>
          <w:lang w:val="en-US"/>
        </w:rPr>
        <w:t>handshakes</w:t>
      </w:r>
      <w:r w:rsidR="002D06DC">
        <w:rPr>
          <w:lang w:val="en-US"/>
        </w:rPr>
        <w:t xml:space="preserve"> with</w:t>
      </w:r>
      <w:r w:rsidR="000543FC">
        <w:rPr>
          <w:lang w:val="en-US"/>
        </w:rPr>
        <w:t xml:space="preserve"> </w:t>
      </w:r>
      <w:r w:rsidR="002D06DC">
        <w:rPr>
          <w:lang w:val="en-US"/>
        </w:rPr>
        <w:t>alternative media</w:t>
      </w:r>
      <w:r w:rsidR="000543FC">
        <w:rPr>
          <w:lang w:val="en-US"/>
        </w:rPr>
        <w:t xml:space="preserve"> approved by the aircraft operator</w:t>
      </w:r>
      <w:r w:rsidR="002D06DC">
        <w:rPr>
          <w:lang w:val="en-US"/>
        </w:rPr>
        <w:t>.</w:t>
      </w:r>
    </w:p>
  </w:footnote>
  <w:footnote w:id="3">
    <w:p w14:paraId="4E79CEDC" w14:textId="77777777" w:rsidR="003A169F" w:rsidRPr="005F32E3" w:rsidRDefault="003A169F" w:rsidP="003A169F">
      <w:pPr>
        <w:pStyle w:val="FootnoteText"/>
        <w:rPr>
          <w:lang w:val="en-US"/>
        </w:rPr>
      </w:pPr>
      <w:r>
        <w:rPr>
          <w:rStyle w:val="FootnoteReference"/>
        </w:rPr>
        <w:footnoteRef/>
      </w:r>
      <w:r>
        <w:t xml:space="preserve"> </w:t>
      </w:r>
      <w:r>
        <w:rPr>
          <w:lang w:val="en-US"/>
        </w:rPr>
        <w:t>Based on worst case current no-comm procedure as the CMU/ATSU tries relevant frequency lookup tables and then negotiates/handshakes with alternative media approved by the aircraft operator.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8B82" w14:textId="4AC04C9F" w:rsidR="00770160" w:rsidRDefault="000D26D5" w:rsidP="00F56F90">
    <w:pPr>
      <w:tabs>
        <w:tab w:val="center" w:pos="4876"/>
      </w:tabs>
      <w:spacing w:after="600"/>
    </w:pPr>
    <w:r>
      <w:t>FS</w:t>
    </w:r>
    <w:r w:rsidR="00725205">
      <w:t>MP</w:t>
    </w:r>
    <w:r w:rsidR="007E6A06">
      <w:t>-WG</w:t>
    </w:r>
    <w:r w:rsidR="00770160">
      <w:t>/</w:t>
    </w:r>
    <w:r w:rsidR="00C32F4A">
      <w:t>1</w:t>
    </w:r>
    <w:r w:rsidR="00E5621A">
      <w:t>6</w:t>
    </w:r>
    <w:r w:rsidR="007E6A06">
      <w:t xml:space="preserve"> </w:t>
    </w:r>
    <w:r w:rsidR="00770160">
      <w:t>WP/</w:t>
    </w:r>
    <w:r w:rsidR="00707C4A">
      <w:t>24</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707C4A">
      <w:rPr>
        <w:rStyle w:val="PageNumber"/>
        <w:noProof/>
      </w:rPr>
      <w:t>8</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EF930" w14:textId="594CD86A"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707C4A">
      <w:rPr>
        <w:rStyle w:val="PageNumber"/>
        <w:noProof/>
      </w:rPr>
      <w:t>7</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E5621A">
      <w:t>6</w:t>
    </w:r>
    <w:r w:rsidR="007E6A06">
      <w:t xml:space="preserve"> </w:t>
    </w:r>
    <w:r>
      <w:t>WP/</w:t>
    </w:r>
    <w:r w:rsidR="00707C4A">
      <w:t>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0B193046" w14:textId="77777777" w:rsidTr="00664C07">
      <w:trPr>
        <w:trHeight w:val="1790"/>
      </w:trPr>
      <w:tc>
        <w:tcPr>
          <w:tcW w:w="1915" w:type="dxa"/>
          <w:shd w:val="clear" w:color="auto" w:fill="FFFFFF"/>
        </w:tcPr>
        <w:p w14:paraId="46C4A585" w14:textId="611943D8" w:rsidR="00920C27" w:rsidRDefault="00D50D1E" w:rsidP="00664C07">
          <w:bookmarkStart w:id="10" w:name="logo"/>
          <w:r w:rsidRPr="00484298">
            <w:rPr>
              <w:noProof/>
              <w:lang w:val="en-CA" w:eastAsia="zh-CN"/>
            </w:rPr>
            <w:drawing>
              <wp:inline distT="0" distB="0" distL="0" distR="0" wp14:anchorId="522B6C9E" wp14:editId="3F2DF4E8">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10"/>
        </w:p>
      </w:tc>
      <w:tc>
        <w:tcPr>
          <w:tcW w:w="3895" w:type="dxa"/>
          <w:shd w:val="clear" w:color="auto" w:fill="FFFFFF"/>
          <w:tcMar>
            <w:right w:w="0" w:type="dxa"/>
          </w:tcMar>
        </w:tcPr>
        <w:p w14:paraId="010EB0CE" w14:textId="1F8EF28E" w:rsidR="00920C27" w:rsidRPr="00066AB7" w:rsidRDefault="00D50D1E"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7728" behindDoc="0" locked="0" layoutInCell="1" allowOverlap="1" wp14:anchorId="787834BC" wp14:editId="63611C7E">
                    <wp:simplePos x="0" y="0"/>
                    <wp:positionH relativeFrom="column">
                      <wp:posOffset>12700</wp:posOffset>
                    </wp:positionH>
                    <wp:positionV relativeFrom="paragraph">
                      <wp:posOffset>342900</wp:posOffset>
                    </wp:positionV>
                    <wp:extent cx="24003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D55BB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2BA16CA9"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6AD24E1C" w14:textId="77777777" w:rsidR="00920C27" w:rsidRPr="00066AB7" w:rsidRDefault="00920C27" w:rsidP="00664C07">
          <w:pPr>
            <w:rPr>
              <w:rFonts w:ascii="Arial" w:hAnsi="Arial" w:cs="Arial"/>
              <w:szCs w:val="22"/>
            </w:rPr>
          </w:pPr>
        </w:p>
        <w:p w14:paraId="210B6ECA"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75E81D2C" w14:textId="77777777" w:rsidTr="00664C07">
            <w:trPr>
              <w:jc w:val="right"/>
            </w:trPr>
            <w:tc>
              <w:tcPr>
                <w:tcW w:w="0" w:type="auto"/>
              </w:tcPr>
              <w:p w14:paraId="4EA5F8C0" w14:textId="74A8FE5C" w:rsidR="00920C27" w:rsidRPr="00066AB7" w:rsidRDefault="000D26D5" w:rsidP="00707C4A">
                <w:pPr>
                  <w:framePr w:hSpace="180" w:wrap="around" w:vAnchor="text" w:hAnchor="text" w:y="1"/>
                  <w:suppressOverlap/>
                  <w:jc w:val="left"/>
                  <w:rPr>
                    <w:szCs w:val="22"/>
                  </w:rPr>
                </w:pPr>
                <w:bookmarkStart w:id="11"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E5621A">
                  <w:rPr>
                    <w:szCs w:val="22"/>
                  </w:rPr>
                  <w:t>6</w:t>
                </w:r>
                <w:r w:rsidR="007E6A06">
                  <w:rPr>
                    <w:szCs w:val="22"/>
                  </w:rPr>
                  <w:t xml:space="preserve"> </w:t>
                </w:r>
                <w:r w:rsidR="00920C27" w:rsidRPr="00066AB7">
                  <w:rPr>
                    <w:szCs w:val="22"/>
                  </w:rPr>
                  <w:t>WP/</w:t>
                </w:r>
                <w:bookmarkEnd w:id="11"/>
                <w:r w:rsidR="00707C4A">
                  <w:rPr>
                    <w:szCs w:val="22"/>
                  </w:rPr>
                  <w:t>24</w:t>
                </w:r>
              </w:p>
              <w:p w14:paraId="5044AE86" w14:textId="61CF436C" w:rsidR="00920C27" w:rsidRPr="00066AB7" w:rsidRDefault="00885035" w:rsidP="00707C4A">
                <w:pPr>
                  <w:framePr w:hSpace="180" w:wrap="around" w:vAnchor="text" w:hAnchor="text" w:y="1"/>
                  <w:suppressOverlap/>
                  <w:jc w:val="left"/>
                  <w:rPr>
                    <w:b/>
                  </w:rPr>
                </w:pPr>
                <w:bookmarkStart w:id="12" w:name="restricted"/>
                <w:bookmarkStart w:id="13" w:name="addendum_corrigendum_appendix"/>
                <w:bookmarkStart w:id="14" w:name="revision_no"/>
                <w:bookmarkStart w:id="15" w:name="revision_date"/>
                <w:bookmarkStart w:id="16" w:name="related_to"/>
                <w:bookmarkEnd w:id="12"/>
                <w:bookmarkEnd w:id="13"/>
                <w:bookmarkEnd w:id="14"/>
                <w:bookmarkEnd w:id="15"/>
                <w:bookmarkEnd w:id="16"/>
                <w:r>
                  <w:rPr>
                    <w:sz w:val="18"/>
                    <w:szCs w:val="18"/>
                  </w:rPr>
                  <w:t>202</w:t>
                </w:r>
                <w:r w:rsidR="00E5621A">
                  <w:rPr>
                    <w:sz w:val="18"/>
                    <w:szCs w:val="18"/>
                  </w:rPr>
                  <w:t>3</w:t>
                </w:r>
                <w:r>
                  <w:rPr>
                    <w:sz w:val="18"/>
                    <w:szCs w:val="18"/>
                  </w:rPr>
                  <w:t>-0</w:t>
                </w:r>
                <w:r w:rsidR="00E5621A">
                  <w:rPr>
                    <w:sz w:val="18"/>
                    <w:szCs w:val="18"/>
                  </w:rPr>
                  <w:t>2</w:t>
                </w:r>
                <w:r>
                  <w:rPr>
                    <w:sz w:val="18"/>
                    <w:szCs w:val="18"/>
                  </w:rPr>
                  <w:t>-</w:t>
                </w:r>
                <w:r w:rsidR="00707C4A">
                  <w:rPr>
                    <w:sz w:val="18"/>
                    <w:szCs w:val="18"/>
                  </w:rPr>
                  <w:t>07</w:t>
                </w:r>
                <w:r w:rsidR="00920C27" w:rsidRPr="00066AB7">
                  <w:rPr>
                    <w:b/>
                    <w:sz w:val="18"/>
                    <w:szCs w:val="18"/>
                  </w:rPr>
                  <w:t xml:space="preserve"> </w:t>
                </w:r>
                <w:bookmarkStart w:id="17" w:name="info_paper"/>
                <w:bookmarkEnd w:id="17"/>
              </w:p>
            </w:tc>
          </w:tr>
          <w:tr w:rsidR="00920C27" w14:paraId="6D55E103" w14:textId="77777777" w:rsidTr="00664C07">
            <w:trPr>
              <w:jc w:val="right"/>
            </w:trPr>
            <w:tc>
              <w:tcPr>
                <w:tcW w:w="0" w:type="auto"/>
              </w:tcPr>
              <w:p w14:paraId="64B420A9" w14:textId="77777777" w:rsidR="00920C27" w:rsidRPr="00066AB7" w:rsidRDefault="00920C27" w:rsidP="00707C4A">
                <w:pPr>
                  <w:framePr w:hSpace="180" w:wrap="around" w:vAnchor="text" w:hAnchor="text" w:y="1"/>
                  <w:suppressOverlap/>
                  <w:jc w:val="left"/>
                  <w:rPr>
                    <w:szCs w:val="22"/>
                  </w:rPr>
                </w:pPr>
              </w:p>
            </w:tc>
          </w:tr>
        </w:tbl>
        <w:p w14:paraId="12A62654"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00DEEDE2" w14:textId="7554FF4E" w:rsidR="00770160" w:rsidRDefault="00770160" w:rsidP="00707C4A">
    <w:pPr>
      <w:pStyle w:val="3para"/>
      <w:numPr>
        <w:ilvl w:val="0"/>
        <w:numId w:val="0"/>
      </w:numPr>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5" w15:restartNumberingAfterBreak="0">
    <w:nsid w:val="75C31609"/>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num w:numId="1">
    <w:abstractNumId w:val="3"/>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10283"/>
    <w:rsid w:val="0002582F"/>
    <w:rsid w:val="000273D2"/>
    <w:rsid w:val="000543FC"/>
    <w:rsid w:val="00067C56"/>
    <w:rsid w:val="00076B69"/>
    <w:rsid w:val="000B087D"/>
    <w:rsid w:val="000D26D5"/>
    <w:rsid w:val="000E200C"/>
    <w:rsid w:val="000E206A"/>
    <w:rsid w:val="000E218A"/>
    <w:rsid w:val="000E2753"/>
    <w:rsid w:val="001566B0"/>
    <w:rsid w:val="00162F26"/>
    <w:rsid w:val="00197A3D"/>
    <w:rsid w:val="001A1910"/>
    <w:rsid w:val="001A50B3"/>
    <w:rsid w:val="001B792F"/>
    <w:rsid w:val="00296C3E"/>
    <w:rsid w:val="002B32CB"/>
    <w:rsid w:val="002B3BE5"/>
    <w:rsid w:val="002C2D0B"/>
    <w:rsid w:val="002C4FB9"/>
    <w:rsid w:val="002D06DC"/>
    <w:rsid w:val="002F53C3"/>
    <w:rsid w:val="003205C9"/>
    <w:rsid w:val="0032405C"/>
    <w:rsid w:val="003268D4"/>
    <w:rsid w:val="00331EEF"/>
    <w:rsid w:val="00341DF2"/>
    <w:rsid w:val="00343C9F"/>
    <w:rsid w:val="003715A0"/>
    <w:rsid w:val="003A169F"/>
    <w:rsid w:val="003A74A7"/>
    <w:rsid w:val="003D7FD8"/>
    <w:rsid w:val="00412FF4"/>
    <w:rsid w:val="00423C6F"/>
    <w:rsid w:val="004245FB"/>
    <w:rsid w:val="00441C99"/>
    <w:rsid w:val="004735BC"/>
    <w:rsid w:val="00483C4F"/>
    <w:rsid w:val="00484A9D"/>
    <w:rsid w:val="0049280E"/>
    <w:rsid w:val="00492CD2"/>
    <w:rsid w:val="004B124B"/>
    <w:rsid w:val="004D5C94"/>
    <w:rsid w:val="004F04C2"/>
    <w:rsid w:val="00505F6E"/>
    <w:rsid w:val="0051574F"/>
    <w:rsid w:val="00526169"/>
    <w:rsid w:val="00527A52"/>
    <w:rsid w:val="00531741"/>
    <w:rsid w:val="00533D18"/>
    <w:rsid w:val="00552B85"/>
    <w:rsid w:val="005D7D35"/>
    <w:rsid w:val="005F32E3"/>
    <w:rsid w:val="006116E5"/>
    <w:rsid w:val="00625E2A"/>
    <w:rsid w:val="00657AE5"/>
    <w:rsid w:val="00664C07"/>
    <w:rsid w:val="006652C5"/>
    <w:rsid w:val="0067101D"/>
    <w:rsid w:val="006813DF"/>
    <w:rsid w:val="00682763"/>
    <w:rsid w:val="006C0064"/>
    <w:rsid w:val="006C07AF"/>
    <w:rsid w:val="006C47C2"/>
    <w:rsid w:val="006D4919"/>
    <w:rsid w:val="006E599B"/>
    <w:rsid w:val="00707C4A"/>
    <w:rsid w:val="0071581F"/>
    <w:rsid w:val="00725205"/>
    <w:rsid w:val="00760654"/>
    <w:rsid w:val="00767A9F"/>
    <w:rsid w:val="00770160"/>
    <w:rsid w:val="00794D60"/>
    <w:rsid w:val="007E0685"/>
    <w:rsid w:val="007E6A06"/>
    <w:rsid w:val="00817D2C"/>
    <w:rsid w:val="00860FB4"/>
    <w:rsid w:val="00885035"/>
    <w:rsid w:val="00896451"/>
    <w:rsid w:val="008B54C4"/>
    <w:rsid w:val="008C37DA"/>
    <w:rsid w:val="008D3B5C"/>
    <w:rsid w:val="0090204A"/>
    <w:rsid w:val="00903923"/>
    <w:rsid w:val="00920B80"/>
    <w:rsid w:val="00920C27"/>
    <w:rsid w:val="00927F21"/>
    <w:rsid w:val="009602EE"/>
    <w:rsid w:val="00974F7B"/>
    <w:rsid w:val="00986264"/>
    <w:rsid w:val="009A3BB6"/>
    <w:rsid w:val="009B2CFF"/>
    <w:rsid w:val="009B7A44"/>
    <w:rsid w:val="009D26F8"/>
    <w:rsid w:val="00A000A6"/>
    <w:rsid w:val="00A03CFF"/>
    <w:rsid w:val="00A12810"/>
    <w:rsid w:val="00A12CBA"/>
    <w:rsid w:val="00A21519"/>
    <w:rsid w:val="00A232A8"/>
    <w:rsid w:val="00A449D1"/>
    <w:rsid w:val="00AF4E4D"/>
    <w:rsid w:val="00B95AA6"/>
    <w:rsid w:val="00BA3009"/>
    <w:rsid w:val="00BC5391"/>
    <w:rsid w:val="00BD4F38"/>
    <w:rsid w:val="00BE65C4"/>
    <w:rsid w:val="00BE6BA2"/>
    <w:rsid w:val="00C01F41"/>
    <w:rsid w:val="00C05289"/>
    <w:rsid w:val="00C25982"/>
    <w:rsid w:val="00C2608A"/>
    <w:rsid w:val="00C32F4A"/>
    <w:rsid w:val="00C40335"/>
    <w:rsid w:val="00C8212C"/>
    <w:rsid w:val="00CB62D6"/>
    <w:rsid w:val="00CB63B5"/>
    <w:rsid w:val="00CF72A2"/>
    <w:rsid w:val="00D22255"/>
    <w:rsid w:val="00D27FAC"/>
    <w:rsid w:val="00D50D1E"/>
    <w:rsid w:val="00D76967"/>
    <w:rsid w:val="00D8375B"/>
    <w:rsid w:val="00D94FD3"/>
    <w:rsid w:val="00DA654F"/>
    <w:rsid w:val="00DD396C"/>
    <w:rsid w:val="00DE05CC"/>
    <w:rsid w:val="00DF76D3"/>
    <w:rsid w:val="00E04CC4"/>
    <w:rsid w:val="00E23CC3"/>
    <w:rsid w:val="00E50591"/>
    <w:rsid w:val="00E5621A"/>
    <w:rsid w:val="00E70F09"/>
    <w:rsid w:val="00E7263C"/>
    <w:rsid w:val="00E7672A"/>
    <w:rsid w:val="00E77340"/>
    <w:rsid w:val="00E91DF2"/>
    <w:rsid w:val="00EB0220"/>
    <w:rsid w:val="00EB1EAC"/>
    <w:rsid w:val="00EE0FA8"/>
    <w:rsid w:val="00EE57B6"/>
    <w:rsid w:val="00F03E6B"/>
    <w:rsid w:val="00F1371D"/>
    <w:rsid w:val="00F2728B"/>
    <w:rsid w:val="00F463B9"/>
    <w:rsid w:val="00F510FF"/>
    <w:rsid w:val="00F56F90"/>
    <w:rsid w:val="00F71246"/>
    <w:rsid w:val="00F8644B"/>
    <w:rsid w:val="00F975FD"/>
    <w:rsid w:val="00FC4D80"/>
    <w:rsid w:val="00FD00B0"/>
    <w:rsid w:val="00FE3734"/>
    <w:rsid w:val="00FF1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A2F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paragraph" w:styleId="FootnoteText">
    <w:name w:val="footnote text"/>
    <w:basedOn w:val="Normal"/>
    <w:link w:val="FootnoteTextChar"/>
    <w:rsid w:val="0032405C"/>
    <w:rPr>
      <w:sz w:val="20"/>
    </w:rPr>
  </w:style>
  <w:style w:type="character" w:customStyle="1" w:styleId="FootnoteTextChar">
    <w:name w:val="Footnote Text Char"/>
    <w:basedOn w:val="DefaultParagraphFont"/>
    <w:link w:val="FootnoteText"/>
    <w:rsid w:val="0032405C"/>
    <w:rPr>
      <w:lang w:val="en-GB"/>
    </w:rPr>
  </w:style>
  <w:style w:type="character" w:styleId="FootnoteReference">
    <w:name w:val="footnote reference"/>
    <w:basedOn w:val="DefaultParagraphFont"/>
    <w:rsid w:val="0032405C"/>
    <w:rPr>
      <w:vertAlign w:val="superscript"/>
    </w:rPr>
  </w:style>
  <w:style w:type="paragraph" w:styleId="ListParagraph">
    <w:name w:val="List Paragraph"/>
    <w:basedOn w:val="Normal"/>
    <w:uiPriority w:val="34"/>
    <w:qFormat/>
    <w:rsid w:val="009D26F8"/>
    <w:pPr>
      <w:ind w:left="720"/>
      <w:contextualSpacing/>
    </w:pPr>
  </w:style>
  <w:style w:type="character" w:styleId="Hyperlink">
    <w:name w:val="Hyperlink"/>
    <w:basedOn w:val="DefaultParagraphFont"/>
    <w:uiPriority w:val="99"/>
    <w:unhideWhenUsed/>
    <w:rsid w:val="00C25982"/>
    <w:rPr>
      <w:color w:val="0563C1" w:themeColor="hyperlink"/>
      <w:u w:val="single"/>
    </w:rPr>
  </w:style>
  <w:style w:type="paragraph" w:customStyle="1" w:styleId="Source">
    <w:name w:val="Source"/>
    <w:basedOn w:val="Normal"/>
    <w:next w:val="Normal"/>
    <w:rsid w:val="00C25982"/>
    <w:pPr>
      <w:tabs>
        <w:tab w:val="left" w:pos="1134"/>
        <w:tab w:val="left" w:pos="1871"/>
        <w:tab w:val="left" w:pos="2268"/>
      </w:tabs>
      <w:overflowPunct w:val="0"/>
      <w:autoSpaceDE w:val="0"/>
      <w:autoSpaceDN w:val="0"/>
      <w:adjustRightInd w:val="0"/>
      <w:spacing w:before="840"/>
      <w:jc w:val="center"/>
    </w:pPr>
    <w:rPr>
      <w:b/>
      <w:sz w:val="28"/>
    </w:rPr>
  </w:style>
  <w:style w:type="paragraph" w:customStyle="1" w:styleId="Title1">
    <w:name w:val="Title 1"/>
    <w:basedOn w:val="Source"/>
    <w:next w:val="Normal"/>
    <w:rsid w:val="00C25982"/>
    <w:pPr>
      <w:tabs>
        <w:tab w:val="left" w:pos="567"/>
        <w:tab w:val="left" w:pos="1701"/>
        <w:tab w:val="left" w:pos="2835"/>
      </w:tabs>
      <w:spacing w:before="240"/>
    </w:pPr>
    <w:rPr>
      <w:b w:val="0"/>
      <w:caps/>
    </w:rPr>
  </w:style>
  <w:style w:type="paragraph" w:customStyle="1" w:styleId="Title4">
    <w:name w:val="Title 4"/>
    <w:basedOn w:val="Normal"/>
    <w:next w:val="Heading1"/>
    <w:rsid w:val="00C25982"/>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C25982"/>
    <w:pPr>
      <w:tabs>
        <w:tab w:val="left" w:pos="1134"/>
        <w:tab w:val="left" w:pos="1871"/>
        <w:tab w:val="left" w:pos="2268"/>
      </w:tabs>
      <w:overflowPunct w:val="0"/>
      <w:autoSpaceDE w:val="0"/>
      <w:autoSpaceDN w:val="0"/>
      <w:adjustRightInd w:val="0"/>
      <w:spacing w:before="360"/>
      <w:jc w:val="left"/>
    </w:pPr>
    <w:rPr>
      <w:sz w:val="24"/>
    </w:rPr>
  </w:style>
  <w:style w:type="character" w:customStyle="1" w:styleId="UnresolvedMention">
    <w:name w:val="Unresolved Mention"/>
    <w:basedOn w:val="DefaultParagraphFont"/>
    <w:uiPriority w:val="99"/>
    <w:semiHidden/>
    <w:unhideWhenUsed/>
    <w:rsid w:val="00341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208996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jonasson@icao.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CC2D-AD11-41AA-A67B-F0A41B97A150}">
  <ds:schemaRefs>
    <ds:schemaRef ds:uri="http://purl.org/dc/elements/1.1/"/>
    <ds:schemaRef ds:uri="http://schemas.microsoft.com/office/2006/metadata/properties"/>
    <ds:schemaRef ds:uri="http://schemas.microsoft.com/office/2006/documentManagement/types"/>
    <ds:schemaRef ds:uri="3a32ac1f-2b4c-47fa-adda-3523a18d37ad"/>
    <ds:schemaRef ds:uri="http://purl.org/dc/terms/"/>
    <ds:schemaRef ds:uri="713d6f2d-8a98-4dfb-98ca-54a7c3d9951e"/>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FA42646-50E8-4FE1-8D31-DB3AA6B0C41C}">
  <ds:schemaRefs>
    <ds:schemaRef ds:uri="http://schemas.microsoft.com/sharepoint/v3/contenttype/forms"/>
  </ds:schemaRefs>
</ds:datastoreItem>
</file>

<file path=customXml/itemProps3.xml><?xml version="1.0" encoding="utf-8"?>
<ds:datastoreItem xmlns:ds="http://schemas.openxmlformats.org/officeDocument/2006/customXml" ds:itemID="{7A0E5F7E-188F-4E76-BD05-E030DC1B309B}"/>
</file>

<file path=customXml/itemProps4.xml><?xml version="1.0" encoding="utf-8"?>
<ds:datastoreItem xmlns:ds="http://schemas.openxmlformats.org/officeDocument/2006/customXml" ds:itemID="{B30EEA04-A0B1-470E-84D5-2EDA8F2D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2620</Words>
  <Characters>14410</Characters>
  <Application>Microsoft Office Word</Application>
  <DocSecurity>0</DocSecurity>
  <Lines>236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2023-02-07T21:13:00Z</dcterms:created>
  <dcterms:modified xsi:type="dcterms:W3CDTF">2023-02-07T22:01:00Z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0x010100B372B09A9A77C4438999FF1325BEF759</vt:lpwstr>
  </property>
</Properties>
</file>