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2B45A" w14:textId="77777777" w:rsidR="00D4322E" w:rsidRDefault="00D4322E">
      <w:pPr>
        <w:pStyle w:val="Body"/>
        <w:spacing w:after="160"/>
        <w:jc w:val="center"/>
        <w:rPr>
          <w:rFonts w:ascii="Times New Roman" w:hAnsi="Times New Roman" w:cs="Times New Roman"/>
          <w:b/>
          <w:bCs/>
          <w:sz w:val="24"/>
          <w:szCs w:val="24"/>
          <w:u w:val="single"/>
        </w:rPr>
      </w:pPr>
    </w:p>
    <w:p w14:paraId="0BCDA4F5" w14:textId="77777777" w:rsidR="00753285" w:rsidRDefault="000F7DAE">
      <w:pPr>
        <w:pStyle w:val="Body"/>
        <w:spacing w:after="160"/>
        <w:jc w:val="center"/>
        <w:rPr>
          <w:rFonts w:ascii="Times New Roman" w:hAnsi="Times New Roman" w:cs="Times New Roman"/>
          <w:b/>
          <w:bCs/>
          <w:sz w:val="24"/>
          <w:szCs w:val="24"/>
          <w:u w:val="single"/>
        </w:rPr>
      </w:pPr>
      <w:r w:rsidRPr="000F7DAE">
        <w:rPr>
          <w:rFonts w:ascii="Times New Roman" w:hAnsi="Times New Roman" w:cs="Times New Roman"/>
          <w:b/>
          <w:bCs/>
          <w:sz w:val="24"/>
          <w:szCs w:val="24"/>
          <w:u w:val="single"/>
        </w:rPr>
        <w:t xml:space="preserve">International Civil Aviation Organization (ICAO) Carbon Offsetting and Reduction Scheme for International Aviation (CORSIA) </w:t>
      </w:r>
    </w:p>
    <w:p w14:paraId="6B3E10AF" w14:textId="77777777" w:rsidR="00524085" w:rsidRPr="00721C69" w:rsidRDefault="00842F6C" w:rsidP="00535164">
      <w:pPr>
        <w:pStyle w:val="Body"/>
        <w:spacing w:after="160"/>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Programme</w:t>
      </w:r>
      <w:r w:rsidR="00524085" w:rsidRPr="00721C69">
        <w:rPr>
          <w:rFonts w:ascii="Times New Roman" w:hAnsi="Times New Roman" w:cs="Times New Roman"/>
          <w:b/>
          <w:bCs/>
          <w:i/>
          <w:iCs/>
          <w:sz w:val="24"/>
          <w:szCs w:val="24"/>
          <w:u w:val="single"/>
        </w:rPr>
        <w:t xml:space="preserve"> Application Form</w:t>
      </w:r>
      <w:r w:rsidR="00F32838" w:rsidRPr="00721C69">
        <w:rPr>
          <w:rFonts w:ascii="Times New Roman" w:hAnsi="Times New Roman" w:cs="Times New Roman"/>
          <w:b/>
          <w:bCs/>
          <w:i/>
          <w:iCs/>
          <w:sz w:val="24"/>
          <w:szCs w:val="24"/>
          <w:u w:val="single"/>
        </w:rPr>
        <w:t>,</w:t>
      </w:r>
      <w:r w:rsidR="00524085" w:rsidRPr="00721C69">
        <w:rPr>
          <w:rFonts w:ascii="Times New Roman" w:hAnsi="Times New Roman" w:cs="Times New Roman"/>
          <w:b/>
          <w:bCs/>
          <w:i/>
          <w:iCs/>
          <w:sz w:val="24"/>
          <w:szCs w:val="24"/>
          <w:u w:val="single"/>
        </w:rPr>
        <w:t xml:space="preserve"> Appendix </w:t>
      </w:r>
      <w:r w:rsidR="00535164" w:rsidRPr="00721C69">
        <w:rPr>
          <w:rFonts w:ascii="Times New Roman" w:hAnsi="Times New Roman" w:cs="Times New Roman"/>
          <w:b/>
          <w:bCs/>
          <w:i/>
          <w:iCs/>
          <w:sz w:val="24"/>
          <w:szCs w:val="24"/>
          <w:u w:val="single"/>
        </w:rPr>
        <w:t>A</w:t>
      </w:r>
    </w:p>
    <w:p w14:paraId="471306EE" w14:textId="77777777" w:rsidR="00753285" w:rsidRPr="000F7DAE" w:rsidRDefault="000F7DAE">
      <w:pPr>
        <w:pStyle w:val="Body"/>
        <w:spacing w:after="160"/>
        <w:jc w:val="center"/>
        <w:rPr>
          <w:rFonts w:ascii="Times New Roman" w:hAnsi="Times New Roman" w:cs="Times New Roman"/>
          <w:b/>
          <w:bCs/>
          <w:i/>
          <w:sz w:val="24"/>
          <w:szCs w:val="24"/>
        </w:rPr>
      </w:pPr>
      <w:r w:rsidRPr="000F7DAE">
        <w:rPr>
          <w:rFonts w:ascii="Times New Roman" w:hAnsi="Times New Roman" w:cs="Times New Roman"/>
          <w:b/>
          <w:bCs/>
          <w:i/>
          <w:sz w:val="24"/>
          <w:szCs w:val="24"/>
        </w:rPr>
        <w:t xml:space="preserve">Supplementary Information for </w:t>
      </w:r>
      <w:r w:rsidR="0041011C">
        <w:rPr>
          <w:rFonts w:ascii="Times New Roman" w:hAnsi="Times New Roman" w:cs="Times New Roman"/>
          <w:b/>
          <w:bCs/>
          <w:i/>
          <w:sz w:val="24"/>
          <w:szCs w:val="24"/>
        </w:rPr>
        <w:t>Assessment of</w:t>
      </w:r>
      <w:r w:rsidRPr="000F7DAE">
        <w:rPr>
          <w:rFonts w:ascii="Times New Roman" w:hAnsi="Times New Roman" w:cs="Times New Roman"/>
          <w:b/>
          <w:bCs/>
          <w:i/>
          <w:sz w:val="24"/>
          <w:szCs w:val="24"/>
        </w:rPr>
        <w:t xml:space="preserve"> Emissions Unit </w:t>
      </w:r>
      <w:r w:rsidR="00842F6C">
        <w:rPr>
          <w:rFonts w:ascii="Times New Roman" w:hAnsi="Times New Roman" w:cs="Times New Roman"/>
          <w:b/>
          <w:bCs/>
          <w:i/>
          <w:sz w:val="24"/>
          <w:szCs w:val="24"/>
        </w:rPr>
        <w:t>Programme</w:t>
      </w:r>
      <w:r w:rsidRPr="000F7DAE">
        <w:rPr>
          <w:rFonts w:ascii="Times New Roman" w:hAnsi="Times New Roman" w:cs="Times New Roman"/>
          <w:b/>
          <w:bCs/>
          <w:i/>
          <w:sz w:val="24"/>
          <w:szCs w:val="24"/>
        </w:rPr>
        <w:t>s</w:t>
      </w:r>
    </w:p>
    <w:p w14:paraId="3FFDADF4" w14:textId="77777777" w:rsidR="00753285" w:rsidRPr="000F7DAE" w:rsidRDefault="000F7DAE" w:rsidP="00DE74B7">
      <w:pPr>
        <w:pStyle w:val="MainHeader"/>
        <w:rPr>
          <w:rFonts w:ascii="Times New Roman" w:eastAsia="Helvetica Neue Thin" w:hAnsi="Times New Roman" w:cs="Times New Roman"/>
        </w:rPr>
      </w:pPr>
      <w:r w:rsidRPr="000F7DAE">
        <w:rPr>
          <w:rFonts w:ascii="Times New Roman" w:hAnsi="Times New Roman" w:cs="Times New Roman"/>
        </w:rPr>
        <w:t xml:space="preserve">About the </w:t>
      </w:r>
      <w:r w:rsidR="00124A9F">
        <w:rPr>
          <w:rFonts w:ascii="Times New Roman" w:hAnsi="Times New Roman" w:cs="Times New Roman"/>
        </w:rPr>
        <w:t>A</w:t>
      </w:r>
      <w:r w:rsidR="00DE74B7">
        <w:rPr>
          <w:rFonts w:ascii="Times New Roman" w:hAnsi="Times New Roman" w:cs="Times New Roman"/>
        </w:rPr>
        <w:t xml:space="preserve">ssessment Process </w:t>
      </w:r>
      <w:r w:rsidRPr="000F7DAE">
        <w:rPr>
          <w:rFonts w:ascii="Times New Roman" w:hAnsi="Times New Roman" w:cs="Times New Roman"/>
        </w:rPr>
        <w:t xml:space="preserve">and Supplementary Information </w:t>
      </w:r>
    </w:p>
    <w:p w14:paraId="02074D26" w14:textId="77777777" w:rsidR="00753285" w:rsidRPr="000F7DAE" w:rsidRDefault="00842F6C" w:rsidP="00273FAD">
      <w:pPr>
        <w:pStyle w:val="Body"/>
        <w:spacing w:after="160"/>
        <w:ind w:left="100" w:right="4"/>
        <w:jc w:val="both"/>
        <w:rPr>
          <w:rFonts w:ascii="Times New Roman" w:eastAsia="Helvetica Neue Thin" w:hAnsi="Times New Roman" w:cs="Times New Roman"/>
          <w:sz w:val="24"/>
          <w:szCs w:val="24"/>
        </w:rPr>
      </w:pPr>
      <w:r>
        <w:rPr>
          <w:rFonts w:ascii="Times New Roman" w:eastAsia="Times New Roman" w:hAnsi="Times New Roman" w:cs="Times New Roman"/>
          <w:spacing w:val="-1"/>
          <w:sz w:val="24"/>
          <w:szCs w:val="24"/>
        </w:rPr>
        <w:t>ICAO Member States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sidR="000F7DAE" w:rsidRPr="000F7DAE">
        <w:rPr>
          <w:rFonts w:ascii="Times New Roman" w:hAnsi="Times New Roman" w:cs="Times New Roman"/>
          <w:sz w:val="24"/>
          <w:szCs w:val="24"/>
        </w:rPr>
        <w:t xml:space="preserve"> the aviation industry are implement</w:t>
      </w:r>
      <w:r>
        <w:rPr>
          <w:rFonts w:ascii="Times New Roman" w:hAnsi="Times New Roman" w:cs="Times New Roman"/>
          <w:sz w:val="24"/>
          <w:szCs w:val="24"/>
        </w:rPr>
        <w:t>ing</w:t>
      </w:r>
      <w:r w:rsidR="000F7DAE" w:rsidRPr="000F7DAE">
        <w:rPr>
          <w:rFonts w:ascii="Times New Roman" w:hAnsi="Times New Roman" w:cs="Times New Roman"/>
          <w:sz w:val="24"/>
          <w:szCs w:val="24"/>
        </w:rPr>
        <w:t xml:space="preserve"> the Carbon Offsetting and Reduction Scheme for International Aviation (CORSIA). Together with other mitigation measures, CORSIA will help achieve international aviation’s aspirational goal of carbon neutral growth from </w:t>
      </w:r>
      <w:r>
        <w:rPr>
          <w:rFonts w:ascii="Times New Roman" w:hAnsi="Times New Roman" w:cs="Times New Roman"/>
          <w:sz w:val="24"/>
          <w:szCs w:val="24"/>
        </w:rPr>
        <w:t xml:space="preserve">the </w:t>
      </w:r>
      <w:r w:rsidR="000F7DAE" w:rsidRPr="000F7DAE">
        <w:rPr>
          <w:rFonts w:ascii="Times New Roman" w:hAnsi="Times New Roman" w:cs="Times New Roman"/>
          <w:sz w:val="24"/>
          <w:szCs w:val="24"/>
        </w:rPr>
        <w:t>year 2020.</w:t>
      </w:r>
    </w:p>
    <w:p w14:paraId="6D2766AC" w14:textId="77777777" w:rsidR="00387C1B" w:rsidRDefault="00387C1B" w:rsidP="00273FAD">
      <w:pPr>
        <w:spacing w:after="160"/>
        <w:ind w:left="102" w:right="4"/>
        <w:jc w:val="both"/>
        <w:rPr>
          <w:rFonts w:eastAsia="Times New Roman"/>
        </w:rPr>
      </w:pPr>
      <w:proofErr w:type="spellStart"/>
      <w:r>
        <w:rPr>
          <w:rFonts w:eastAsia="Times New Roman"/>
        </w:rPr>
        <w:t>A</w:t>
      </w:r>
      <w:r>
        <w:rPr>
          <w:rFonts w:eastAsia="Times New Roman"/>
          <w:spacing w:val="-1"/>
        </w:rPr>
        <w:t>e</w:t>
      </w:r>
      <w:r>
        <w:rPr>
          <w:rFonts w:eastAsia="Times New Roman"/>
        </w:rPr>
        <w:t>ropl</w:t>
      </w:r>
      <w:r>
        <w:rPr>
          <w:rFonts w:eastAsia="Times New Roman"/>
          <w:spacing w:val="-1"/>
        </w:rPr>
        <w:t>a</w:t>
      </w:r>
      <w:r>
        <w:rPr>
          <w:rFonts w:eastAsia="Times New Roman"/>
        </w:rPr>
        <w:t>ne</w:t>
      </w:r>
      <w:proofErr w:type="spellEnd"/>
      <w:r>
        <w:rPr>
          <w:rFonts w:eastAsia="Times New Roman"/>
          <w:spacing w:val="1"/>
        </w:rPr>
        <w:t xml:space="preserve"> </w:t>
      </w:r>
      <w:r>
        <w:rPr>
          <w:rFonts w:eastAsia="Times New Roman"/>
        </w:rPr>
        <w:t>Op</w:t>
      </w:r>
      <w:r>
        <w:rPr>
          <w:rFonts w:eastAsia="Times New Roman"/>
          <w:spacing w:val="-1"/>
        </w:rPr>
        <w:t>e</w:t>
      </w:r>
      <w:r>
        <w:rPr>
          <w:rFonts w:eastAsia="Times New Roman"/>
          <w:spacing w:val="1"/>
        </w:rPr>
        <w:t>r</w:t>
      </w:r>
      <w:r>
        <w:rPr>
          <w:rFonts w:eastAsia="Times New Roman"/>
          <w:spacing w:val="-1"/>
        </w:rPr>
        <w:t>a</w:t>
      </w:r>
      <w:r>
        <w:rPr>
          <w:rFonts w:eastAsia="Times New Roman"/>
        </w:rPr>
        <w:t>tors will</w:t>
      </w:r>
      <w:r>
        <w:rPr>
          <w:rFonts w:eastAsia="Times New Roman"/>
          <w:spacing w:val="1"/>
        </w:rPr>
        <w:t xml:space="preserve"> </w:t>
      </w:r>
      <w:r>
        <w:rPr>
          <w:rFonts w:eastAsia="Times New Roman"/>
        </w:rPr>
        <w:t>me</w:t>
      </w:r>
      <w:r>
        <w:rPr>
          <w:rFonts w:eastAsia="Times New Roman"/>
          <w:spacing w:val="-1"/>
        </w:rPr>
        <w:t>e</w:t>
      </w:r>
      <w:r>
        <w:rPr>
          <w:rFonts w:eastAsia="Times New Roman"/>
        </w:rPr>
        <w:t>t</w:t>
      </w:r>
      <w:r>
        <w:rPr>
          <w:rFonts w:eastAsia="Times New Roman"/>
          <w:spacing w:val="1"/>
        </w:rPr>
        <w:t xml:space="preserve"> </w:t>
      </w:r>
      <w:r>
        <w:rPr>
          <w:rFonts w:eastAsia="Times New Roman"/>
        </w:rPr>
        <w:t>their</w:t>
      </w:r>
      <w:r>
        <w:rPr>
          <w:rFonts w:eastAsia="Times New Roman"/>
          <w:spacing w:val="-1"/>
        </w:rPr>
        <w:t xml:space="preserve"> </w:t>
      </w:r>
      <w:r>
        <w:rPr>
          <w:rFonts w:eastAsia="Times New Roman"/>
        </w:rPr>
        <w:t>o</w:t>
      </w:r>
      <w:r>
        <w:rPr>
          <w:rFonts w:eastAsia="Times New Roman"/>
          <w:spacing w:val="-1"/>
        </w:rPr>
        <w:t>f</w:t>
      </w:r>
      <w:r>
        <w:rPr>
          <w:rFonts w:eastAsia="Times New Roman"/>
        </w:rPr>
        <w:t>f</w:t>
      </w:r>
      <w:r>
        <w:rPr>
          <w:rFonts w:eastAsia="Times New Roman"/>
          <w:spacing w:val="2"/>
        </w:rPr>
        <w:t>s</w:t>
      </w:r>
      <w:r>
        <w:rPr>
          <w:rFonts w:eastAsia="Times New Roman"/>
          <w:spacing w:val="-1"/>
        </w:rPr>
        <w:t>e</w:t>
      </w:r>
      <w:r>
        <w:rPr>
          <w:rFonts w:eastAsia="Times New Roman"/>
        </w:rPr>
        <w:t>t</w:t>
      </w:r>
      <w:r>
        <w:rPr>
          <w:rFonts w:eastAsia="Times New Roman"/>
          <w:spacing w:val="1"/>
        </w:rPr>
        <w:t>t</w:t>
      </w:r>
      <w:r>
        <w:rPr>
          <w:rFonts w:eastAsia="Times New Roman"/>
        </w:rPr>
        <w:t>ing</w:t>
      </w:r>
      <w:r>
        <w:rPr>
          <w:rFonts w:eastAsia="Times New Roman"/>
          <w:spacing w:val="-1"/>
        </w:rPr>
        <w:t xml:space="preserve"> </w:t>
      </w:r>
      <w:r>
        <w:rPr>
          <w:rFonts w:eastAsia="Times New Roman"/>
          <w:spacing w:val="1"/>
        </w:rPr>
        <w:t>r</w:t>
      </w:r>
      <w:r>
        <w:rPr>
          <w:rFonts w:eastAsia="Times New Roman"/>
          <w:spacing w:val="-1"/>
        </w:rPr>
        <w:t>e</w:t>
      </w:r>
      <w:r>
        <w:rPr>
          <w:rFonts w:eastAsia="Times New Roman"/>
          <w:spacing w:val="2"/>
        </w:rPr>
        <w:t>q</w:t>
      </w:r>
      <w:r>
        <w:rPr>
          <w:rFonts w:eastAsia="Times New Roman"/>
        </w:rPr>
        <w:t>uir</w:t>
      </w:r>
      <w:r>
        <w:rPr>
          <w:rFonts w:eastAsia="Times New Roman"/>
          <w:spacing w:val="-1"/>
        </w:rPr>
        <w:t>e</w:t>
      </w:r>
      <w:r>
        <w:rPr>
          <w:rFonts w:eastAsia="Times New Roman"/>
        </w:rPr>
        <w:t>ments</w:t>
      </w:r>
      <w:r>
        <w:rPr>
          <w:rFonts w:eastAsia="Times New Roman"/>
          <w:spacing w:val="1"/>
        </w:rPr>
        <w:t xml:space="preserve"> </w:t>
      </w:r>
      <w:r>
        <w:rPr>
          <w:rFonts w:eastAsia="Times New Roman"/>
        </w:rPr>
        <w:t>und</w:t>
      </w:r>
      <w:r>
        <w:rPr>
          <w:rFonts w:eastAsia="Times New Roman"/>
          <w:spacing w:val="-1"/>
        </w:rPr>
        <w:t>e</w:t>
      </w:r>
      <w:r>
        <w:rPr>
          <w:rFonts w:eastAsia="Times New Roman"/>
        </w:rPr>
        <w:t>r</w:t>
      </w:r>
      <w:r>
        <w:rPr>
          <w:rFonts w:eastAsia="Times New Roman"/>
          <w:spacing w:val="-1"/>
        </w:rPr>
        <w:t xml:space="preserve"> </w:t>
      </w:r>
      <w:r>
        <w:rPr>
          <w:rFonts w:eastAsia="Times New Roman"/>
        </w:rPr>
        <w:t>COR</w:t>
      </w:r>
      <w:r>
        <w:rPr>
          <w:rFonts w:eastAsia="Times New Roman"/>
          <w:spacing w:val="3"/>
        </w:rPr>
        <w:t>S</w:t>
      </w:r>
      <w:r>
        <w:rPr>
          <w:rFonts w:eastAsia="Times New Roman"/>
        </w:rPr>
        <w:t>IA</w:t>
      </w:r>
      <w:r>
        <w:rPr>
          <w:rFonts w:eastAsia="Times New Roman"/>
          <w:spacing w:val="-1"/>
        </w:rPr>
        <w:t xml:space="preserve"> </w:t>
      </w:r>
      <w:r>
        <w:rPr>
          <w:rFonts w:eastAsia="Times New Roman"/>
          <w:spacing w:val="2"/>
        </w:rPr>
        <w:t>b</w:t>
      </w:r>
      <w:r>
        <w:rPr>
          <w:rFonts w:eastAsia="Times New Roman"/>
        </w:rPr>
        <w:t>y</w:t>
      </w:r>
      <w:r>
        <w:rPr>
          <w:rFonts w:eastAsia="Times New Roman"/>
          <w:spacing w:val="-5"/>
        </w:rPr>
        <w:t xml:space="preserve"> </w:t>
      </w:r>
      <w:r>
        <w:rPr>
          <w:rFonts w:eastAsia="Times New Roman"/>
        </w:rPr>
        <w:t>p</w:t>
      </w:r>
      <w:r>
        <w:rPr>
          <w:rFonts w:eastAsia="Times New Roman"/>
          <w:spacing w:val="2"/>
        </w:rPr>
        <w:t>u</w:t>
      </w:r>
      <w:r>
        <w:rPr>
          <w:rFonts w:eastAsia="Times New Roman"/>
        </w:rPr>
        <w:t>r</w:t>
      </w:r>
      <w:r>
        <w:rPr>
          <w:rFonts w:eastAsia="Times New Roman"/>
          <w:spacing w:val="-2"/>
        </w:rPr>
        <w:t>c</w:t>
      </w:r>
      <w:r>
        <w:rPr>
          <w:rFonts w:eastAsia="Times New Roman"/>
        </w:rPr>
        <w:t>h</w:t>
      </w:r>
      <w:r>
        <w:rPr>
          <w:rFonts w:eastAsia="Times New Roman"/>
          <w:spacing w:val="-1"/>
        </w:rPr>
        <w:t>a</w:t>
      </w:r>
      <w:r>
        <w:rPr>
          <w:rFonts w:eastAsia="Times New Roman"/>
        </w:rPr>
        <w:t>si</w:t>
      </w:r>
      <w:r>
        <w:rPr>
          <w:rFonts w:eastAsia="Times New Roman"/>
          <w:spacing w:val="3"/>
        </w:rPr>
        <w:t>n</w:t>
      </w:r>
      <w:r>
        <w:rPr>
          <w:rFonts w:eastAsia="Times New Roman"/>
        </w:rPr>
        <w:t>g</w:t>
      </w:r>
      <w:r>
        <w:rPr>
          <w:rFonts w:eastAsia="Times New Roman"/>
          <w:spacing w:val="-1"/>
        </w:rPr>
        <w:t xml:space="preserve"> a</w:t>
      </w:r>
      <w:r>
        <w:rPr>
          <w:rFonts w:eastAsia="Times New Roman"/>
        </w:rPr>
        <w:t xml:space="preserve">nd </w:t>
      </w:r>
      <w:r>
        <w:rPr>
          <w:rFonts w:eastAsia="Times New Roman"/>
          <w:spacing w:val="-1"/>
        </w:rPr>
        <w:t>ca</w:t>
      </w:r>
      <w:r>
        <w:rPr>
          <w:rFonts w:eastAsia="Times New Roman"/>
        </w:rPr>
        <w:t>n</w:t>
      </w:r>
      <w:r>
        <w:rPr>
          <w:rFonts w:eastAsia="Times New Roman"/>
          <w:spacing w:val="1"/>
        </w:rPr>
        <w:t>c</w:t>
      </w:r>
      <w:r>
        <w:rPr>
          <w:rFonts w:eastAsia="Times New Roman"/>
          <w:spacing w:val="-1"/>
        </w:rPr>
        <w:t>e</w:t>
      </w:r>
      <w:r>
        <w:rPr>
          <w:rFonts w:eastAsia="Times New Roman"/>
        </w:rPr>
        <w:t>l</w:t>
      </w:r>
      <w:r>
        <w:rPr>
          <w:rFonts w:eastAsia="Times New Roman"/>
          <w:spacing w:val="1"/>
        </w:rPr>
        <w:t>l</w:t>
      </w:r>
      <w:r>
        <w:rPr>
          <w:rFonts w:eastAsia="Times New Roman"/>
        </w:rPr>
        <w:t>ing</w:t>
      </w:r>
      <w:r>
        <w:rPr>
          <w:rFonts w:eastAsia="Times New Roman"/>
          <w:spacing w:val="-1"/>
        </w:rPr>
        <w:t xml:space="preserve"> CORSIA e</w:t>
      </w:r>
      <w:r>
        <w:rPr>
          <w:rFonts w:eastAsia="Times New Roman"/>
        </w:rPr>
        <w:t>l</w:t>
      </w:r>
      <w:r>
        <w:rPr>
          <w:rFonts w:eastAsia="Times New Roman"/>
          <w:spacing w:val="3"/>
        </w:rPr>
        <w:t>i</w:t>
      </w:r>
      <w:r>
        <w:rPr>
          <w:rFonts w:eastAsia="Times New Roman"/>
          <w:spacing w:val="-2"/>
        </w:rPr>
        <w:t>g</w:t>
      </w:r>
      <w:r>
        <w:rPr>
          <w:rFonts w:eastAsia="Times New Roman"/>
        </w:rPr>
        <w:t>ib</w:t>
      </w:r>
      <w:r>
        <w:rPr>
          <w:rFonts w:eastAsia="Times New Roman"/>
          <w:spacing w:val="1"/>
        </w:rPr>
        <w:t>l</w:t>
      </w:r>
      <w:r>
        <w:rPr>
          <w:rFonts w:eastAsia="Times New Roman"/>
        </w:rPr>
        <w:t xml:space="preserve">e </w:t>
      </w:r>
      <w:r>
        <w:rPr>
          <w:rFonts w:eastAsia="Times New Roman"/>
          <w:spacing w:val="-1"/>
        </w:rPr>
        <w:t>e</w:t>
      </w:r>
      <w:r>
        <w:rPr>
          <w:rFonts w:eastAsia="Times New Roman"/>
        </w:rPr>
        <w:t>m</w:t>
      </w:r>
      <w:r>
        <w:rPr>
          <w:rFonts w:eastAsia="Times New Roman"/>
          <w:spacing w:val="1"/>
        </w:rPr>
        <w:t>i</w:t>
      </w:r>
      <w:r>
        <w:rPr>
          <w:rFonts w:eastAsia="Times New Roman"/>
        </w:rPr>
        <w:t>ss</w:t>
      </w:r>
      <w:r>
        <w:rPr>
          <w:rFonts w:eastAsia="Times New Roman"/>
          <w:spacing w:val="1"/>
        </w:rPr>
        <w:t>i</w:t>
      </w:r>
      <w:r>
        <w:rPr>
          <w:rFonts w:eastAsia="Times New Roman"/>
        </w:rPr>
        <w:t>ons</w:t>
      </w:r>
      <w:r>
        <w:rPr>
          <w:rFonts w:eastAsia="Times New Roman"/>
          <w:spacing w:val="1"/>
        </w:rPr>
        <w:t xml:space="preserve"> </w:t>
      </w:r>
      <w:r>
        <w:rPr>
          <w:rFonts w:eastAsia="Times New Roman"/>
        </w:rPr>
        <w:t>uni</w:t>
      </w:r>
      <w:r>
        <w:rPr>
          <w:rFonts w:eastAsia="Times New Roman"/>
          <w:spacing w:val="1"/>
        </w:rPr>
        <w:t>t</w:t>
      </w:r>
      <w:r>
        <w:rPr>
          <w:rFonts w:eastAsia="Times New Roman"/>
        </w:rPr>
        <w:t>s</w:t>
      </w:r>
      <w:r w:rsidR="00842F6C">
        <w:rPr>
          <w:rFonts w:eastAsia="Times New Roman"/>
        </w:rPr>
        <w:t>.</w:t>
      </w:r>
      <w:r>
        <w:rPr>
          <w:rFonts w:eastAsia="Times New Roman"/>
        </w:rPr>
        <w:t xml:space="preserve"> </w:t>
      </w:r>
      <w:r w:rsidR="00842F6C">
        <w:rPr>
          <w:rFonts w:eastAsia="Times New Roman"/>
        </w:rPr>
        <w:t xml:space="preserve">The ICAO Council </w:t>
      </w:r>
      <w:r w:rsidR="00043354">
        <w:rPr>
          <w:rFonts w:eastAsia="Times New Roman"/>
        </w:rPr>
        <w:t>determines CORSIA eligible emission</w:t>
      </w:r>
      <w:r w:rsidR="00842F6C">
        <w:rPr>
          <w:rFonts w:eastAsia="Times New Roman"/>
        </w:rPr>
        <w:t xml:space="preserve"> units upon recommendations by its Technical Advisory Body (TAB)</w:t>
      </w:r>
      <w:r w:rsidR="00043354">
        <w:rPr>
          <w:rFonts w:eastAsia="Times New Roman"/>
        </w:rPr>
        <w:t xml:space="preserve"> and consistent with the CORSIA emissions unit eligibility criteria (EUC) contained in this document</w:t>
      </w:r>
      <w:r w:rsidR="00842F6C">
        <w:rPr>
          <w:rFonts w:eastAsia="Times New Roman"/>
        </w:rPr>
        <w:t>.</w:t>
      </w:r>
    </w:p>
    <w:p w14:paraId="1B9AB359" w14:textId="099AA967" w:rsidR="00842F6C" w:rsidRDefault="00842F6C" w:rsidP="00674EBA">
      <w:pPr>
        <w:spacing w:after="160"/>
        <w:ind w:left="102" w:right="4"/>
        <w:jc w:val="both"/>
        <w:rPr>
          <w:rFonts w:eastAsia="Times New Roman"/>
        </w:rPr>
      </w:pPr>
      <w:r>
        <w:rPr>
          <w:rFonts w:eastAsia="Times New Roman"/>
        </w:rPr>
        <w:t>I</w:t>
      </w:r>
      <w:r w:rsidR="008F7BE0">
        <w:rPr>
          <w:rFonts w:eastAsia="Times New Roman"/>
        </w:rPr>
        <w:t>n March 2019, the ICAO Council unanimously approved the EUC for use by TAB in undertaking its tasks. At the same time, the ICAO Council also approved the</w:t>
      </w:r>
      <w:r w:rsidR="00FC7E9B">
        <w:rPr>
          <w:rFonts w:eastAsia="Times New Roman"/>
        </w:rPr>
        <w:t xml:space="preserve"> 19 members of </w:t>
      </w:r>
      <w:r w:rsidR="008F7BE0">
        <w:rPr>
          <w:rFonts w:eastAsia="Times New Roman"/>
        </w:rPr>
        <w:t>TAB.</w:t>
      </w:r>
      <w:r>
        <w:rPr>
          <w:rFonts w:eastAsia="Times New Roman"/>
        </w:rPr>
        <w:t xml:space="preserve"> </w:t>
      </w:r>
      <w:r w:rsidR="001F2CBE" w:rsidRPr="001F2CBE">
        <w:rPr>
          <w:rFonts w:eastAsia="Times New Roman"/>
        </w:rPr>
        <w:t>In January and November 2020, September 2021 and September 2022, TAB completed the first, second, third and fourth assessment of applicant programmes respectively, and submitted recommendations to Council for consideration</w:t>
      </w:r>
      <w:r w:rsidR="001F2CBE">
        <w:rPr>
          <w:rFonts w:eastAsia="Times New Roman"/>
        </w:rPr>
        <w:t xml:space="preserve">. </w:t>
      </w:r>
    </w:p>
    <w:p w14:paraId="18DF263D" w14:textId="6DBF174F" w:rsidR="00842F6C" w:rsidRDefault="00842F6C" w:rsidP="0033015C">
      <w:pPr>
        <w:pStyle w:val="Body"/>
        <w:spacing w:after="160"/>
        <w:ind w:left="100" w:right="4"/>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lastRenderedPageBreak/>
        <w:t>Now, 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AO</w:t>
      </w:r>
      <w:r>
        <w:rPr>
          <w:rFonts w:ascii="Times New Roman" w:eastAsia="Times New Roman" w:hAnsi="Times New Roman" w:cs="Times New Roman"/>
          <w:spacing w:val="2"/>
          <w:sz w:val="24"/>
          <w:szCs w:val="24"/>
        </w:rPr>
        <w:t xml:space="preserve"> invites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emissions unit </w:t>
      </w:r>
      <w:r>
        <w:rPr>
          <w:rFonts w:ascii="Times New Roman" w:eastAsia="Times New Roman" w:hAnsi="Times New Roman" w:cs="Times New Roman"/>
          <w:sz w:val="24"/>
          <w:szCs w:val="24"/>
        </w:rPr>
        <w:t>programmes</w:t>
      </w:r>
      <w:r w:rsidR="004C3A2D">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apply for </w:t>
      </w:r>
      <w:r w:rsidR="00A117CA">
        <w:rPr>
          <w:rFonts w:ascii="Times New Roman" w:eastAsia="Times New Roman" w:hAnsi="Times New Roman" w:cs="Times New Roman"/>
          <w:sz w:val="24"/>
          <w:szCs w:val="24"/>
        </w:rPr>
        <w:t xml:space="preserve">the </w:t>
      </w:r>
      <w:r w:rsidR="0033015C">
        <w:rPr>
          <w:rFonts w:ascii="Times New Roman" w:eastAsia="Times New Roman" w:hAnsi="Times New Roman" w:cs="Times New Roman"/>
          <w:sz w:val="24"/>
          <w:szCs w:val="24"/>
        </w:rPr>
        <w:t xml:space="preserve">2023 </w:t>
      </w:r>
      <w:r>
        <w:rPr>
          <w:rFonts w:ascii="Times New Roman" w:eastAsia="Times New Roman" w:hAnsi="Times New Roman" w:cs="Times New Roman"/>
          <w:sz w:val="24"/>
          <w:szCs w:val="24"/>
        </w:rPr>
        <w:t>cycle of assessment by the TAB,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programme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 </w:t>
      </w:r>
      <w:r w:rsidR="0004335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programme application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sidR="00043354">
        <w:rPr>
          <w:rFonts w:ascii="Times New Roman" w:eastAsia="Times New Roman" w:hAnsi="Times New Roman" w:cs="Times New Roman"/>
          <w:sz w:val="24"/>
          <w:szCs w:val="24"/>
        </w:rPr>
        <w:t xml:space="preserve"> and supplementary materials and requested evidence</w:t>
      </w:r>
      <w:r w:rsidR="00043354">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w:t>
      </w:r>
    </w:p>
    <w:p w14:paraId="7F44EC39" w14:textId="77777777" w:rsidR="00043354" w:rsidRDefault="00124A9F" w:rsidP="00273FAD">
      <w:pPr>
        <w:pStyle w:val="Body"/>
        <w:spacing w:after="160"/>
        <w:ind w:left="100"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Through</w:t>
      </w:r>
      <w:r w:rsidR="00387C1B">
        <w:rPr>
          <w:rFonts w:ascii="Times New Roman" w:eastAsia="Times New Roman" w:hAnsi="Times New Roman" w:cs="Times New Roman"/>
          <w:sz w:val="24"/>
          <w:szCs w:val="24"/>
        </w:rPr>
        <w:t xml:space="preserve"> this assessment, the TAB will develop recommendations on the list of eligible emissions unit </w:t>
      </w:r>
      <w:r w:rsidR="00842F6C">
        <w:rPr>
          <w:rFonts w:ascii="Times New Roman" w:eastAsia="Times New Roman" w:hAnsi="Times New Roman" w:cs="Times New Roman"/>
          <w:sz w:val="24"/>
          <w:szCs w:val="24"/>
        </w:rPr>
        <w:t>programme</w:t>
      </w:r>
      <w:r w:rsidR="00387C1B">
        <w:rPr>
          <w:rFonts w:ascii="Times New Roman" w:eastAsia="Times New Roman" w:hAnsi="Times New Roman" w:cs="Times New Roman"/>
          <w:sz w:val="24"/>
          <w:szCs w:val="24"/>
        </w:rPr>
        <w:t xml:space="preserve">s (and potentially project types) for use under the CORSIA, which will then be considered by the ICAO Council. </w:t>
      </w:r>
    </w:p>
    <w:p w14:paraId="122747E3" w14:textId="50F4095B" w:rsidR="00753285" w:rsidRPr="007948DC" w:rsidRDefault="000F7DAE" w:rsidP="00273FAD">
      <w:pPr>
        <w:pStyle w:val="Body"/>
        <w:spacing w:after="160"/>
        <w:ind w:left="100" w:right="4"/>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This </w:t>
      </w:r>
      <w:r w:rsidR="00B61734">
        <w:rPr>
          <w:rFonts w:ascii="Times New Roman" w:hAnsi="Times New Roman" w:cs="Times New Roman"/>
          <w:sz w:val="24"/>
          <w:szCs w:val="24"/>
        </w:rPr>
        <w:t xml:space="preserve">Appendix A </w:t>
      </w:r>
      <w:r w:rsidR="008F7BE0">
        <w:rPr>
          <w:rFonts w:ascii="Times New Roman" w:hAnsi="Times New Roman" w:cs="Times New Roman"/>
          <w:sz w:val="24"/>
          <w:szCs w:val="24"/>
        </w:rPr>
        <w:t xml:space="preserve">to the </w:t>
      </w:r>
      <w:r w:rsidR="00842F6C">
        <w:rPr>
          <w:rFonts w:ascii="Times New Roman" w:hAnsi="Times New Roman" w:cs="Times New Roman"/>
          <w:sz w:val="24"/>
          <w:szCs w:val="24"/>
        </w:rPr>
        <w:t>Programme</w:t>
      </w:r>
      <w:r w:rsidR="008F7BE0">
        <w:rPr>
          <w:rFonts w:ascii="Times New Roman" w:hAnsi="Times New Roman" w:cs="Times New Roman"/>
          <w:sz w:val="24"/>
          <w:szCs w:val="24"/>
        </w:rPr>
        <w:t xml:space="preserve"> Application Form </w:t>
      </w:r>
      <w:r w:rsidRPr="007948DC">
        <w:rPr>
          <w:rFonts w:ascii="Times New Roman" w:hAnsi="Times New Roman" w:cs="Times New Roman"/>
          <w:sz w:val="24"/>
          <w:szCs w:val="24"/>
        </w:rPr>
        <w:t xml:space="preserve">contains the </w:t>
      </w:r>
      <w:r w:rsidR="00F67968">
        <w:rPr>
          <w:rFonts w:ascii="Times New Roman" w:hAnsi="Times New Roman" w:cs="Times New Roman"/>
          <w:sz w:val="24"/>
          <w:szCs w:val="24"/>
        </w:rPr>
        <w:t>Council-</w:t>
      </w:r>
      <w:r w:rsidRPr="007948DC">
        <w:rPr>
          <w:rFonts w:ascii="Times New Roman" w:hAnsi="Times New Roman" w:cs="Times New Roman"/>
          <w:sz w:val="24"/>
          <w:szCs w:val="24"/>
        </w:rPr>
        <w:t>approved EUC</w:t>
      </w:r>
      <w:r w:rsidR="001B1345" w:rsidRPr="007948DC">
        <w:rPr>
          <w:rFonts w:ascii="Times New Roman" w:hAnsi="Times New Roman" w:cs="Times New Roman"/>
          <w:sz w:val="24"/>
          <w:szCs w:val="24"/>
        </w:rPr>
        <w:t>. Some of these EUC are accompanied by</w:t>
      </w:r>
      <w:r w:rsidRPr="007948DC">
        <w:rPr>
          <w:rFonts w:ascii="Times New Roman" w:hAnsi="Times New Roman" w:cs="Times New Roman"/>
          <w:sz w:val="24"/>
          <w:szCs w:val="24"/>
        </w:rPr>
        <w:t xml:space="preserve"> </w:t>
      </w:r>
      <w:r w:rsidRPr="007948DC">
        <w:rPr>
          <w:rFonts w:ascii="Times New Roman" w:hAnsi="Times New Roman" w:cs="Times New Roman"/>
          <w:i/>
          <w:iCs/>
          <w:sz w:val="24"/>
          <w:szCs w:val="24"/>
        </w:rPr>
        <w:t>Guidelines for Criteria Interpretation</w:t>
      </w:r>
      <w:r w:rsidRPr="007948DC">
        <w:rPr>
          <w:rFonts w:ascii="Times New Roman" w:hAnsi="Times New Roman" w:cs="Times New Roman"/>
          <w:sz w:val="24"/>
          <w:szCs w:val="24"/>
        </w:rPr>
        <w:t>. These</w:t>
      </w:r>
      <w:r w:rsidR="001B1345" w:rsidRPr="007948DC">
        <w:rPr>
          <w:rFonts w:ascii="Times New Roman" w:hAnsi="Times New Roman" w:cs="Times New Roman"/>
          <w:sz w:val="24"/>
          <w:szCs w:val="24"/>
        </w:rPr>
        <w:t xml:space="preserve"> EUC and </w:t>
      </w:r>
      <w:r w:rsidR="001B1345" w:rsidRPr="007948DC">
        <w:rPr>
          <w:rFonts w:ascii="Times New Roman" w:hAnsi="Times New Roman" w:cs="Times New Roman"/>
          <w:i/>
          <w:sz w:val="24"/>
          <w:szCs w:val="24"/>
        </w:rPr>
        <w:t>Guidelines</w:t>
      </w:r>
      <w:r w:rsidRPr="007948DC">
        <w:rPr>
          <w:rFonts w:ascii="Times New Roman" w:hAnsi="Times New Roman" w:cs="Times New Roman"/>
          <w:sz w:val="24"/>
          <w:szCs w:val="24"/>
        </w:rPr>
        <w:t xml:space="preserve"> are provided to inform</w:t>
      </w:r>
      <w:r w:rsidR="001B1345" w:rsidRPr="007948DC">
        <w:rPr>
          <w:rFonts w:ascii="Times New Roman" w:hAnsi="Times New Roman" w:cs="Times New Roman"/>
          <w:sz w:val="24"/>
          <w:szCs w:val="24"/>
        </w:rPr>
        <w:t xml:space="preserve"> </w:t>
      </w:r>
      <w:proofErr w:type="spellStart"/>
      <w:r w:rsidR="00842F6C">
        <w:rPr>
          <w:rFonts w:ascii="Times New Roman" w:hAnsi="Times New Roman" w:cs="Times New Roman"/>
          <w:sz w:val="24"/>
          <w:szCs w:val="24"/>
        </w:rPr>
        <w:t>programme</w:t>
      </w:r>
      <w:r w:rsidR="001B1345" w:rsidRPr="007948DC">
        <w:rPr>
          <w:rFonts w:ascii="Times New Roman" w:hAnsi="Times New Roman" w:cs="Times New Roman"/>
          <w:sz w:val="24"/>
          <w:szCs w:val="24"/>
        </w:rPr>
        <w:t>s’</w:t>
      </w:r>
      <w:proofErr w:type="spellEnd"/>
      <w:r w:rsidR="008F1218" w:rsidRPr="007948DC">
        <w:rPr>
          <w:rFonts w:ascii="Times New Roman" w:hAnsi="Times New Roman" w:cs="Times New Roman"/>
          <w:sz w:val="24"/>
          <w:szCs w:val="24"/>
        </w:rPr>
        <w:t xml:space="preserve"> </w:t>
      </w:r>
      <w:r w:rsidRPr="007948DC">
        <w:rPr>
          <w:rFonts w:ascii="Times New Roman" w:hAnsi="Times New Roman" w:cs="Times New Roman"/>
          <w:sz w:val="24"/>
          <w:szCs w:val="24"/>
        </w:rPr>
        <w:t xml:space="preserve">completion of the </w:t>
      </w:r>
      <w:r w:rsidR="00E21525">
        <w:rPr>
          <w:rFonts w:ascii="Times New Roman" w:hAnsi="Times New Roman" w:cs="Times New Roman"/>
          <w:sz w:val="24"/>
          <w:szCs w:val="24"/>
        </w:rPr>
        <w:t>application</w:t>
      </w:r>
      <w:r w:rsidR="00E21525" w:rsidRPr="007948DC">
        <w:rPr>
          <w:rFonts w:ascii="Times New Roman" w:hAnsi="Times New Roman" w:cs="Times New Roman"/>
          <w:sz w:val="24"/>
          <w:szCs w:val="24"/>
        </w:rPr>
        <w:t xml:space="preserve"> </w:t>
      </w:r>
      <w:r w:rsidR="008F1218" w:rsidRPr="007948DC">
        <w:rPr>
          <w:rFonts w:ascii="Times New Roman" w:hAnsi="Times New Roman" w:cs="Times New Roman"/>
          <w:sz w:val="24"/>
          <w:szCs w:val="24"/>
        </w:rPr>
        <w:t>form</w:t>
      </w:r>
      <w:r w:rsidR="00043354">
        <w:rPr>
          <w:rFonts w:ascii="Times New Roman" w:eastAsia="Times New Roman" w:hAnsi="Times New Roman" w:cs="Times New Roman"/>
          <w:sz w:val="24"/>
          <w:szCs w:val="24"/>
        </w:rPr>
        <w:t xml:space="preserve"> in whi</w:t>
      </w:r>
      <w:r w:rsidR="00043354">
        <w:rPr>
          <w:rFonts w:ascii="Times New Roman" w:eastAsia="Times New Roman" w:hAnsi="Times New Roman" w:cs="Times New Roman"/>
          <w:spacing w:val="-1"/>
          <w:sz w:val="24"/>
          <w:szCs w:val="24"/>
        </w:rPr>
        <w:t>c</w:t>
      </w:r>
      <w:r w:rsidR="00043354">
        <w:rPr>
          <w:rFonts w:ascii="Times New Roman" w:eastAsia="Times New Roman" w:hAnsi="Times New Roman" w:cs="Times New Roman"/>
          <w:sz w:val="24"/>
          <w:szCs w:val="24"/>
        </w:rPr>
        <w:t>h th</w:t>
      </w:r>
      <w:r w:rsidR="00043354">
        <w:rPr>
          <w:rFonts w:ascii="Times New Roman" w:eastAsia="Times New Roman" w:hAnsi="Times New Roman" w:cs="Times New Roman"/>
          <w:spacing w:val="4"/>
          <w:sz w:val="24"/>
          <w:szCs w:val="24"/>
        </w:rPr>
        <w:t>e</w:t>
      </w:r>
      <w:r w:rsidR="00043354">
        <w:rPr>
          <w:rFonts w:ascii="Times New Roman" w:eastAsia="Times New Roman" w:hAnsi="Times New Roman" w:cs="Times New Roman"/>
          <w:sz w:val="24"/>
          <w:szCs w:val="24"/>
        </w:rPr>
        <w:t>y</w:t>
      </w:r>
      <w:r w:rsidR="00043354">
        <w:rPr>
          <w:rFonts w:ascii="Times New Roman" w:eastAsia="Times New Roman" w:hAnsi="Times New Roman" w:cs="Times New Roman"/>
          <w:spacing w:val="-5"/>
          <w:sz w:val="24"/>
          <w:szCs w:val="24"/>
        </w:rPr>
        <w:t xml:space="preserve"> </w:t>
      </w:r>
      <w:r w:rsidR="00043354">
        <w:rPr>
          <w:rFonts w:ascii="Times New Roman" w:eastAsia="Times New Roman" w:hAnsi="Times New Roman" w:cs="Times New Roman"/>
          <w:spacing w:val="-1"/>
          <w:sz w:val="24"/>
          <w:szCs w:val="24"/>
        </w:rPr>
        <w:t>a</w:t>
      </w:r>
      <w:r w:rsidR="00043354">
        <w:rPr>
          <w:rFonts w:ascii="Times New Roman" w:eastAsia="Times New Roman" w:hAnsi="Times New Roman" w:cs="Times New Roman"/>
          <w:spacing w:val="1"/>
          <w:sz w:val="24"/>
          <w:szCs w:val="24"/>
        </w:rPr>
        <w:t>r</w:t>
      </w:r>
      <w:r w:rsidR="00043354">
        <w:rPr>
          <w:rFonts w:ascii="Times New Roman" w:eastAsia="Times New Roman" w:hAnsi="Times New Roman" w:cs="Times New Roman"/>
          <w:sz w:val="24"/>
          <w:szCs w:val="24"/>
        </w:rPr>
        <w:t>e</w:t>
      </w:r>
      <w:r w:rsidR="00043354">
        <w:rPr>
          <w:rFonts w:ascii="Times New Roman" w:eastAsia="Times New Roman" w:hAnsi="Times New Roman" w:cs="Times New Roman"/>
          <w:spacing w:val="-1"/>
          <w:sz w:val="24"/>
          <w:szCs w:val="24"/>
        </w:rPr>
        <w:t xml:space="preserve"> c</w:t>
      </w:r>
      <w:r w:rsidR="00043354">
        <w:rPr>
          <w:rFonts w:ascii="Times New Roman" w:eastAsia="Times New Roman" w:hAnsi="Times New Roman" w:cs="Times New Roman"/>
          <w:sz w:val="24"/>
          <w:szCs w:val="24"/>
        </w:rPr>
        <w:t>ros</w:t>
      </w:r>
      <w:r w:rsidR="00043354">
        <w:rPr>
          <w:rFonts w:ascii="Times New Roman" w:eastAsia="Times New Roman" w:hAnsi="Times New Roman" w:cs="Times New Roman"/>
          <w:spacing w:val="2"/>
          <w:sz w:val="24"/>
          <w:szCs w:val="24"/>
        </w:rPr>
        <w:t>s</w:t>
      </w:r>
      <w:r w:rsidR="00043354">
        <w:rPr>
          <w:rFonts w:ascii="Times New Roman" w:eastAsia="Times New Roman" w:hAnsi="Times New Roman" w:cs="Times New Roman"/>
          <w:spacing w:val="-1"/>
          <w:sz w:val="24"/>
          <w:szCs w:val="24"/>
        </w:rPr>
        <w:t>-</w:t>
      </w:r>
      <w:r w:rsidR="00043354">
        <w:rPr>
          <w:rFonts w:ascii="Times New Roman" w:eastAsia="Times New Roman" w:hAnsi="Times New Roman" w:cs="Times New Roman"/>
          <w:sz w:val="24"/>
          <w:szCs w:val="24"/>
        </w:rPr>
        <w:t>refer</w:t>
      </w:r>
      <w:r w:rsidR="00043354">
        <w:rPr>
          <w:rFonts w:ascii="Times New Roman" w:eastAsia="Times New Roman" w:hAnsi="Times New Roman" w:cs="Times New Roman"/>
          <w:spacing w:val="-2"/>
          <w:sz w:val="24"/>
          <w:szCs w:val="24"/>
        </w:rPr>
        <w:t>e</w:t>
      </w:r>
      <w:r w:rsidR="00043354">
        <w:rPr>
          <w:rFonts w:ascii="Times New Roman" w:eastAsia="Times New Roman" w:hAnsi="Times New Roman" w:cs="Times New Roman"/>
          <w:sz w:val="24"/>
          <w:szCs w:val="24"/>
        </w:rPr>
        <w:t>n</w:t>
      </w:r>
      <w:r w:rsidR="00043354">
        <w:rPr>
          <w:rFonts w:ascii="Times New Roman" w:eastAsia="Times New Roman" w:hAnsi="Times New Roman" w:cs="Times New Roman"/>
          <w:spacing w:val="-1"/>
          <w:sz w:val="24"/>
          <w:szCs w:val="24"/>
        </w:rPr>
        <w:t>ce</w:t>
      </w:r>
      <w:r w:rsidR="00043354">
        <w:rPr>
          <w:rFonts w:ascii="Times New Roman" w:eastAsia="Times New Roman" w:hAnsi="Times New Roman" w:cs="Times New Roman"/>
          <w:sz w:val="24"/>
          <w:szCs w:val="24"/>
        </w:rPr>
        <w:t>d</w:t>
      </w:r>
      <w:r w:rsidR="00043354">
        <w:rPr>
          <w:rFonts w:ascii="Times New Roman" w:eastAsia="Times New Roman" w:hAnsi="Times New Roman" w:cs="Times New Roman"/>
          <w:spacing w:val="1"/>
          <w:sz w:val="24"/>
          <w:szCs w:val="24"/>
        </w:rPr>
        <w:t xml:space="preserve"> </w:t>
      </w:r>
      <w:r w:rsidR="00043354">
        <w:rPr>
          <w:rFonts w:ascii="Times New Roman" w:eastAsia="Times New Roman" w:hAnsi="Times New Roman" w:cs="Times New Roman"/>
          <w:b/>
          <w:bCs/>
          <w:spacing w:val="1"/>
          <w:sz w:val="24"/>
          <w:szCs w:val="24"/>
        </w:rPr>
        <w:t>by p</w:t>
      </w:r>
      <w:r w:rsidR="00043354">
        <w:rPr>
          <w:rFonts w:ascii="Times New Roman" w:eastAsia="Times New Roman" w:hAnsi="Times New Roman" w:cs="Times New Roman"/>
          <w:b/>
          <w:bCs/>
          <w:sz w:val="24"/>
          <w:szCs w:val="24"/>
        </w:rPr>
        <w:t>a</w:t>
      </w:r>
      <w:r w:rsidR="00043354">
        <w:rPr>
          <w:rFonts w:ascii="Times New Roman" w:eastAsia="Times New Roman" w:hAnsi="Times New Roman" w:cs="Times New Roman"/>
          <w:b/>
          <w:bCs/>
          <w:spacing w:val="-1"/>
          <w:sz w:val="24"/>
          <w:szCs w:val="24"/>
        </w:rPr>
        <w:t>r</w:t>
      </w:r>
      <w:r w:rsidR="00043354">
        <w:rPr>
          <w:rFonts w:ascii="Times New Roman" w:eastAsia="Times New Roman" w:hAnsi="Times New Roman" w:cs="Times New Roman"/>
          <w:b/>
          <w:bCs/>
          <w:sz w:val="24"/>
          <w:szCs w:val="24"/>
        </w:rPr>
        <w:t>ag</w:t>
      </w:r>
      <w:r w:rsidR="00043354">
        <w:rPr>
          <w:rFonts w:ascii="Times New Roman" w:eastAsia="Times New Roman" w:hAnsi="Times New Roman" w:cs="Times New Roman"/>
          <w:b/>
          <w:bCs/>
          <w:spacing w:val="-1"/>
          <w:sz w:val="24"/>
          <w:szCs w:val="24"/>
        </w:rPr>
        <w:t>r</w:t>
      </w:r>
      <w:r w:rsidR="00043354">
        <w:rPr>
          <w:rFonts w:ascii="Times New Roman" w:eastAsia="Times New Roman" w:hAnsi="Times New Roman" w:cs="Times New Roman"/>
          <w:b/>
          <w:bCs/>
          <w:sz w:val="24"/>
          <w:szCs w:val="24"/>
        </w:rPr>
        <w:t>a</w:t>
      </w:r>
      <w:r w:rsidR="00043354">
        <w:rPr>
          <w:rFonts w:ascii="Times New Roman" w:eastAsia="Times New Roman" w:hAnsi="Times New Roman" w:cs="Times New Roman"/>
          <w:b/>
          <w:bCs/>
          <w:spacing w:val="1"/>
          <w:sz w:val="24"/>
          <w:szCs w:val="24"/>
        </w:rPr>
        <w:t>p</w:t>
      </w:r>
      <w:r w:rsidR="00043354">
        <w:rPr>
          <w:rFonts w:ascii="Times New Roman" w:eastAsia="Times New Roman" w:hAnsi="Times New Roman" w:cs="Times New Roman"/>
          <w:b/>
          <w:bCs/>
          <w:sz w:val="24"/>
          <w:szCs w:val="24"/>
        </w:rPr>
        <w:t>h</w:t>
      </w:r>
      <w:r w:rsidR="00043354">
        <w:rPr>
          <w:rFonts w:ascii="Times New Roman" w:eastAsia="Times New Roman" w:hAnsi="Times New Roman" w:cs="Times New Roman"/>
          <w:b/>
          <w:bCs/>
          <w:spacing w:val="1"/>
          <w:sz w:val="24"/>
          <w:szCs w:val="24"/>
        </w:rPr>
        <w:t xml:space="preserve"> nu</w:t>
      </w:r>
      <w:r w:rsidR="00043354">
        <w:rPr>
          <w:rFonts w:ascii="Times New Roman" w:eastAsia="Times New Roman" w:hAnsi="Times New Roman" w:cs="Times New Roman"/>
          <w:b/>
          <w:bCs/>
          <w:spacing w:val="-3"/>
          <w:sz w:val="24"/>
          <w:szCs w:val="24"/>
        </w:rPr>
        <w:t>m</w:t>
      </w:r>
      <w:r w:rsidR="00043354">
        <w:rPr>
          <w:rFonts w:ascii="Times New Roman" w:eastAsia="Times New Roman" w:hAnsi="Times New Roman" w:cs="Times New Roman"/>
          <w:b/>
          <w:bCs/>
          <w:spacing w:val="1"/>
          <w:sz w:val="24"/>
          <w:szCs w:val="24"/>
        </w:rPr>
        <w:t>b</w:t>
      </w:r>
      <w:r w:rsidR="00043354">
        <w:rPr>
          <w:rFonts w:ascii="Times New Roman" w:eastAsia="Times New Roman" w:hAnsi="Times New Roman" w:cs="Times New Roman"/>
          <w:b/>
          <w:bCs/>
          <w:spacing w:val="-1"/>
          <w:sz w:val="24"/>
          <w:szCs w:val="24"/>
        </w:rPr>
        <w:t>e</w:t>
      </w:r>
      <w:r w:rsidR="00043354">
        <w:rPr>
          <w:rFonts w:ascii="Times New Roman" w:eastAsia="Times New Roman" w:hAnsi="Times New Roman" w:cs="Times New Roman"/>
          <w:b/>
          <w:bCs/>
          <w:sz w:val="24"/>
          <w:szCs w:val="24"/>
        </w:rPr>
        <w:t>r</w:t>
      </w:r>
      <w:r w:rsidR="00043354">
        <w:rPr>
          <w:rFonts w:ascii="Times New Roman" w:eastAsia="Times New Roman" w:hAnsi="Times New Roman" w:cs="Times New Roman"/>
          <w:sz w:val="24"/>
          <w:szCs w:val="24"/>
        </w:rPr>
        <w:t>.</w:t>
      </w:r>
      <w:r w:rsidR="00AD0D06">
        <w:rPr>
          <w:rStyle w:val="FootnoteReference"/>
          <w:rFonts w:ascii="Times New Roman" w:eastAsia="Times New Roman" w:hAnsi="Times New Roman" w:cs="Times New Roman"/>
          <w:sz w:val="24"/>
          <w:szCs w:val="24"/>
        </w:rPr>
        <w:footnoteReference w:id="3"/>
      </w:r>
    </w:p>
    <w:p w14:paraId="07FD88A4" w14:textId="77777777" w:rsidR="00753285" w:rsidRPr="00273FAD" w:rsidRDefault="001D1229" w:rsidP="007D71A8">
      <w:pPr>
        <w:pStyle w:val="MainHeader"/>
        <w:rPr>
          <w:rFonts w:ascii="Times New Roman" w:eastAsia="Helvetica Neue Thin" w:hAnsi="Times New Roman" w:cs="Times New Roman"/>
        </w:rPr>
      </w:pPr>
      <w:r>
        <w:br w:type="page"/>
      </w:r>
      <w:r w:rsidR="000F7DAE" w:rsidRPr="00273FAD">
        <w:rPr>
          <w:rFonts w:ascii="Times New Roman" w:hAnsi="Times New Roman" w:cs="Times New Roman"/>
        </w:rPr>
        <w:lastRenderedPageBreak/>
        <w:t xml:space="preserve">CORSIA Emissions Unit Eligibility Criteria </w:t>
      </w:r>
    </w:p>
    <w:p w14:paraId="246F9F65" w14:textId="77777777" w:rsidR="00753285" w:rsidRPr="000F7DAE" w:rsidRDefault="00842F6C" w:rsidP="008D4CB7">
      <w:pPr>
        <w:pStyle w:val="Body"/>
        <w:spacing w:after="160"/>
        <w:jc w:val="both"/>
        <w:rPr>
          <w:rFonts w:ascii="Times New Roman" w:eastAsia="Helvetica Neue Thin" w:hAnsi="Times New Roman" w:cs="Times New Roman"/>
          <w:sz w:val="24"/>
          <w:szCs w:val="24"/>
        </w:rPr>
      </w:pPr>
      <w:r>
        <w:rPr>
          <w:rFonts w:ascii="Times New Roman" w:hAnsi="Times New Roman" w:cs="Times New Roman"/>
          <w:sz w:val="24"/>
          <w:szCs w:val="24"/>
        </w:rPr>
        <w:t>Programme</w:t>
      </w:r>
      <w:r w:rsidR="009E4CC2" w:rsidRPr="009E4CC2">
        <w:rPr>
          <w:rFonts w:ascii="Times New Roman" w:hAnsi="Times New Roman" w:cs="Times New Roman"/>
          <w:sz w:val="24"/>
          <w:szCs w:val="24"/>
        </w:rPr>
        <w:t xml:space="preserve"> Design Elements</w:t>
      </w:r>
      <w:r w:rsidR="009E4CC2">
        <w:rPr>
          <w:rFonts w:ascii="Times New Roman" w:hAnsi="Times New Roman" w:cs="Times New Roman"/>
          <w:sz w:val="24"/>
          <w:szCs w:val="24"/>
        </w:rPr>
        <w:t>.</w:t>
      </w:r>
      <w:r w:rsidR="009E4CC2" w:rsidRPr="009E4CC2">
        <w:rPr>
          <w:rFonts w:ascii="Times New Roman" w:hAnsi="Times New Roman" w:cs="Times New Roman"/>
          <w:sz w:val="24"/>
          <w:szCs w:val="24"/>
        </w:rPr>
        <w:t xml:space="preserve"> </w:t>
      </w:r>
      <w:r w:rsidR="000F7DAE" w:rsidRPr="000F7DAE">
        <w:rPr>
          <w:rFonts w:ascii="Times New Roman" w:hAnsi="Times New Roman" w:cs="Times New Roman"/>
          <w:sz w:val="24"/>
          <w:szCs w:val="24"/>
        </w:rPr>
        <w:t xml:space="preserve">At the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level, ICAO should ensure that eligible offset credit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s meet the following design elements: </w:t>
      </w:r>
    </w:p>
    <w:p w14:paraId="6942B8C9" w14:textId="77777777" w:rsidR="00753285" w:rsidRPr="008912A1" w:rsidRDefault="000F7DAE" w:rsidP="008D4CB7">
      <w:pPr>
        <w:pStyle w:val="Body"/>
        <w:numPr>
          <w:ilvl w:val="1"/>
          <w:numId w:val="1"/>
        </w:numPr>
        <w:spacing w:after="160"/>
        <w:jc w:val="both"/>
        <w:rPr>
          <w:rFonts w:ascii="Times New Roman" w:hAnsi="Times New Roman" w:cs="Times New Roman"/>
          <w:sz w:val="24"/>
          <w:szCs w:val="24"/>
        </w:rPr>
      </w:pPr>
      <w:r w:rsidRPr="000F7DAE">
        <w:rPr>
          <w:rFonts w:ascii="Times New Roman" w:hAnsi="Times New Roman" w:cs="Times New Roman"/>
          <w:sz w:val="24"/>
          <w:szCs w:val="24"/>
          <w:u w:val="single"/>
        </w:rPr>
        <w:t>Clear Methodologies and Protocols, and their Development Process</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008912A1">
        <w:rPr>
          <w:rFonts w:ascii="Times New Roman" w:hAnsi="Times New Roman" w:cs="Times New Roman"/>
          <w:sz w:val="24"/>
          <w:szCs w:val="24"/>
        </w:rPr>
        <w:t xml:space="preserve">s should have </w:t>
      </w:r>
      <w:r w:rsidR="008912A1" w:rsidRPr="008912A1">
        <w:rPr>
          <w:rFonts w:ascii="Times New Roman" w:hAnsi="Times New Roman" w:cs="Times New Roman"/>
          <w:sz w:val="24"/>
          <w:szCs w:val="24"/>
        </w:rPr>
        <w:t>qualification and quantification methodologies and protocols in</w:t>
      </w:r>
      <w:r w:rsidR="008912A1">
        <w:rPr>
          <w:rFonts w:ascii="Times New Roman" w:hAnsi="Times New Roman" w:cs="Times New Roman"/>
          <w:sz w:val="24"/>
          <w:szCs w:val="24"/>
        </w:rPr>
        <w:t xml:space="preserve"> place and available for use as </w:t>
      </w:r>
      <w:r w:rsidR="008912A1" w:rsidRPr="008912A1">
        <w:rPr>
          <w:rFonts w:ascii="Times New Roman" w:hAnsi="Times New Roman" w:cs="Times New Roman"/>
          <w:sz w:val="24"/>
          <w:szCs w:val="24"/>
        </w:rPr>
        <w:t>well as a process for developing further methodolog</w:t>
      </w:r>
      <w:r w:rsidR="008912A1">
        <w:rPr>
          <w:rFonts w:ascii="Times New Roman" w:hAnsi="Times New Roman" w:cs="Times New Roman"/>
          <w:sz w:val="24"/>
          <w:szCs w:val="24"/>
        </w:rPr>
        <w:t xml:space="preserve">ies and protocols. The existing </w:t>
      </w:r>
      <w:r w:rsidR="008912A1" w:rsidRPr="008912A1">
        <w:rPr>
          <w:rFonts w:ascii="Times New Roman" w:hAnsi="Times New Roman" w:cs="Times New Roman"/>
          <w:sz w:val="24"/>
          <w:szCs w:val="24"/>
        </w:rPr>
        <w:t>methodologies and protocols as well as the process for devel</w:t>
      </w:r>
      <w:r w:rsidR="008912A1">
        <w:rPr>
          <w:rFonts w:ascii="Times New Roman" w:hAnsi="Times New Roman" w:cs="Times New Roman"/>
          <w:sz w:val="24"/>
          <w:szCs w:val="24"/>
        </w:rPr>
        <w:t xml:space="preserve">oping further methodologies and </w:t>
      </w:r>
      <w:r w:rsidR="008912A1" w:rsidRPr="008912A1">
        <w:rPr>
          <w:rFonts w:ascii="Times New Roman" w:hAnsi="Times New Roman" w:cs="Times New Roman"/>
          <w:sz w:val="24"/>
          <w:szCs w:val="24"/>
        </w:rPr>
        <w:t>protocols should be publicly disclosed.</w:t>
      </w:r>
      <w:r w:rsidRPr="008912A1">
        <w:rPr>
          <w:rFonts w:ascii="Times New Roman" w:hAnsi="Times New Roman" w:cs="Times New Roman"/>
          <w:sz w:val="24"/>
          <w:szCs w:val="24"/>
        </w:rPr>
        <w:t xml:space="preserve"> </w:t>
      </w:r>
    </w:p>
    <w:p w14:paraId="3FB7E1B8" w14:textId="77777777" w:rsidR="00753285" w:rsidRPr="008912A1" w:rsidRDefault="000F7DAE" w:rsidP="008D4CB7">
      <w:pPr>
        <w:pStyle w:val="Body"/>
        <w:numPr>
          <w:ilvl w:val="1"/>
          <w:numId w:val="1"/>
        </w:numPr>
        <w:spacing w:after="160"/>
        <w:jc w:val="both"/>
        <w:rPr>
          <w:rFonts w:ascii="Times New Roman" w:hAnsi="Times New Roman" w:cs="Times New Roman"/>
          <w:sz w:val="24"/>
          <w:szCs w:val="24"/>
        </w:rPr>
      </w:pPr>
      <w:r w:rsidRPr="000F7DAE">
        <w:rPr>
          <w:rFonts w:ascii="Times New Roman" w:hAnsi="Times New Roman" w:cs="Times New Roman"/>
          <w:sz w:val="24"/>
          <w:szCs w:val="24"/>
          <w:u w:val="single"/>
        </w:rPr>
        <w:t>Scope Considerations</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008912A1" w:rsidRPr="008912A1">
        <w:rPr>
          <w:rFonts w:ascii="Times New Roman" w:hAnsi="Times New Roman" w:cs="Times New Roman"/>
          <w:sz w:val="24"/>
          <w:szCs w:val="24"/>
        </w:rPr>
        <w:t>s should define and publicly disclose the level at which activities</w:t>
      </w:r>
      <w:r w:rsidR="008912A1">
        <w:rPr>
          <w:rFonts w:ascii="Times New Roman" w:hAnsi="Times New Roman" w:cs="Times New Roman"/>
          <w:sz w:val="24"/>
          <w:szCs w:val="24"/>
        </w:rPr>
        <w:t xml:space="preserve"> </w:t>
      </w:r>
      <w:r w:rsidR="008912A1" w:rsidRPr="008912A1">
        <w:rPr>
          <w:rFonts w:ascii="Times New Roman" w:hAnsi="Times New Roman" w:cs="Times New Roman" w:hint="eastAsia"/>
          <w:sz w:val="24"/>
          <w:szCs w:val="24"/>
        </w:rPr>
        <w:t xml:space="preserve">are allowed under the </w:t>
      </w:r>
      <w:r w:rsidR="00842F6C">
        <w:rPr>
          <w:rFonts w:ascii="Times New Roman" w:hAnsi="Times New Roman" w:cs="Times New Roman" w:hint="eastAsia"/>
          <w:sz w:val="24"/>
          <w:szCs w:val="24"/>
        </w:rPr>
        <w:t>programme</w:t>
      </w:r>
      <w:r w:rsidR="008912A1" w:rsidRPr="008912A1">
        <w:rPr>
          <w:rFonts w:ascii="Times New Roman" w:hAnsi="Times New Roman" w:cs="Times New Roman" w:hint="eastAsia"/>
          <w:sz w:val="24"/>
          <w:szCs w:val="24"/>
        </w:rPr>
        <w:t xml:space="preserve"> (e.g., project</w:t>
      </w:r>
      <w:r w:rsidR="008912A1">
        <w:rPr>
          <w:rFonts w:ascii="Times New Roman" w:hAnsi="Times New Roman" w:cs="Times New Roman" w:hint="eastAsia"/>
          <w:sz w:val="24"/>
          <w:szCs w:val="24"/>
        </w:rPr>
        <w:t xml:space="preserve"> </w:t>
      </w:r>
      <w:r w:rsidR="008912A1" w:rsidRPr="008912A1">
        <w:rPr>
          <w:rFonts w:ascii="Times New Roman" w:hAnsi="Times New Roman" w:cs="Times New Roman" w:hint="eastAsia"/>
          <w:sz w:val="24"/>
          <w:szCs w:val="24"/>
        </w:rPr>
        <w:t xml:space="preserve">based, </w:t>
      </w:r>
      <w:r w:rsidR="00842F6C">
        <w:rPr>
          <w:rFonts w:ascii="Times New Roman" w:hAnsi="Times New Roman" w:cs="Times New Roman" w:hint="eastAsia"/>
          <w:sz w:val="24"/>
          <w:szCs w:val="24"/>
        </w:rPr>
        <w:t>programme</w:t>
      </w:r>
      <w:r w:rsidR="008912A1" w:rsidRPr="008912A1">
        <w:rPr>
          <w:rFonts w:ascii="Times New Roman" w:hAnsi="Times New Roman" w:cs="Times New Roman" w:hint="eastAsia"/>
          <w:sz w:val="24"/>
          <w:szCs w:val="24"/>
        </w:rPr>
        <w:t xml:space="preserve"> of activities, etc.) as well as the</w:t>
      </w:r>
      <w:r w:rsidR="008912A1">
        <w:rPr>
          <w:rFonts w:ascii="Times New Roman" w:hAnsi="Times New Roman" w:cs="Times New Roman"/>
          <w:sz w:val="24"/>
          <w:szCs w:val="24"/>
        </w:rPr>
        <w:t xml:space="preserve"> </w:t>
      </w:r>
      <w:r w:rsidR="008912A1" w:rsidRPr="008912A1">
        <w:rPr>
          <w:rFonts w:ascii="Times New Roman" w:hAnsi="Times New Roman" w:cs="Times New Roman"/>
          <w:sz w:val="24"/>
          <w:szCs w:val="24"/>
        </w:rPr>
        <w:t>eligibility criteria for each type of offset activity (e.g., which sectors, project types, or geographic</w:t>
      </w:r>
      <w:r w:rsidR="008912A1">
        <w:rPr>
          <w:rFonts w:ascii="Times New Roman" w:hAnsi="Times New Roman" w:cs="Times New Roman"/>
          <w:sz w:val="24"/>
          <w:szCs w:val="24"/>
        </w:rPr>
        <w:t xml:space="preserve"> </w:t>
      </w:r>
      <w:r w:rsidR="008912A1" w:rsidRPr="008912A1">
        <w:rPr>
          <w:rFonts w:ascii="Times New Roman" w:hAnsi="Times New Roman" w:cs="Times New Roman"/>
          <w:sz w:val="24"/>
          <w:szCs w:val="24"/>
        </w:rPr>
        <w:t>locations are covered).</w:t>
      </w:r>
      <w:r w:rsidRPr="008912A1">
        <w:rPr>
          <w:rFonts w:ascii="Times New Roman" w:hAnsi="Times New Roman" w:cs="Times New Roman"/>
          <w:sz w:val="24"/>
          <w:szCs w:val="24"/>
        </w:rPr>
        <w:t xml:space="preserve"> </w:t>
      </w:r>
    </w:p>
    <w:p w14:paraId="0C5B1C80" w14:textId="77777777" w:rsidR="00753285" w:rsidRPr="008912A1" w:rsidRDefault="000F7DAE" w:rsidP="008D4CB7">
      <w:pPr>
        <w:pStyle w:val="Body"/>
        <w:numPr>
          <w:ilvl w:val="1"/>
          <w:numId w:val="1"/>
        </w:numPr>
        <w:spacing w:after="160"/>
        <w:jc w:val="both"/>
        <w:rPr>
          <w:rFonts w:ascii="Times New Roman" w:hAnsi="Times New Roman" w:cs="Times New Roman"/>
          <w:sz w:val="24"/>
          <w:szCs w:val="24"/>
        </w:rPr>
      </w:pPr>
      <w:r w:rsidRPr="000F7DAE">
        <w:rPr>
          <w:rFonts w:ascii="Times New Roman" w:hAnsi="Times New Roman" w:cs="Times New Roman"/>
          <w:sz w:val="24"/>
          <w:szCs w:val="24"/>
          <w:u w:val="single"/>
        </w:rPr>
        <w:t>Offset Credit Issuance and Retirement Procedures</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008912A1" w:rsidRPr="008912A1">
        <w:rPr>
          <w:rFonts w:ascii="Times New Roman" w:hAnsi="Times New Roman" w:cs="Times New Roman"/>
          <w:sz w:val="24"/>
          <w:szCs w:val="24"/>
        </w:rPr>
        <w:t xml:space="preserve">s </w:t>
      </w:r>
      <w:r w:rsidR="008912A1">
        <w:rPr>
          <w:rFonts w:ascii="Times New Roman" w:hAnsi="Times New Roman" w:cs="Times New Roman"/>
          <w:sz w:val="24"/>
          <w:szCs w:val="24"/>
        </w:rPr>
        <w:t xml:space="preserve">should have in place procedures </w:t>
      </w:r>
      <w:r w:rsidR="008912A1" w:rsidRPr="008912A1">
        <w:rPr>
          <w:rFonts w:ascii="Times New Roman" w:hAnsi="Times New Roman" w:cs="Times New Roman"/>
          <w:sz w:val="24"/>
          <w:szCs w:val="24"/>
        </w:rPr>
        <w:t>for how offset credits are: (a) issued; (b) retired or cancelled; (c) s</w:t>
      </w:r>
      <w:r w:rsidR="008912A1">
        <w:rPr>
          <w:rFonts w:ascii="Times New Roman" w:hAnsi="Times New Roman" w:cs="Times New Roman"/>
          <w:sz w:val="24"/>
          <w:szCs w:val="24"/>
        </w:rPr>
        <w:t xml:space="preserve">ubject to any discounting; and, </w:t>
      </w:r>
      <w:r w:rsidR="008912A1" w:rsidRPr="008912A1">
        <w:rPr>
          <w:rFonts w:ascii="Times New Roman" w:hAnsi="Times New Roman" w:cs="Times New Roman"/>
          <w:sz w:val="24"/>
          <w:szCs w:val="24"/>
        </w:rPr>
        <w:t>(d) the length of the crediting period and whether that period</w:t>
      </w:r>
      <w:r w:rsidR="008912A1">
        <w:rPr>
          <w:rFonts w:ascii="Times New Roman" w:hAnsi="Times New Roman" w:cs="Times New Roman"/>
          <w:sz w:val="24"/>
          <w:szCs w:val="24"/>
        </w:rPr>
        <w:t xml:space="preserve"> is renewable. These procedures </w:t>
      </w:r>
      <w:r w:rsidR="008F1218">
        <w:rPr>
          <w:rFonts w:ascii="Times New Roman" w:hAnsi="Times New Roman" w:cs="Times New Roman"/>
          <w:sz w:val="24"/>
          <w:szCs w:val="24"/>
        </w:rPr>
        <w:t>should be publicly disclosed</w:t>
      </w:r>
      <w:r w:rsidRPr="008912A1">
        <w:rPr>
          <w:rFonts w:ascii="Times New Roman" w:hAnsi="Times New Roman" w:cs="Times New Roman"/>
          <w:sz w:val="24"/>
          <w:szCs w:val="24"/>
        </w:rPr>
        <w:t xml:space="preserve">. </w:t>
      </w:r>
    </w:p>
    <w:p w14:paraId="1E610703" w14:textId="77777777" w:rsidR="00753285" w:rsidRPr="008912A1" w:rsidRDefault="000F7DAE" w:rsidP="008D4CB7">
      <w:pPr>
        <w:pStyle w:val="Body"/>
        <w:numPr>
          <w:ilvl w:val="1"/>
          <w:numId w:val="1"/>
        </w:numPr>
        <w:spacing w:after="160"/>
        <w:jc w:val="both"/>
        <w:rPr>
          <w:rFonts w:ascii="Times New Roman" w:hAnsi="Times New Roman" w:cs="Times New Roman"/>
          <w:sz w:val="24"/>
          <w:szCs w:val="24"/>
        </w:rPr>
      </w:pPr>
      <w:r w:rsidRPr="000F7DAE">
        <w:rPr>
          <w:rFonts w:ascii="Times New Roman" w:hAnsi="Times New Roman" w:cs="Times New Roman"/>
          <w:sz w:val="24"/>
          <w:szCs w:val="24"/>
          <w:u w:val="single"/>
        </w:rPr>
        <w:t>Identification and Tracking</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008912A1" w:rsidRPr="008912A1">
        <w:rPr>
          <w:rFonts w:ascii="Times New Roman" w:hAnsi="Times New Roman" w:cs="Times New Roman"/>
          <w:sz w:val="24"/>
          <w:szCs w:val="24"/>
        </w:rPr>
        <w:t>s should have in place procedures that ensure that: (</w:t>
      </w:r>
      <w:r w:rsidR="008912A1">
        <w:rPr>
          <w:rFonts w:ascii="Times New Roman" w:hAnsi="Times New Roman" w:cs="Times New Roman"/>
          <w:sz w:val="24"/>
          <w:szCs w:val="24"/>
        </w:rPr>
        <w:t xml:space="preserve">a) </w:t>
      </w:r>
      <w:r w:rsidR="008912A1" w:rsidRPr="008912A1">
        <w:rPr>
          <w:rFonts w:ascii="Times New Roman" w:hAnsi="Times New Roman" w:cs="Times New Roman"/>
          <w:sz w:val="24"/>
          <w:szCs w:val="24"/>
        </w:rPr>
        <w:t>units are tracked; (b) units are individually identified through seri</w:t>
      </w:r>
      <w:r w:rsidR="008912A1">
        <w:rPr>
          <w:rFonts w:ascii="Times New Roman" w:hAnsi="Times New Roman" w:cs="Times New Roman"/>
          <w:sz w:val="24"/>
          <w:szCs w:val="24"/>
        </w:rPr>
        <w:t xml:space="preserve">al numbers: (c) the registry is </w:t>
      </w:r>
      <w:r w:rsidR="008912A1" w:rsidRPr="008912A1">
        <w:rPr>
          <w:rFonts w:ascii="Times New Roman" w:hAnsi="Times New Roman" w:cs="Times New Roman"/>
          <w:sz w:val="24"/>
          <w:szCs w:val="24"/>
        </w:rPr>
        <w:t>secure (i.e., robust security provisions are in place); and (d) units</w:t>
      </w:r>
      <w:r w:rsidR="008912A1">
        <w:rPr>
          <w:rFonts w:ascii="Times New Roman" w:hAnsi="Times New Roman" w:cs="Times New Roman"/>
          <w:sz w:val="24"/>
          <w:szCs w:val="24"/>
        </w:rPr>
        <w:t xml:space="preserve"> have clearly identified owners </w:t>
      </w:r>
      <w:r w:rsidR="008912A1" w:rsidRPr="008912A1">
        <w:rPr>
          <w:rFonts w:ascii="Times New Roman" w:hAnsi="Times New Roman" w:cs="Times New Roman"/>
          <w:sz w:val="24"/>
          <w:szCs w:val="24"/>
        </w:rPr>
        <w:t xml:space="preserve">or holders (e.g., identification requirements of a registry). The </w:t>
      </w:r>
      <w:r w:rsidR="00842F6C">
        <w:rPr>
          <w:rFonts w:ascii="Times New Roman" w:hAnsi="Times New Roman" w:cs="Times New Roman"/>
          <w:sz w:val="24"/>
          <w:szCs w:val="24"/>
        </w:rPr>
        <w:t>programme</w:t>
      </w:r>
      <w:r w:rsidR="008912A1">
        <w:rPr>
          <w:rFonts w:ascii="Times New Roman" w:hAnsi="Times New Roman" w:cs="Times New Roman"/>
          <w:sz w:val="24"/>
          <w:szCs w:val="24"/>
        </w:rPr>
        <w:t xml:space="preserve"> should also stipulate (e) </w:t>
      </w:r>
      <w:r w:rsidR="008912A1" w:rsidRPr="008912A1">
        <w:rPr>
          <w:rFonts w:ascii="Times New Roman" w:hAnsi="Times New Roman" w:cs="Times New Roman"/>
          <w:sz w:val="24"/>
          <w:szCs w:val="24"/>
        </w:rPr>
        <w:t>to which, if any, other registries it is linked; and, (f) wheth</w:t>
      </w:r>
      <w:r w:rsidR="008912A1">
        <w:rPr>
          <w:rFonts w:ascii="Times New Roman" w:hAnsi="Times New Roman" w:cs="Times New Roman"/>
          <w:sz w:val="24"/>
          <w:szCs w:val="24"/>
        </w:rPr>
        <w:t xml:space="preserve">er and which international data </w:t>
      </w:r>
      <w:r w:rsidR="008912A1" w:rsidRPr="008912A1">
        <w:rPr>
          <w:rFonts w:ascii="Times New Roman" w:hAnsi="Times New Roman" w:cs="Times New Roman"/>
          <w:sz w:val="24"/>
          <w:szCs w:val="24"/>
        </w:rPr>
        <w:t>exchange standards the registry conforms with. All of the abo</w:t>
      </w:r>
      <w:r w:rsidR="008912A1">
        <w:rPr>
          <w:rFonts w:ascii="Times New Roman" w:hAnsi="Times New Roman" w:cs="Times New Roman"/>
          <w:sz w:val="24"/>
          <w:szCs w:val="24"/>
        </w:rPr>
        <w:t>ve should be publicly disclosed information</w:t>
      </w:r>
      <w:r w:rsidRPr="008912A1">
        <w:rPr>
          <w:rFonts w:ascii="Times New Roman" w:hAnsi="Times New Roman" w:cs="Times New Roman"/>
          <w:sz w:val="24"/>
          <w:szCs w:val="24"/>
        </w:rPr>
        <w:t xml:space="preserve">. </w:t>
      </w:r>
    </w:p>
    <w:p w14:paraId="0B56AD86" w14:textId="77777777" w:rsidR="00753285" w:rsidRPr="00F438C5" w:rsidRDefault="00906AD9" w:rsidP="008D4CB7">
      <w:pPr>
        <w:pStyle w:val="Body"/>
        <w:numPr>
          <w:ilvl w:val="2"/>
          <w:numId w:val="1"/>
        </w:numPr>
        <w:spacing w:after="160"/>
        <w:jc w:val="both"/>
        <w:rPr>
          <w:rFonts w:ascii="Times New Roman" w:eastAsia="Helvetica Neue Thin" w:hAnsi="Times New Roman" w:cs="Times New Roman"/>
          <w:sz w:val="24"/>
          <w:szCs w:val="24"/>
          <w:u w:val="single"/>
        </w:rPr>
      </w:pPr>
      <w:r w:rsidRPr="00F438C5">
        <w:rPr>
          <w:rFonts w:ascii="Times New Roman" w:hAnsi="Times New Roman" w:cs="Times New Roman"/>
          <w:sz w:val="24"/>
          <w:szCs w:val="24"/>
          <w:u w:val="single"/>
        </w:rPr>
        <w:t xml:space="preserve">Guidelines for </w:t>
      </w:r>
      <w:r w:rsidR="00C41448" w:rsidRPr="00F438C5">
        <w:rPr>
          <w:rFonts w:ascii="Times New Roman" w:hAnsi="Times New Roman" w:cs="Times New Roman"/>
          <w:sz w:val="24"/>
          <w:szCs w:val="24"/>
          <w:u w:val="single"/>
        </w:rPr>
        <w:t>interpretation of the “Identification and Tracking” criterion</w:t>
      </w:r>
      <w:r w:rsidR="000F7DAE" w:rsidRPr="00F438C5">
        <w:rPr>
          <w:rFonts w:ascii="Times New Roman" w:hAnsi="Times New Roman" w:cs="Times New Roman"/>
          <w:sz w:val="24"/>
          <w:szCs w:val="24"/>
          <w:u w:val="single"/>
        </w:rPr>
        <w:t xml:space="preserve"> </w:t>
      </w:r>
    </w:p>
    <w:p w14:paraId="174BA056"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lastRenderedPageBreak/>
        <w:t>Registry use</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utilize an electronic registry (or registries) in order to comply with the criterion for emissions unit identification and tracking. </w:t>
      </w:r>
    </w:p>
    <w:p w14:paraId="4B52AEA0"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Unit identification</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registry (or registries) should be capable of transparently identifying emissions units that are deemed ICAO-eligible, in all account types. </w:t>
      </w:r>
    </w:p>
    <w:p w14:paraId="3E02107C"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Unit transfer and tracking</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registry (or registries) should facilitate the transfer of unit ownership and/or holding; and transparently identify unit status, including issuance, cancellation, and issuan</w:t>
      </w:r>
      <w:r w:rsidR="008F1218">
        <w:rPr>
          <w:rFonts w:ascii="Times New Roman" w:hAnsi="Times New Roman" w:cs="Times New Roman"/>
          <w:sz w:val="24"/>
          <w:szCs w:val="24"/>
        </w:rPr>
        <w:t>c</w:t>
      </w:r>
      <w:r w:rsidR="00D016AA">
        <w:rPr>
          <w:rFonts w:ascii="Times New Roman" w:hAnsi="Times New Roman" w:cs="Times New Roman"/>
          <w:sz w:val="24"/>
          <w:szCs w:val="24"/>
        </w:rPr>
        <w:t xml:space="preserve">e status (see also paragraph </w:t>
      </w:r>
      <w:r w:rsidR="00D016AA" w:rsidRPr="00217CEB">
        <w:rPr>
          <w:rFonts w:ascii="Times New Roman" w:hAnsi="Times New Roman" w:cs="Times New Roman"/>
          <w:sz w:val="24"/>
          <w:szCs w:val="24"/>
        </w:rPr>
        <w:t>3.3</w:t>
      </w:r>
      <w:r w:rsidR="008F1218" w:rsidRPr="00217CEB">
        <w:rPr>
          <w:rFonts w:ascii="Times New Roman" w:hAnsi="Times New Roman" w:cs="Times New Roman"/>
          <w:sz w:val="24"/>
          <w:szCs w:val="24"/>
        </w:rPr>
        <w:t>.5</w:t>
      </w:r>
      <w:r w:rsidR="008F1218">
        <w:rPr>
          <w:rFonts w:ascii="Times New Roman" w:hAnsi="Times New Roman" w:cs="Times New Roman"/>
          <w:sz w:val="24"/>
          <w:szCs w:val="24"/>
        </w:rPr>
        <w:t>:</w:t>
      </w:r>
      <w:r w:rsidRPr="000F7DAE">
        <w:rPr>
          <w:rFonts w:ascii="Times New Roman" w:hAnsi="Times New Roman" w:cs="Times New Roman"/>
          <w:sz w:val="24"/>
          <w:szCs w:val="24"/>
        </w:rPr>
        <w:t xml:space="preserve"> </w:t>
      </w:r>
      <w:r w:rsidRPr="008F1218">
        <w:rPr>
          <w:rFonts w:ascii="Times New Roman" w:hAnsi="Times New Roman" w:cs="Times New Roman"/>
          <w:i/>
          <w:sz w:val="24"/>
          <w:szCs w:val="24"/>
        </w:rPr>
        <w:t xml:space="preserve">Identification of units issued </w:t>
      </w:r>
      <w:r w:rsidRPr="008F1218">
        <w:rPr>
          <w:rFonts w:ascii="Times New Roman" w:hAnsi="Times New Roman" w:cs="Times New Roman"/>
          <w:sz w:val="24"/>
          <w:szCs w:val="24"/>
        </w:rPr>
        <w:t>ex ante</w:t>
      </w:r>
      <w:r w:rsidRPr="000F7DAE">
        <w:rPr>
          <w:rFonts w:ascii="Times New Roman" w:hAnsi="Times New Roman" w:cs="Times New Roman"/>
          <w:sz w:val="24"/>
          <w:szCs w:val="24"/>
        </w:rPr>
        <w:t xml:space="preserve">). </w:t>
      </w:r>
    </w:p>
    <w:p w14:paraId="703F2F26"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Unique serialization</w:t>
      </w:r>
      <w:r w:rsidRPr="000F7DAE">
        <w:rPr>
          <w:rFonts w:ascii="Times New Roman" w:hAnsi="Times New Roman" w:cs="Times New Roman"/>
          <w:sz w:val="24"/>
          <w:szCs w:val="24"/>
        </w:rPr>
        <w:t>: T</w:t>
      </w:r>
      <w:r w:rsidR="00906AD9">
        <w:rPr>
          <w:rFonts w:ascii="Times New Roman" w:hAnsi="Times New Roman" w:cs="Times New Roman"/>
          <w:sz w:val="24"/>
          <w:szCs w:val="24"/>
        </w:rPr>
        <w:t xml:space="preserve">he </w:t>
      </w:r>
      <w:r w:rsidR="00842F6C">
        <w:rPr>
          <w:rFonts w:ascii="Times New Roman" w:hAnsi="Times New Roman" w:cs="Times New Roman"/>
          <w:sz w:val="24"/>
          <w:szCs w:val="24"/>
        </w:rPr>
        <w:t>programme</w:t>
      </w:r>
      <w:r w:rsidR="00906AD9">
        <w:rPr>
          <w:rFonts w:ascii="Times New Roman" w:hAnsi="Times New Roman" w:cs="Times New Roman"/>
          <w:sz w:val="24"/>
          <w:szCs w:val="24"/>
        </w:rPr>
        <w:t xml:space="preserve"> should have policies</w:t>
      </w:r>
      <w:r w:rsidR="00906AD9">
        <w:rPr>
          <w:rStyle w:val="FootnoteReference"/>
          <w:rFonts w:ascii="Times New Roman" w:hAnsi="Times New Roman" w:cs="Times New Roman"/>
          <w:sz w:val="24"/>
          <w:szCs w:val="24"/>
        </w:rPr>
        <w:footnoteReference w:id="4"/>
      </w:r>
      <w:r w:rsidRPr="000F7DAE">
        <w:rPr>
          <w:rFonts w:ascii="Times New Roman" w:hAnsi="Times New Roman" w:cs="Times New Roman"/>
          <w:sz w:val="24"/>
          <w:szCs w:val="24"/>
        </w:rPr>
        <w:t xml:space="preserve"> in place requiring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registry (or registries) to assign to each emissions unit a unique serial number; identify units’ country and sector of origin, vintage, and original (and</w:t>
      </w:r>
      <w:r w:rsidR="008F1218">
        <w:rPr>
          <w:rFonts w:ascii="Times New Roman" w:hAnsi="Times New Roman" w:cs="Times New Roman"/>
          <w:sz w:val="24"/>
          <w:szCs w:val="24"/>
        </w:rPr>
        <w:t>,</w:t>
      </w:r>
      <w:r w:rsidRPr="000F7DAE">
        <w:rPr>
          <w:rFonts w:ascii="Times New Roman" w:hAnsi="Times New Roman" w:cs="Times New Roman"/>
          <w:sz w:val="24"/>
          <w:szCs w:val="24"/>
        </w:rPr>
        <w:t xml:space="preserve"> if relevant, revised) project registration date. </w:t>
      </w:r>
    </w:p>
    <w:p w14:paraId="0D84A712"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Registry administrator conflicts of interest</w:t>
      </w:r>
      <w:r w:rsidRPr="000F7DAE">
        <w:rPr>
          <w:rFonts w:ascii="Times New Roman" w:hAnsi="Times New Roman" w:cs="Times New Roman"/>
          <w:sz w:val="24"/>
          <w:szCs w:val="24"/>
        </w:rPr>
        <w:t xml:space="preserv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should avoid administrator conflicts of interest and should have policies in place that prevent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registry administrators from having financial, commercial or </w:t>
      </w:r>
      <w:r w:rsidR="00906AD9">
        <w:rPr>
          <w:rFonts w:ascii="Times New Roman" w:hAnsi="Times New Roman" w:cs="Times New Roman"/>
          <w:sz w:val="24"/>
          <w:szCs w:val="24"/>
        </w:rPr>
        <w:t>fiduciary conflicts of interest</w:t>
      </w:r>
      <w:r w:rsidRPr="000F7DAE">
        <w:rPr>
          <w:rFonts w:ascii="Times New Roman" w:hAnsi="Times New Roman" w:cs="Times New Roman"/>
          <w:sz w:val="24"/>
          <w:szCs w:val="24"/>
        </w:rPr>
        <w:t xml:space="preserve"> in the governance or provision of registry services.</w:t>
      </w:r>
      <w:r w:rsidR="00C41448">
        <w:rPr>
          <w:rStyle w:val="FootnoteReference"/>
          <w:rFonts w:ascii="Times New Roman" w:hAnsi="Times New Roman" w:cs="Times New Roman"/>
          <w:sz w:val="24"/>
          <w:szCs w:val="24"/>
        </w:rPr>
        <w:footnoteReference w:id="5"/>
      </w:r>
      <w:r w:rsidRPr="000F7DAE">
        <w:rPr>
          <w:rFonts w:ascii="Times New Roman" w:hAnsi="Times New Roman" w:cs="Times New Roman"/>
          <w:sz w:val="24"/>
          <w:szCs w:val="24"/>
        </w:rPr>
        <w:t xml:space="preserve"> Where such conflicts arise, and are appropriately declared,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should have robust procedures in place to address and isolate the conflict. </w:t>
      </w:r>
    </w:p>
    <w:p w14:paraId="5C334F88"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Registry account screening</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provisions in place ensuring the screening of requests for registry accounts; and restricting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registry (or registries) accounts to registered businesses and individuals. </w:t>
      </w:r>
    </w:p>
    <w:p w14:paraId="377EFECE"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lastRenderedPageBreak/>
        <w:t>Registry security review</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provisions in place ensuring the periodic audit or evaluation of registry compliance with security provisions. </w:t>
      </w:r>
    </w:p>
    <w:p w14:paraId="1E01FBFB" w14:textId="77777777" w:rsidR="00753285" w:rsidRPr="008912A1" w:rsidRDefault="000F7DAE" w:rsidP="008D4CB7">
      <w:pPr>
        <w:pStyle w:val="Body"/>
        <w:numPr>
          <w:ilvl w:val="1"/>
          <w:numId w:val="1"/>
        </w:numPr>
        <w:spacing w:after="160"/>
        <w:jc w:val="both"/>
        <w:rPr>
          <w:rFonts w:ascii="Times New Roman" w:hAnsi="Times New Roman" w:cs="Times New Roman"/>
          <w:sz w:val="24"/>
          <w:szCs w:val="24"/>
        </w:rPr>
      </w:pPr>
      <w:r w:rsidRPr="000F7DAE">
        <w:rPr>
          <w:rFonts w:ascii="Times New Roman" w:hAnsi="Times New Roman" w:cs="Times New Roman"/>
          <w:sz w:val="24"/>
          <w:szCs w:val="24"/>
          <w:u w:val="single"/>
        </w:rPr>
        <w:t>Legal Nature and Transfer of Units</w:t>
      </w:r>
      <w:r w:rsidRPr="000F7DAE">
        <w:rPr>
          <w:rFonts w:ascii="Times New Roman" w:hAnsi="Times New Roman" w:cs="Times New Roman"/>
          <w:sz w:val="24"/>
          <w:szCs w:val="24"/>
        </w:rPr>
        <w:t>—</w:t>
      </w:r>
      <w:r w:rsidR="008912A1" w:rsidRPr="008912A1">
        <w:rPr>
          <w:rFonts w:ascii="Times New Roman" w:hAnsi="Times New Roman" w:cs="Times New Roman"/>
          <w:sz w:val="24"/>
          <w:szCs w:val="24"/>
        </w:rPr>
        <w:t xml:space="preserve">The </w:t>
      </w:r>
      <w:r w:rsidR="00842F6C">
        <w:rPr>
          <w:rFonts w:ascii="Times New Roman" w:hAnsi="Times New Roman" w:cs="Times New Roman"/>
          <w:sz w:val="24"/>
          <w:szCs w:val="24"/>
        </w:rPr>
        <w:t>programme</w:t>
      </w:r>
      <w:r w:rsidR="008912A1" w:rsidRPr="008912A1">
        <w:rPr>
          <w:rFonts w:ascii="Times New Roman" w:hAnsi="Times New Roman" w:cs="Times New Roman"/>
          <w:sz w:val="24"/>
          <w:szCs w:val="24"/>
        </w:rPr>
        <w:t xml:space="preserve"> should d</w:t>
      </w:r>
      <w:r w:rsidR="008912A1">
        <w:rPr>
          <w:rFonts w:ascii="Times New Roman" w:hAnsi="Times New Roman" w:cs="Times New Roman"/>
          <w:sz w:val="24"/>
          <w:szCs w:val="24"/>
        </w:rPr>
        <w:t xml:space="preserve">efine and ensure the underlying </w:t>
      </w:r>
      <w:r w:rsidR="008912A1" w:rsidRPr="008912A1">
        <w:rPr>
          <w:rFonts w:ascii="Times New Roman" w:hAnsi="Times New Roman" w:cs="Times New Roman"/>
          <w:sz w:val="24"/>
          <w:szCs w:val="24"/>
        </w:rPr>
        <w:t>attributes and property aspects of a unit, and publicly disclose the process by which it does so.</w:t>
      </w:r>
      <w:r w:rsidRPr="008912A1">
        <w:rPr>
          <w:rFonts w:ascii="Times New Roman" w:hAnsi="Times New Roman" w:cs="Times New Roman"/>
          <w:sz w:val="24"/>
          <w:szCs w:val="24"/>
        </w:rPr>
        <w:t xml:space="preserve"> </w:t>
      </w:r>
    </w:p>
    <w:p w14:paraId="4D2C892D" w14:textId="77777777" w:rsidR="00753285" w:rsidRPr="008912A1" w:rsidRDefault="000F7DAE" w:rsidP="008D4CB7">
      <w:pPr>
        <w:pStyle w:val="Body"/>
        <w:numPr>
          <w:ilvl w:val="1"/>
          <w:numId w:val="1"/>
        </w:numPr>
        <w:spacing w:after="160"/>
        <w:jc w:val="both"/>
        <w:rPr>
          <w:rFonts w:ascii="Times New Roman" w:hAnsi="Times New Roman" w:cs="Times New Roman"/>
          <w:sz w:val="24"/>
          <w:szCs w:val="24"/>
        </w:rPr>
      </w:pPr>
      <w:r w:rsidRPr="000F7DAE">
        <w:rPr>
          <w:rFonts w:ascii="Times New Roman" w:hAnsi="Times New Roman" w:cs="Times New Roman"/>
          <w:sz w:val="24"/>
          <w:szCs w:val="24"/>
          <w:u w:val="single"/>
        </w:rPr>
        <w:t>Validation and Verification procedures</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008912A1" w:rsidRPr="008912A1">
        <w:rPr>
          <w:rFonts w:ascii="Times New Roman" w:hAnsi="Times New Roman" w:cs="Times New Roman"/>
          <w:sz w:val="24"/>
          <w:szCs w:val="24"/>
        </w:rPr>
        <w:t>s shou</w:t>
      </w:r>
      <w:r w:rsidR="008912A1">
        <w:rPr>
          <w:rFonts w:ascii="Times New Roman" w:hAnsi="Times New Roman" w:cs="Times New Roman"/>
          <w:sz w:val="24"/>
          <w:szCs w:val="24"/>
        </w:rPr>
        <w:t xml:space="preserve">ld have in place validation and </w:t>
      </w:r>
      <w:r w:rsidR="008912A1" w:rsidRPr="008912A1">
        <w:rPr>
          <w:rFonts w:ascii="Times New Roman" w:hAnsi="Times New Roman" w:cs="Times New Roman"/>
          <w:sz w:val="24"/>
          <w:szCs w:val="24"/>
        </w:rPr>
        <w:t>verification standards and procedures, as well as requirements and pr</w:t>
      </w:r>
      <w:r w:rsidR="008912A1">
        <w:rPr>
          <w:rFonts w:ascii="Times New Roman" w:hAnsi="Times New Roman" w:cs="Times New Roman"/>
          <w:sz w:val="24"/>
          <w:szCs w:val="24"/>
        </w:rPr>
        <w:t xml:space="preserve">ocedures for the </w:t>
      </w:r>
      <w:r w:rsidR="008912A1" w:rsidRPr="008912A1">
        <w:rPr>
          <w:rFonts w:ascii="Times New Roman" w:hAnsi="Times New Roman" w:cs="Times New Roman" w:hint="eastAsia"/>
          <w:sz w:val="24"/>
          <w:szCs w:val="24"/>
        </w:rPr>
        <w:t>accreditation of validators and verifiers. All of the above</w:t>
      </w:r>
      <w:r w:rsidR="00312B83">
        <w:rPr>
          <w:rFonts w:ascii="Times New Roman" w:hAnsi="Times New Roman" w:cs="Times New Roman"/>
          <w:sz w:val="24"/>
          <w:szCs w:val="24"/>
        </w:rPr>
        <w:t>-</w:t>
      </w:r>
      <w:r w:rsidR="008912A1" w:rsidRPr="008912A1">
        <w:rPr>
          <w:rFonts w:ascii="Times New Roman" w:hAnsi="Times New Roman" w:cs="Times New Roman" w:hint="eastAsia"/>
          <w:sz w:val="24"/>
          <w:szCs w:val="24"/>
        </w:rPr>
        <w:t>menti</w:t>
      </w:r>
      <w:r w:rsidR="008912A1">
        <w:rPr>
          <w:rFonts w:ascii="Times New Roman" w:hAnsi="Times New Roman" w:cs="Times New Roman" w:hint="eastAsia"/>
          <w:sz w:val="24"/>
          <w:szCs w:val="24"/>
        </w:rPr>
        <w:t>oned standards, procedures, and</w:t>
      </w:r>
      <w:r w:rsidR="008912A1">
        <w:rPr>
          <w:rFonts w:ascii="Times New Roman" w:hAnsi="Times New Roman" w:cs="Times New Roman"/>
          <w:sz w:val="24"/>
          <w:szCs w:val="24"/>
        </w:rPr>
        <w:t xml:space="preserve"> </w:t>
      </w:r>
      <w:r w:rsidR="008912A1" w:rsidRPr="008912A1">
        <w:rPr>
          <w:rFonts w:ascii="Times New Roman" w:hAnsi="Times New Roman" w:cs="Times New Roman"/>
          <w:sz w:val="24"/>
          <w:szCs w:val="24"/>
        </w:rPr>
        <w:t>requirements should be publicly disclosed.</w:t>
      </w:r>
      <w:r w:rsidRPr="008912A1">
        <w:rPr>
          <w:rFonts w:ascii="Times New Roman" w:hAnsi="Times New Roman" w:cs="Times New Roman"/>
          <w:sz w:val="24"/>
          <w:szCs w:val="24"/>
        </w:rPr>
        <w:t xml:space="preserve"> </w:t>
      </w:r>
    </w:p>
    <w:p w14:paraId="409757A4" w14:textId="77777777" w:rsidR="00753285" w:rsidRPr="000F7DAE" w:rsidRDefault="00842F6C" w:rsidP="008D4CB7">
      <w:pPr>
        <w:pStyle w:val="Body"/>
        <w:numPr>
          <w:ilvl w:val="1"/>
          <w:numId w:val="1"/>
        </w:numPr>
        <w:spacing w:after="160"/>
        <w:jc w:val="both"/>
        <w:rPr>
          <w:rFonts w:ascii="Times New Roman" w:eastAsia="Helvetica Neue Thin" w:hAnsi="Times New Roman" w:cs="Times New Roman"/>
          <w:sz w:val="24"/>
          <w:szCs w:val="24"/>
        </w:rPr>
      </w:pPr>
      <w:r>
        <w:rPr>
          <w:rFonts w:ascii="Times New Roman" w:hAnsi="Times New Roman" w:cs="Times New Roman"/>
          <w:sz w:val="24"/>
          <w:szCs w:val="24"/>
          <w:u w:val="single"/>
          <w:lang w:val="pt-PT"/>
        </w:rPr>
        <w:t>Programme</w:t>
      </w:r>
      <w:r w:rsidR="000F7DAE" w:rsidRPr="000F7DAE">
        <w:rPr>
          <w:rFonts w:ascii="Times New Roman" w:hAnsi="Times New Roman" w:cs="Times New Roman"/>
          <w:sz w:val="24"/>
          <w:szCs w:val="24"/>
          <w:u w:val="single"/>
          <w:lang w:val="pt-PT"/>
        </w:rPr>
        <w:t xml:space="preserve"> Governance</w:t>
      </w:r>
      <w:r w:rsidR="000F7DAE" w:rsidRPr="000F7DAE">
        <w:rPr>
          <w:rFonts w:ascii="Times New Roman" w:hAnsi="Times New Roman" w:cs="Times New Roman"/>
          <w:sz w:val="24"/>
          <w:szCs w:val="24"/>
        </w:rPr>
        <w:t>—</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s should publicly disclose who is responsible for administration of the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and how decisions are made. </w:t>
      </w:r>
    </w:p>
    <w:p w14:paraId="090A15AF" w14:textId="77777777" w:rsidR="00753285" w:rsidRPr="000F7DAE" w:rsidRDefault="00906AD9" w:rsidP="008D4CB7">
      <w:pPr>
        <w:pStyle w:val="Body"/>
        <w:numPr>
          <w:ilvl w:val="2"/>
          <w:numId w:val="1"/>
        </w:numPr>
        <w:spacing w:after="160"/>
        <w:jc w:val="both"/>
        <w:rPr>
          <w:rFonts w:ascii="Times New Roman" w:eastAsia="Helvetica Neue Thin" w:hAnsi="Times New Roman" w:cs="Times New Roman"/>
          <w:sz w:val="24"/>
          <w:szCs w:val="24"/>
          <w:u w:val="single"/>
        </w:rPr>
      </w:pPr>
      <w:r>
        <w:rPr>
          <w:rFonts w:ascii="Times New Roman" w:hAnsi="Times New Roman" w:cs="Times New Roman"/>
          <w:sz w:val="24"/>
          <w:szCs w:val="24"/>
          <w:u w:val="single"/>
        </w:rPr>
        <w:t xml:space="preserve">Guidelines for </w:t>
      </w:r>
      <w:r w:rsidR="000F7DAE" w:rsidRPr="000F7DAE">
        <w:rPr>
          <w:rFonts w:ascii="Times New Roman" w:hAnsi="Times New Roman" w:cs="Times New Roman"/>
          <w:sz w:val="24"/>
          <w:szCs w:val="24"/>
          <w:u w:val="single"/>
        </w:rPr>
        <w:t>interpretation</w:t>
      </w:r>
      <w:r w:rsidR="00C41448">
        <w:rPr>
          <w:rFonts w:ascii="Times New Roman" w:hAnsi="Times New Roman" w:cs="Times New Roman"/>
          <w:sz w:val="24"/>
          <w:szCs w:val="24"/>
          <w:u w:val="single"/>
        </w:rPr>
        <w:t xml:space="preserve"> of the “</w:t>
      </w:r>
      <w:r w:rsidR="00842F6C">
        <w:rPr>
          <w:rFonts w:ascii="Times New Roman" w:hAnsi="Times New Roman" w:cs="Times New Roman"/>
          <w:sz w:val="24"/>
          <w:szCs w:val="24"/>
          <w:u w:val="single"/>
        </w:rPr>
        <w:t>Programme</w:t>
      </w:r>
      <w:r w:rsidR="00C41448">
        <w:rPr>
          <w:rFonts w:ascii="Times New Roman" w:hAnsi="Times New Roman" w:cs="Times New Roman"/>
          <w:sz w:val="24"/>
          <w:szCs w:val="24"/>
          <w:u w:val="single"/>
        </w:rPr>
        <w:t xml:space="preserve"> Governance” criterion</w:t>
      </w:r>
    </w:p>
    <w:p w14:paraId="62EE8BA7" w14:textId="77777777" w:rsidR="00753285" w:rsidRPr="000F7DAE" w:rsidRDefault="00842F6C" w:rsidP="008D4CB7">
      <w:pPr>
        <w:pStyle w:val="Body"/>
        <w:numPr>
          <w:ilvl w:val="2"/>
          <w:numId w:val="1"/>
        </w:numPr>
        <w:spacing w:after="160"/>
        <w:jc w:val="both"/>
        <w:rPr>
          <w:rFonts w:ascii="Times New Roman" w:eastAsia="Helvetica Neue Thin" w:hAnsi="Times New Roman" w:cs="Times New Roman"/>
          <w:sz w:val="24"/>
          <w:szCs w:val="24"/>
        </w:rPr>
      </w:pPr>
      <w:r>
        <w:rPr>
          <w:rFonts w:ascii="Times New Roman" w:hAnsi="Times New Roman" w:cs="Times New Roman"/>
          <w:i/>
          <w:sz w:val="24"/>
          <w:szCs w:val="24"/>
        </w:rPr>
        <w:t>Programme</w:t>
      </w:r>
      <w:r w:rsidR="000F7DAE" w:rsidRPr="000F7DAE">
        <w:rPr>
          <w:rFonts w:ascii="Times New Roman" w:hAnsi="Times New Roman" w:cs="Times New Roman"/>
          <w:i/>
          <w:sz w:val="24"/>
          <w:szCs w:val="24"/>
        </w:rPr>
        <w:t xml:space="preserve"> longevity</w:t>
      </w:r>
      <w:r w:rsidR="000F7DAE" w:rsidRPr="000F7DAE">
        <w:rPr>
          <w:rFonts w:ascii="Times New Roman" w:hAnsi="Times New Roman" w:cs="Times New Roman"/>
          <w:sz w:val="24"/>
          <w:szCs w:val="24"/>
        </w:rPr>
        <w:t xml:space="preserve">: The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should demonstrate that is has been continuously governed and operational for at least the last two years; and that it has in place a plan for the long-term administration of multi-decadal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elements which includes possible responses to the dissolution of the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in its current form; </w:t>
      </w:r>
    </w:p>
    <w:p w14:paraId="74705E88" w14:textId="77777777" w:rsidR="00753285" w:rsidRPr="000F7DAE" w:rsidRDefault="00842F6C" w:rsidP="008D4CB7">
      <w:pPr>
        <w:pStyle w:val="Body"/>
        <w:numPr>
          <w:ilvl w:val="2"/>
          <w:numId w:val="1"/>
        </w:numPr>
        <w:spacing w:after="160"/>
        <w:jc w:val="both"/>
        <w:rPr>
          <w:rFonts w:ascii="Times New Roman" w:eastAsia="Helvetica Neue Thin" w:hAnsi="Times New Roman" w:cs="Times New Roman"/>
          <w:sz w:val="24"/>
          <w:szCs w:val="24"/>
        </w:rPr>
      </w:pPr>
      <w:r>
        <w:rPr>
          <w:rFonts w:ascii="Times New Roman" w:hAnsi="Times New Roman" w:cs="Times New Roman"/>
          <w:i/>
          <w:sz w:val="24"/>
          <w:szCs w:val="24"/>
        </w:rPr>
        <w:t>Programme</w:t>
      </w:r>
      <w:r w:rsidR="000F7DAE" w:rsidRPr="000F7DAE">
        <w:rPr>
          <w:rFonts w:ascii="Times New Roman" w:hAnsi="Times New Roman" w:cs="Times New Roman"/>
          <w:i/>
          <w:sz w:val="24"/>
          <w:szCs w:val="24"/>
        </w:rPr>
        <w:t xml:space="preserve"> administrator and staff conflicts of interest</w:t>
      </w:r>
      <w:r w:rsidR="000F7DAE" w:rsidRPr="000F7DAE">
        <w:rPr>
          <w:rFonts w:ascii="Times New Roman" w:hAnsi="Times New Roman" w:cs="Times New Roman"/>
          <w:sz w:val="24"/>
          <w:szCs w:val="24"/>
        </w:rPr>
        <w:t xml:space="preserve">: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s should avoid administrator and staff conflicts of interest and should have policies in place that prevent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staff, board members, and management from having financial, commercial or fiduciary conflicts of interest in the governance or provision of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services. Where such conflicts arise, and are appropriately declared,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s should have procedures in place to address and isolate the conflict. </w:t>
      </w:r>
    </w:p>
    <w:p w14:paraId="15E77195"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lastRenderedPageBreak/>
        <w:t>Liability covera</w:t>
      </w:r>
      <w:r w:rsidRPr="000F7DAE">
        <w:rPr>
          <w:rFonts w:ascii="Times New Roman" w:hAnsi="Times New Roman" w:cs="Times New Roman"/>
          <w:sz w:val="24"/>
          <w:szCs w:val="24"/>
        </w:rPr>
        <w:t xml:space="preserve">ge: If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is not directly and currently administered by a public agency, the independent administrator should demonstrate up-to-date professional liability insurance coverage of at least USD$5M. </w:t>
      </w:r>
    </w:p>
    <w:p w14:paraId="6AFD2370" w14:textId="77777777" w:rsidR="00753285" w:rsidRPr="008912A1" w:rsidRDefault="000F7DAE" w:rsidP="008D4CB7">
      <w:pPr>
        <w:pStyle w:val="Body"/>
        <w:numPr>
          <w:ilvl w:val="1"/>
          <w:numId w:val="1"/>
        </w:numPr>
        <w:spacing w:after="160"/>
        <w:jc w:val="both"/>
        <w:rPr>
          <w:rFonts w:ascii="Times New Roman" w:hAnsi="Times New Roman" w:cs="Times New Roman"/>
          <w:sz w:val="24"/>
          <w:szCs w:val="24"/>
        </w:rPr>
      </w:pPr>
      <w:r w:rsidRPr="000F7DAE">
        <w:rPr>
          <w:rFonts w:ascii="Times New Roman" w:hAnsi="Times New Roman" w:cs="Times New Roman"/>
          <w:sz w:val="24"/>
          <w:szCs w:val="24"/>
          <w:u w:val="single"/>
        </w:rPr>
        <w:t>Transparency and Public Participation Provisions</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008912A1" w:rsidRPr="008912A1">
        <w:rPr>
          <w:rFonts w:ascii="Times New Roman" w:hAnsi="Times New Roman" w:cs="Times New Roman"/>
          <w:sz w:val="24"/>
          <w:szCs w:val="24"/>
        </w:rPr>
        <w:t>s sh</w:t>
      </w:r>
      <w:r w:rsidR="008912A1">
        <w:rPr>
          <w:rFonts w:ascii="Times New Roman" w:hAnsi="Times New Roman" w:cs="Times New Roman"/>
          <w:sz w:val="24"/>
          <w:szCs w:val="24"/>
        </w:rPr>
        <w:t xml:space="preserve">ould publicly disclose (a) what </w:t>
      </w:r>
      <w:r w:rsidR="008912A1" w:rsidRPr="008912A1">
        <w:rPr>
          <w:rFonts w:ascii="Times New Roman" w:hAnsi="Times New Roman" w:cs="Times New Roman"/>
          <w:sz w:val="24"/>
          <w:szCs w:val="24"/>
        </w:rPr>
        <w:t xml:space="preserve">information is captured and made available to different </w:t>
      </w:r>
      <w:r w:rsidR="008912A1">
        <w:rPr>
          <w:rFonts w:ascii="Times New Roman" w:hAnsi="Times New Roman" w:cs="Times New Roman"/>
          <w:sz w:val="24"/>
          <w:szCs w:val="24"/>
        </w:rPr>
        <w:t xml:space="preserve">stakeholders; and (b) its local </w:t>
      </w:r>
      <w:r w:rsidR="008912A1" w:rsidRPr="008912A1">
        <w:rPr>
          <w:rFonts w:ascii="Times New Roman" w:hAnsi="Times New Roman" w:cs="Times New Roman"/>
          <w:sz w:val="24"/>
          <w:szCs w:val="24"/>
        </w:rPr>
        <w:t>stakeholder consultation requirements (if applicable) and (c) its</w:t>
      </w:r>
      <w:r w:rsidR="008912A1">
        <w:rPr>
          <w:rFonts w:ascii="Times New Roman" w:hAnsi="Times New Roman" w:cs="Times New Roman"/>
          <w:sz w:val="24"/>
          <w:szCs w:val="24"/>
        </w:rPr>
        <w:t xml:space="preserve"> public comments provisions and </w:t>
      </w:r>
      <w:r w:rsidR="008912A1" w:rsidRPr="008912A1">
        <w:rPr>
          <w:rFonts w:ascii="Times New Roman" w:hAnsi="Times New Roman" w:cs="Times New Roman"/>
          <w:sz w:val="24"/>
          <w:szCs w:val="24"/>
        </w:rPr>
        <w:t>requirements, and how they are considered (if applicable). Conduct publ</w:t>
      </w:r>
      <w:r w:rsidR="008912A1">
        <w:rPr>
          <w:rFonts w:ascii="Times New Roman" w:hAnsi="Times New Roman" w:cs="Times New Roman"/>
          <w:sz w:val="24"/>
          <w:szCs w:val="24"/>
        </w:rPr>
        <w:t xml:space="preserve">ic comment periods </w:t>
      </w:r>
      <w:r w:rsidR="008912A1" w:rsidRPr="008912A1">
        <w:rPr>
          <w:rFonts w:ascii="Times New Roman" w:hAnsi="Times New Roman" w:cs="Times New Roman"/>
          <w:sz w:val="24"/>
          <w:szCs w:val="24"/>
        </w:rPr>
        <w:t>and transparently disclose all approved quantification methodologies.</w:t>
      </w:r>
      <w:r w:rsidRPr="008912A1">
        <w:rPr>
          <w:rFonts w:ascii="Times New Roman" w:hAnsi="Times New Roman" w:cs="Times New Roman"/>
          <w:sz w:val="24"/>
          <w:szCs w:val="24"/>
        </w:rPr>
        <w:t xml:space="preserve"> </w:t>
      </w:r>
    </w:p>
    <w:p w14:paraId="0C457661" w14:textId="77777777" w:rsidR="00753285" w:rsidRPr="000F7DAE" w:rsidRDefault="000F7DAE" w:rsidP="00BB0597">
      <w:pPr>
        <w:pStyle w:val="Body"/>
        <w:numPr>
          <w:ilvl w:val="1"/>
          <w:numId w:val="1"/>
        </w:numPr>
        <w:spacing w:after="160"/>
        <w:ind w:left="788" w:hanging="431"/>
        <w:jc w:val="both"/>
        <w:rPr>
          <w:rFonts w:ascii="Times New Roman" w:eastAsia="Helvetica Neue Thin" w:hAnsi="Times New Roman" w:cs="Times New Roman"/>
          <w:sz w:val="24"/>
          <w:szCs w:val="24"/>
        </w:rPr>
      </w:pPr>
      <w:r w:rsidRPr="000F7DAE">
        <w:rPr>
          <w:rFonts w:ascii="Times New Roman" w:hAnsi="Times New Roman" w:cs="Times New Roman"/>
          <w:sz w:val="24"/>
          <w:szCs w:val="24"/>
          <w:u w:val="single"/>
        </w:rPr>
        <w:t>Safeguards System</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should have in place safeguards to address environmental and social risks. These safeguards should be publicly disclosed. </w:t>
      </w:r>
    </w:p>
    <w:p w14:paraId="5FDB0FEC" w14:textId="77777777" w:rsidR="00753285" w:rsidRPr="000F7DAE" w:rsidRDefault="000F7DAE" w:rsidP="00BB0597">
      <w:pPr>
        <w:pStyle w:val="Body"/>
        <w:numPr>
          <w:ilvl w:val="1"/>
          <w:numId w:val="1"/>
        </w:numPr>
        <w:spacing w:after="160"/>
        <w:ind w:left="867" w:hanging="510"/>
        <w:jc w:val="both"/>
        <w:rPr>
          <w:rFonts w:ascii="Times New Roman" w:eastAsia="Helvetica Neue Thin" w:hAnsi="Times New Roman" w:cs="Times New Roman"/>
          <w:sz w:val="24"/>
          <w:szCs w:val="24"/>
        </w:rPr>
      </w:pPr>
      <w:r w:rsidRPr="000F7DAE">
        <w:rPr>
          <w:rFonts w:ascii="Times New Roman" w:hAnsi="Times New Roman" w:cs="Times New Roman"/>
          <w:sz w:val="24"/>
          <w:szCs w:val="24"/>
          <w:u w:val="single"/>
        </w:rPr>
        <w:t>Sustainable Development Criteria</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should publicly disclose the sustainable development criteria used, for example, how this contributes to achieving a country’s stated sustainable development priorities, and any provisions for monitoring, reporting and verification. </w:t>
      </w:r>
    </w:p>
    <w:p w14:paraId="71FEC2C6" w14:textId="77777777" w:rsidR="001D1229" w:rsidRDefault="000F7DAE" w:rsidP="007D2CF1">
      <w:pPr>
        <w:pStyle w:val="Body"/>
        <w:numPr>
          <w:ilvl w:val="1"/>
          <w:numId w:val="1"/>
        </w:numPr>
        <w:spacing w:after="160"/>
        <w:ind w:left="867" w:hanging="510"/>
        <w:jc w:val="both"/>
        <w:rPr>
          <w:rFonts w:ascii="Times New Roman" w:hAnsi="Times New Roman" w:cs="Times New Roman"/>
          <w:sz w:val="24"/>
          <w:szCs w:val="24"/>
        </w:rPr>
      </w:pPr>
      <w:r w:rsidRPr="000F7DAE">
        <w:rPr>
          <w:rFonts w:ascii="Times New Roman" w:hAnsi="Times New Roman" w:cs="Times New Roman"/>
          <w:sz w:val="24"/>
          <w:szCs w:val="24"/>
          <w:u w:val="single"/>
        </w:rPr>
        <w:t>Avoidance of Double Counting, Issuance and Claiming</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Pr="000F7DAE">
        <w:rPr>
          <w:rFonts w:ascii="Times New Roman" w:hAnsi="Times New Roman" w:cs="Times New Roman"/>
          <w:sz w:val="24"/>
          <w:szCs w:val="24"/>
        </w:rPr>
        <w:t>s should provide information on how they address double counting, issuance and claiming in the context of evolving national and international regimes for carbon markets and emissions trading.</w:t>
      </w:r>
    </w:p>
    <w:p w14:paraId="5583114D" w14:textId="77777777" w:rsidR="00753285" w:rsidRPr="001D1229" w:rsidRDefault="001D1229" w:rsidP="001D1229">
      <w:pPr>
        <w:rPr>
          <w:color w:val="000000"/>
        </w:rPr>
      </w:pPr>
      <w:r>
        <w:br w:type="page"/>
      </w:r>
    </w:p>
    <w:p w14:paraId="203B9C0E" w14:textId="77777777" w:rsidR="00753285" w:rsidRPr="000F7DAE" w:rsidRDefault="000F7DAE" w:rsidP="008D4CB7">
      <w:pPr>
        <w:pStyle w:val="MainHeader"/>
        <w:jc w:val="both"/>
        <w:rPr>
          <w:rFonts w:ascii="Times New Roman" w:eastAsia="Helvetica Neue Thin" w:hAnsi="Times New Roman" w:cs="Times New Roman"/>
        </w:rPr>
      </w:pPr>
      <w:r w:rsidRPr="000F7DAE">
        <w:rPr>
          <w:rFonts w:ascii="Times New Roman" w:hAnsi="Times New Roman" w:cs="Times New Roman"/>
        </w:rPr>
        <w:lastRenderedPageBreak/>
        <w:t>Carbon Offset Credit Integrity Assessment Criteria</w:t>
      </w:r>
    </w:p>
    <w:p w14:paraId="29DE79D6" w14:textId="77777777" w:rsidR="00753285" w:rsidRPr="000F7DAE" w:rsidRDefault="000F7DAE" w:rsidP="008D4CB7">
      <w:pPr>
        <w:pStyle w:val="Body"/>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There are a number of generally agreed principles that have been broadly applied across both regulatory and voluntary offset credit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to address environmental and social integrity. These principles hold that offset credit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should deliver credits that represent emissions reductions, avoidance, or sequestration that: </w:t>
      </w:r>
    </w:p>
    <w:p w14:paraId="56F4DBC9" w14:textId="77777777" w:rsidR="00753285" w:rsidRPr="000F7DAE" w:rsidRDefault="000F7DAE" w:rsidP="008D4CB7">
      <w:pPr>
        <w:pStyle w:val="Body"/>
        <w:numPr>
          <w:ilvl w:val="2"/>
          <w:numId w:val="2"/>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Are additional. </w:t>
      </w:r>
    </w:p>
    <w:p w14:paraId="0AA08E15" w14:textId="77777777" w:rsidR="00753285" w:rsidRPr="000F7DAE" w:rsidRDefault="000F7DAE" w:rsidP="008D4CB7">
      <w:pPr>
        <w:pStyle w:val="Body"/>
        <w:numPr>
          <w:ilvl w:val="2"/>
          <w:numId w:val="2"/>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Are based on a realistic and credible baseline. </w:t>
      </w:r>
    </w:p>
    <w:p w14:paraId="4C7769DC" w14:textId="77777777" w:rsidR="00753285" w:rsidRPr="000F7DAE" w:rsidRDefault="000F7DAE" w:rsidP="008D4CB7">
      <w:pPr>
        <w:pStyle w:val="Body"/>
        <w:numPr>
          <w:ilvl w:val="2"/>
          <w:numId w:val="2"/>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Are quantified, monitored, reported, and verified. </w:t>
      </w:r>
    </w:p>
    <w:p w14:paraId="1C24F989" w14:textId="77777777" w:rsidR="00753285" w:rsidRPr="000F7DAE" w:rsidRDefault="000F7DAE" w:rsidP="008D4CB7">
      <w:pPr>
        <w:pStyle w:val="Body"/>
        <w:numPr>
          <w:ilvl w:val="2"/>
          <w:numId w:val="2"/>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Have a clear and transparent chain of custody. </w:t>
      </w:r>
    </w:p>
    <w:p w14:paraId="5185C3BA" w14:textId="77777777" w:rsidR="00753285" w:rsidRPr="000F7DAE" w:rsidRDefault="000F7DAE" w:rsidP="008D4CB7">
      <w:pPr>
        <w:pStyle w:val="Body"/>
        <w:numPr>
          <w:ilvl w:val="2"/>
          <w:numId w:val="2"/>
        </w:numPr>
        <w:spacing w:after="160"/>
        <w:jc w:val="both"/>
        <w:rPr>
          <w:rFonts w:ascii="Times New Roman" w:eastAsia="Helvetica Neue Thin" w:hAnsi="Times New Roman" w:cs="Times New Roman"/>
          <w:sz w:val="24"/>
          <w:szCs w:val="24"/>
        </w:rPr>
      </w:pPr>
      <w:r w:rsidRPr="00CA1E74">
        <w:rPr>
          <w:rFonts w:ascii="Times New Roman" w:hAnsi="Times New Roman" w:cs="Times New Roman"/>
          <w:sz w:val="24"/>
          <w:szCs w:val="24"/>
          <w:lang w:val="en-CA"/>
        </w:rPr>
        <w:t>Represent permanent emissions reductions</w:t>
      </w:r>
      <w:r w:rsidRPr="000F7DAE">
        <w:rPr>
          <w:rFonts w:ascii="Times New Roman" w:hAnsi="Times New Roman" w:cs="Times New Roman"/>
          <w:sz w:val="24"/>
          <w:szCs w:val="24"/>
          <w:lang w:val="fr-FR"/>
        </w:rPr>
        <w:t xml:space="preserve">. </w:t>
      </w:r>
    </w:p>
    <w:p w14:paraId="13B290F0" w14:textId="77777777" w:rsidR="00753285" w:rsidRPr="000F7DAE" w:rsidRDefault="0092022C" w:rsidP="008D4CB7">
      <w:pPr>
        <w:pStyle w:val="Body"/>
        <w:numPr>
          <w:ilvl w:val="2"/>
          <w:numId w:val="2"/>
        </w:numPr>
        <w:spacing w:after="160"/>
        <w:jc w:val="both"/>
        <w:rPr>
          <w:rFonts w:ascii="Times New Roman" w:eastAsia="Helvetica Neue Thin" w:hAnsi="Times New Roman" w:cs="Times New Roman"/>
          <w:sz w:val="24"/>
          <w:szCs w:val="24"/>
        </w:rPr>
      </w:pPr>
      <w:r w:rsidRPr="0092022C">
        <w:rPr>
          <w:rFonts w:ascii="Times New Roman" w:hAnsi="Times New Roman" w:cs="Times New Roman"/>
          <w:sz w:val="24"/>
          <w:szCs w:val="24"/>
        </w:rPr>
        <w:t>Assess and mitigate</w:t>
      </w:r>
      <w:r w:rsidRPr="0092022C" w:rsidDel="0092022C">
        <w:rPr>
          <w:rFonts w:ascii="Times New Roman" w:hAnsi="Times New Roman" w:cs="Times New Roman"/>
          <w:sz w:val="24"/>
          <w:szCs w:val="24"/>
        </w:rPr>
        <w:t xml:space="preserve"> </w:t>
      </w:r>
      <w:r w:rsidR="000F7DAE" w:rsidRPr="000F7DAE">
        <w:rPr>
          <w:rFonts w:ascii="Times New Roman" w:hAnsi="Times New Roman" w:cs="Times New Roman"/>
          <w:sz w:val="24"/>
          <w:szCs w:val="24"/>
        </w:rPr>
        <w:t xml:space="preserve">against potential increase in emissions elsewhere. </w:t>
      </w:r>
    </w:p>
    <w:p w14:paraId="446EFCE9" w14:textId="77777777" w:rsidR="00753285" w:rsidRPr="000F7DAE" w:rsidRDefault="000F7DAE" w:rsidP="008D4CB7">
      <w:pPr>
        <w:pStyle w:val="Body"/>
        <w:numPr>
          <w:ilvl w:val="2"/>
          <w:numId w:val="2"/>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Are only counted once towards a mitigation obligation. </w:t>
      </w:r>
    </w:p>
    <w:p w14:paraId="70E9598C" w14:textId="77777777" w:rsidR="00753285" w:rsidRPr="000F7DAE" w:rsidRDefault="000F7DAE" w:rsidP="008D4CB7">
      <w:pPr>
        <w:pStyle w:val="Body"/>
        <w:numPr>
          <w:ilvl w:val="2"/>
          <w:numId w:val="2"/>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Do no net harm. </w:t>
      </w:r>
    </w:p>
    <w:p w14:paraId="431D4712" w14:textId="77777777" w:rsidR="00753285" w:rsidRPr="000F7DAE" w:rsidRDefault="000F7DAE" w:rsidP="008D4CB7">
      <w:pPr>
        <w:pStyle w:val="Body"/>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Eligibility criteria should apply at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level, as the expertise and resources needed to develop and implement ICAO emissions criteria at a methodology and project leve</w:t>
      </w:r>
      <w:r w:rsidR="008912A1">
        <w:rPr>
          <w:rFonts w:ascii="Times New Roman" w:hAnsi="Times New Roman" w:cs="Times New Roman"/>
          <w:sz w:val="24"/>
          <w:szCs w:val="24"/>
        </w:rPr>
        <w:t>l is likely to be considerable.</w:t>
      </w:r>
    </w:p>
    <w:p w14:paraId="553C5714" w14:textId="77777777" w:rsidR="00753285" w:rsidRPr="002E0BDA" w:rsidRDefault="0092022C" w:rsidP="008D4CB7">
      <w:pPr>
        <w:pStyle w:val="Body"/>
        <w:numPr>
          <w:ilvl w:val="1"/>
          <w:numId w:val="1"/>
        </w:numPr>
        <w:spacing w:after="160"/>
        <w:jc w:val="both"/>
        <w:rPr>
          <w:rFonts w:ascii="Times New Roman" w:hAnsi="Times New Roman" w:cs="Times New Roman"/>
          <w:sz w:val="24"/>
          <w:szCs w:val="24"/>
          <w:u w:val="single"/>
        </w:rPr>
      </w:pPr>
      <w:r>
        <w:rPr>
          <w:rFonts w:ascii="Times New Roman" w:hAnsi="Times New Roman" w:cs="Times New Roman"/>
          <w:i/>
          <w:iCs/>
          <w:sz w:val="24"/>
          <w:szCs w:val="24"/>
        </w:rPr>
        <w:lastRenderedPageBreak/>
        <w:t xml:space="preserve">Eligibility </w:t>
      </w:r>
      <w:r w:rsidR="000F7DAE" w:rsidRPr="000F7DAE">
        <w:rPr>
          <w:rFonts w:ascii="Times New Roman" w:hAnsi="Times New Roman" w:cs="Times New Roman"/>
          <w:i/>
          <w:iCs/>
          <w:sz w:val="24"/>
          <w:szCs w:val="24"/>
        </w:rPr>
        <w:t>Criterion</w:t>
      </w:r>
      <w:r w:rsidR="000F7DAE" w:rsidRPr="000F7DAE">
        <w:rPr>
          <w:rFonts w:ascii="Times New Roman" w:hAnsi="Times New Roman" w:cs="Times New Roman"/>
          <w:sz w:val="24"/>
          <w:szCs w:val="24"/>
        </w:rPr>
        <w:t xml:space="preserve">: </w:t>
      </w:r>
      <w:r w:rsidR="002E0BDA" w:rsidRPr="002E0BDA">
        <w:rPr>
          <w:rFonts w:ascii="Times New Roman" w:hAnsi="Times New Roman" w:cs="Times New Roman"/>
          <w:sz w:val="24"/>
          <w:szCs w:val="24"/>
          <w:u w:val="single"/>
        </w:rPr>
        <w:t xml:space="preserve">Carbon offset </w:t>
      </w:r>
      <w:r w:rsidR="00842F6C">
        <w:rPr>
          <w:rFonts w:ascii="Times New Roman" w:hAnsi="Times New Roman" w:cs="Times New Roman"/>
          <w:sz w:val="24"/>
          <w:szCs w:val="24"/>
          <w:u w:val="single"/>
        </w:rPr>
        <w:t>programme</w:t>
      </w:r>
      <w:r w:rsidR="002E0BDA" w:rsidRPr="002E0BDA">
        <w:rPr>
          <w:rFonts w:ascii="Times New Roman" w:hAnsi="Times New Roman" w:cs="Times New Roman"/>
          <w:sz w:val="24"/>
          <w:szCs w:val="24"/>
          <w:u w:val="single"/>
        </w:rPr>
        <w:t>s must generate</w:t>
      </w:r>
      <w:r w:rsidR="002E0BDA">
        <w:rPr>
          <w:rFonts w:ascii="Times New Roman" w:hAnsi="Times New Roman" w:cs="Times New Roman"/>
          <w:sz w:val="24"/>
          <w:szCs w:val="24"/>
          <w:u w:val="single"/>
        </w:rPr>
        <w:t xml:space="preserve"> units that represent emissions </w:t>
      </w:r>
      <w:r w:rsidR="002E0BDA" w:rsidRPr="002E0BDA">
        <w:rPr>
          <w:rFonts w:ascii="Times New Roman" w:hAnsi="Times New Roman" w:cs="Times New Roman"/>
          <w:sz w:val="24"/>
          <w:szCs w:val="24"/>
          <w:u w:val="single"/>
        </w:rPr>
        <w:t>reductions, avoidance, or removals that are additional</w:t>
      </w:r>
      <w:r w:rsidR="002E0BDA" w:rsidRPr="002E0BDA">
        <w:rPr>
          <w:rFonts w:ascii="Times New Roman" w:hAnsi="Times New Roman" w:cs="Times New Roman"/>
          <w:sz w:val="24"/>
          <w:szCs w:val="24"/>
        </w:rPr>
        <w:t xml:space="preserve">—Additionality means that the carbon offset credits represent greenhouse gas emissions reductions or carbon sequestration or removals that exceed any greenhouse gas reduction or removals required by law, regulation, or legally binding mandate, and that exceed any greenhouse gas reductions or removals that would </w:t>
      </w:r>
      <w:r w:rsidR="002E0BDA" w:rsidRPr="002E0BDA">
        <w:rPr>
          <w:rFonts w:ascii="Times New Roman" w:hAnsi="Times New Roman" w:cs="Times New Roman" w:hint="eastAsia"/>
          <w:sz w:val="24"/>
          <w:szCs w:val="24"/>
        </w:rPr>
        <w:t>otherwise occur in a conservative, business</w:t>
      </w:r>
      <w:r w:rsidR="00AB575F">
        <w:rPr>
          <w:rFonts w:ascii="Times New Roman" w:hAnsi="Times New Roman" w:cs="Times New Roman"/>
          <w:sz w:val="24"/>
          <w:szCs w:val="24"/>
        </w:rPr>
        <w:t>-</w:t>
      </w:r>
      <w:r w:rsidR="002E0BDA" w:rsidRPr="002E0BDA">
        <w:rPr>
          <w:rFonts w:ascii="Times New Roman" w:hAnsi="Times New Roman" w:cs="Times New Roman" w:hint="eastAsia"/>
          <w:sz w:val="24"/>
          <w:szCs w:val="24"/>
        </w:rPr>
        <w:t>as</w:t>
      </w:r>
      <w:r w:rsidR="00AB575F">
        <w:rPr>
          <w:rFonts w:ascii="Times New Roman" w:hAnsi="Times New Roman" w:cs="Times New Roman"/>
          <w:sz w:val="24"/>
          <w:szCs w:val="24"/>
        </w:rPr>
        <w:t>-</w:t>
      </w:r>
      <w:r w:rsidR="002E0BDA" w:rsidRPr="002E0BDA">
        <w:rPr>
          <w:rFonts w:ascii="Times New Roman" w:hAnsi="Times New Roman" w:cs="Times New Roman" w:hint="eastAsia"/>
          <w:sz w:val="24"/>
          <w:szCs w:val="24"/>
        </w:rPr>
        <w:t xml:space="preserve">usual scenario. Eligible offset credit </w:t>
      </w:r>
      <w:r w:rsidR="00842F6C">
        <w:rPr>
          <w:rFonts w:ascii="Times New Roman" w:hAnsi="Times New Roman" w:cs="Times New Roman" w:hint="eastAsia"/>
          <w:sz w:val="24"/>
          <w:szCs w:val="24"/>
        </w:rPr>
        <w:t>programme</w:t>
      </w:r>
      <w:r w:rsidR="002E0BDA" w:rsidRPr="002E0BDA">
        <w:rPr>
          <w:rFonts w:ascii="Times New Roman" w:hAnsi="Times New Roman" w:cs="Times New Roman" w:hint="eastAsia"/>
          <w:sz w:val="24"/>
          <w:szCs w:val="24"/>
        </w:rPr>
        <w:t>s</w:t>
      </w:r>
      <w:r w:rsidR="002E0BDA" w:rsidRPr="002E0BDA">
        <w:rPr>
          <w:rFonts w:ascii="Times New Roman" w:hAnsi="Times New Roman" w:cs="Times New Roman"/>
          <w:sz w:val="24"/>
          <w:szCs w:val="24"/>
        </w:rPr>
        <w:t xml:space="preserve"> should clearly demonstrate that the </w:t>
      </w:r>
      <w:r w:rsidR="00842F6C">
        <w:rPr>
          <w:rFonts w:ascii="Times New Roman" w:hAnsi="Times New Roman" w:cs="Times New Roman"/>
          <w:sz w:val="24"/>
          <w:szCs w:val="24"/>
        </w:rPr>
        <w:t>programme</w:t>
      </w:r>
      <w:r w:rsidR="002E0BDA" w:rsidRPr="002E0BDA">
        <w:rPr>
          <w:rFonts w:ascii="Times New Roman" w:hAnsi="Times New Roman" w:cs="Times New Roman"/>
          <w:sz w:val="24"/>
          <w:szCs w:val="24"/>
        </w:rPr>
        <w:t xml:space="preserve"> has procedures in place to assess/test for additionality and that those procedures provide a reasonable assurance that the emissions reductions would not have occurred in the absence of the offset </w:t>
      </w:r>
      <w:r w:rsidR="00842F6C">
        <w:rPr>
          <w:rFonts w:ascii="Times New Roman" w:hAnsi="Times New Roman" w:cs="Times New Roman"/>
          <w:sz w:val="24"/>
          <w:szCs w:val="24"/>
        </w:rPr>
        <w:t>programme</w:t>
      </w:r>
      <w:r w:rsidR="002E0BDA" w:rsidRPr="002E0BDA">
        <w:rPr>
          <w:rFonts w:ascii="Times New Roman" w:hAnsi="Times New Roman" w:cs="Times New Roman"/>
          <w:sz w:val="24"/>
          <w:szCs w:val="24"/>
        </w:rPr>
        <w:t xml:space="preserve">. If </w:t>
      </w:r>
      <w:r w:rsidR="00842F6C">
        <w:rPr>
          <w:rFonts w:ascii="Times New Roman" w:hAnsi="Times New Roman" w:cs="Times New Roman"/>
          <w:sz w:val="24"/>
          <w:szCs w:val="24"/>
        </w:rPr>
        <w:t>programme</w:t>
      </w:r>
      <w:r w:rsidR="002E0BDA" w:rsidRPr="002E0BDA">
        <w:rPr>
          <w:rFonts w:ascii="Times New Roman" w:hAnsi="Times New Roman" w:cs="Times New Roman"/>
          <w:sz w:val="24"/>
          <w:szCs w:val="24"/>
        </w:rPr>
        <w:t>s pre</w:t>
      </w:r>
      <w:r w:rsidR="00AB575F">
        <w:rPr>
          <w:rFonts w:ascii="Times New Roman" w:hAnsi="Times New Roman" w:cs="Times New Roman"/>
          <w:sz w:val="24"/>
          <w:szCs w:val="24"/>
        </w:rPr>
        <w:t>-</w:t>
      </w:r>
      <w:r w:rsidR="002E0BDA" w:rsidRPr="002E0BDA">
        <w:rPr>
          <w:rFonts w:ascii="Times New Roman" w:hAnsi="Times New Roman" w:cs="Times New Roman"/>
          <w:sz w:val="24"/>
          <w:szCs w:val="24"/>
        </w:rPr>
        <w:t xml:space="preserve">define certain activities as automatically additional (e.g., through a “positive list” of eligible project types), then they have to provide clear evidence on how the activity was determined to be additional. The criteria for such positive lists should be publicly disclosed and conservative. If </w:t>
      </w:r>
      <w:r w:rsidR="00842F6C">
        <w:rPr>
          <w:rFonts w:ascii="Times New Roman" w:hAnsi="Times New Roman" w:cs="Times New Roman"/>
          <w:sz w:val="24"/>
          <w:szCs w:val="24"/>
        </w:rPr>
        <w:t>programme</w:t>
      </w:r>
      <w:r w:rsidR="002E0BDA" w:rsidRPr="002E0BDA">
        <w:rPr>
          <w:rFonts w:ascii="Times New Roman" w:hAnsi="Times New Roman" w:cs="Times New Roman"/>
          <w:sz w:val="24"/>
          <w:szCs w:val="24"/>
        </w:rPr>
        <w:t xml:space="preserve">s do not use positive lists, then project’s additionality and baseline setting should be </w:t>
      </w:r>
      <w:r w:rsidR="002E0BDA" w:rsidRPr="002E0BDA">
        <w:rPr>
          <w:rFonts w:ascii="Times New Roman" w:hAnsi="Times New Roman" w:cs="Times New Roman" w:hint="eastAsia"/>
          <w:sz w:val="24"/>
          <w:szCs w:val="24"/>
        </w:rPr>
        <w:t>assessed by an accredited and independent third</w:t>
      </w:r>
      <w:r w:rsidR="00AB575F">
        <w:rPr>
          <w:rFonts w:ascii="Times New Roman" w:hAnsi="Times New Roman" w:cs="Times New Roman"/>
          <w:sz w:val="24"/>
          <w:szCs w:val="24"/>
        </w:rPr>
        <w:t>-</w:t>
      </w:r>
      <w:r w:rsidR="002E0BDA" w:rsidRPr="002E0BDA">
        <w:rPr>
          <w:rFonts w:ascii="Times New Roman" w:hAnsi="Times New Roman" w:cs="Times New Roman" w:hint="eastAsia"/>
          <w:sz w:val="24"/>
          <w:szCs w:val="24"/>
        </w:rPr>
        <w:t>party verification entity and reviewed by the</w:t>
      </w:r>
      <w:r w:rsidR="002E0BDA" w:rsidRPr="002E0BDA">
        <w:rPr>
          <w:rFonts w:ascii="Times New Roman" w:hAnsi="Times New Roman" w:cs="Times New Roman"/>
          <w:sz w:val="24"/>
          <w:szCs w:val="24"/>
        </w:rPr>
        <w:t xml:space="preserve"> </w:t>
      </w:r>
      <w:r w:rsidR="00842F6C">
        <w:rPr>
          <w:rFonts w:ascii="Times New Roman" w:hAnsi="Times New Roman" w:cs="Times New Roman"/>
          <w:sz w:val="24"/>
          <w:szCs w:val="24"/>
        </w:rPr>
        <w:t>programme</w:t>
      </w:r>
      <w:r w:rsidR="002E0BDA" w:rsidRPr="002E0BDA">
        <w:rPr>
          <w:rFonts w:ascii="Times New Roman" w:hAnsi="Times New Roman" w:cs="Times New Roman"/>
          <w:sz w:val="24"/>
          <w:szCs w:val="24"/>
        </w:rPr>
        <w:t>.</w:t>
      </w:r>
      <w:r w:rsidR="000F7DAE" w:rsidRPr="002E0BDA">
        <w:rPr>
          <w:rFonts w:ascii="Times New Roman" w:hAnsi="Times New Roman" w:cs="Times New Roman"/>
          <w:sz w:val="24"/>
          <w:szCs w:val="24"/>
        </w:rPr>
        <w:t xml:space="preserve"> </w:t>
      </w:r>
    </w:p>
    <w:p w14:paraId="06E5766E" w14:textId="77777777" w:rsidR="00753285" w:rsidRPr="000F7DAE" w:rsidRDefault="00906AD9" w:rsidP="008D4CB7">
      <w:pPr>
        <w:pStyle w:val="Body"/>
        <w:numPr>
          <w:ilvl w:val="2"/>
          <w:numId w:val="1"/>
        </w:numPr>
        <w:spacing w:after="160"/>
        <w:jc w:val="both"/>
        <w:rPr>
          <w:rFonts w:ascii="Times New Roman" w:eastAsia="Helvetica Neue Thin" w:hAnsi="Times New Roman" w:cs="Times New Roman"/>
          <w:sz w:val="24"/>
          <w:szCs w:val="24"/>
          <w:u w:val="single"/>
        </w:rPr>
      </w:pPr>
      <w:r>
        <w:rPr>
          <w:rFonts w:ascii="Times New Roman" w:hAnsi="Times New Roman" w:cs="Times New Roman"/>
          <w:sz w:val="24"/>
          <w:szCs w:val="24"/>
          <w:u w:val="single"/>
        </w:rPr>
        <w:t xml:space="preserve">Guidelines for </w:t>
      </w:r>
      <w:r w:rsidR="000F7DAE" w:rsidRPr="000F7DAE">
        <w:rPr>
          <w:rFonts w:ascii="Times New Roman" w:hAnsi="Times New Roman" w:cs="Times New Roman"/>
          <w:sz w:val="24"/>
          <w:szCs w:val="24"/>
          <w:u w:val="single"/>
        </w:rPr>
        <w:t>interpretation</w:t>
      </w:r>
      <w:r w:rsidR="001D1229">
        <w:rPr>
          <w:rFonts w:ascii="Times New Roman" w:hAnsi="Times New Roman" w:cs="Times New Roman"/>
          <w:sz w:val="24"/>
          <w:szCs w:val="24"/>
          <w:u w:val="single"/>
        </w:rPr>
        <w:t xml:space="preserve"> </w:t>
      </w:r>
      <w:r w:rsidR="00B964E5">
        <w:rPr>
          <w:rFonts w:ascii="Times New Roman" w:hAnsi="Times New Roman" w:cs="Times New Roman"/>
          <w:sz w:val="24"/>
          <w:szCs w:val="24"/>
          <w:u w:val="single"/>
        </w:rPr>
        <w:t>of the “Additionality” criterion</w:t>
      </w:r>
    </w:p>
    <w:p w14:paraId="2BFD1D79"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Additionality analyses/tests</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to ensure — and to support activities to analyze and demonstrate — that credited mitigation is additional, on the basis of one or more of the following methods, which can be applied at the project- and/or </w:t>
      </w:r>
      <w:r w:rsidR="00842F6C">
        <w:rPr>
          <w:rFonts w:ascii="Times New Roman" w:hAnsi="Times New Roman" w:cs="Times New Roman"/>
          <w:sz w:val="24"/>
          <w:szCs w:val="24"/>
        </w:rPr>
        <w:t>programme</w:t>
      </w:r>
      <w:r w:rsidRPr="000F7DAE">
        <w:rPr>
          <w:rFonts w:ascii="Times New Roman" w:hAnsi="Times New Roman" w:cs="Times New Roman"/>
          <w:sz w:val="24"/>
          <w:szCs w:val="24"/>
        </w:rPr>
        <w:t>- level : (A) Barrier analysis; (B) Common practice / market penetration analysis; (C) Investment, cost, or other financial analysis; (D) Performance standards / benchmarks; (E) Legal or regulatory additionality an</w:t>
      </w:r>
      <w:r w:rsidR="008F1218">
        <w:rPr>
          <w:rFonts w:ascii="Times New Roman" w:hAnsi="Times New Roman" w:cs="Times New Roman"/>
          <w:sz w:val="24"/>
          <w:szCs w:val="24"/>
        </w:rPr>
        <w:t xml:space="preserve">alysis as defined in paragraph </w:t>
      </w:r>
      <w:r w:rsidR="008F1218" w:rsidRPr="00217CEB">
        <w:rPr>
          <w:rFonts w:ascii="Times New Roman" w:hAnsi="Times New Roman" w:cs="Times New Roman"/>
          <w:sz w:val="24"/>
          <w:szCs w:val="24"/>
        </w:rPr>
        <w:t>3</w:t>
      </w:r>
      <w:r w:rsidR="00D016AA" w:rsidRPr="00217CEB">
        <w:rPr>
          <w:rFonts w:ascii="Times New Roman" w:hAnsi="Times New Roman" w:cs="Times New Roman"/>
          <w:sz w:val="24"/>
          <w:szCs w:val="24"/>
        </w:rPr>
        <w:t>.1</w:t>
      </w:r>
      <w:r w:rsidRPr="000F7DAE">
        <w:rPr>
          <w:rFonts w:ascii="Times New Roman" w:hAnsi="Times New Roman" w:cs="Times New Roman"/>
          <w:sz w:val="24"/>
          <w:szCs w:val="24"/>
        </w:rPr>
        <w:t xml:space="preserve">. </w:t>
      </w:r>
    </w:p>
    <w:p w14:paraId="286077AF"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Non-traditional or new analyses/tests</w:t>
      </w:r>
      <w:r w:rsidRPr="000F7DAE">
        <w:rPr>
          <w:rFonts w:ascii="Times New Roman" w:hAnsi="Times New Roman" w:cs="Times New Roman"/>
          <w:sz w:val="24"/>
          <w:szCs w:val="24"/>
        </w:rPr>
        <w:t xml:space="preserve">: If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procedures provide for the use of method(s) not listed above, the GMTF, or other appropriate technical expert body, should evaluate and make a recommendation regarding the sufficiency of the approach prior to any final determination of the </w:t>
      </w:r>
      <w:r w:rsidR="00842F6C">
        <w:rPr>
          <w:rFonts w:ascii="Times New Roman" w:hAnsi="Times New Roman" w:cs="Times New Roman"/>
          <w:sz w:val="24"/>
          <w:szCs w:val="24"/>
        </w:rPr>
        <w:t>programme</w:t>
      </w:r>
      <w:r w:rsidRPr="000F7DAE">
        <w:rPr>
          <w:rFonts w:ascii="Times New Roman" w:hAnsi="Times New Roman" w:cs="Times New Roman"/>
          <w:sz w:val="24"/>
          <w:szCs w:val="24"/>
        </w:rPr>
        <w:t>’</w:t>
      </w:r>
      <w:r w:rsidRPr="000F7DAE">
        <w:rPr>
          <w:rFonts w:ascii="Times New Roman" w:hAnsi="Times New Roman" w:cs="Times New Roman"/>
          <w:sz w:val="24"/>
          <w:szCs w:val="24"/>
          <w:lang w:val="it-IT"/>
        </w:rPr>
        <w:t xml:space="preserve">s eligibility. </w:t>
      </w:r>
    </w:p>
    <w:p w14:paraId="17DC4E6B" w14:textId="77777777" w:rsidR="00753285" w:rsidRPr="000F7DAE" w:rsidRDefault="0092022C" w:rsidP="008D4CB7">
      <w:pPr>
        <w:pStyle w:val="Body"/>
        <w:numPr>
          <w:ilvl w:val="1"/>
          <w:numId w:val="1"/>
        </w:numPr>
        <w:spacing w:after="160"/>
        <w:jc w:val="both"/>
        <w:rPr>
          <w:rFonts w:ascii="Times New Roman" w:eastAsia="Helvetica Neue Thin" w:hAnsi="Times New Roman" w:cs="Times New Roman"/>
          <w:sz w:val="24"/>
          <w:szCs w:val="24"/>
        </w:rPr>
      </w:pPr>
      <w:r>
        <w:rPr>
          <w:rFonts w:ascii="Times New Roman" w:hAnsi="Times New Roman" w:cs="Times New Roman"/>
          <w:i/>
          <w:iCs/>
          <w:sz w:val="24"/>
          <w:szCs w:val="24"/>
        </w:rPr>
        <w:lastRenderedPageBreak/>
        <w:t xml:space="preserve">Eligibility </w:t>
      </w:r>
      <w:r w:rsidR="000F7DAE" w:rsidRPr="000F7DAE">
        <w:rPr>
          <w:rFonts w:ascii="Times New Roman" w:hAnsi="Times New Roman" w:cs="Times New Roman"/>
          <w:i/>
          <w:iCs/>
          <w:sz w:val="24"/>
          <w:szCs w:val="24"/>
        </w:rPr>
        <w:t>Criterion</w:t>
      </w:r>
      <w:r w:rsidR="000F7DAE" w:rsidRPr="000F7DAE">
        <w:rPr>
          <w:rFonts w:ascii="Times New Roman" w:hAnsi="Times New Roman" w:cs="Times New Roman"/>
          <w:sz w:val="24"/>
          <w:szCs w:val="24"/>
        </w:rPr>
        <w:t xml:space="preserve">: </w:t>
      </w:r>
      <w:r w:rsidR="000F7DAE" w:rsidRPr="000F7DAE">
        <w:rPr>
          <w:rFonts w:ascii="Times New Roman" w:hAnsi="Times New Roman" w:cs="Times New Roman"/>
          <w:sz w:val="24"/>
          <w:szCs w:val="24"/>
          <w:u w:val="single"/>
        </w:rPr>
        <w:t>C</w:t>
      </w:r>
      <w:r w:rsidR="002E0BDA">
        <w:rPr>
          <w:rFonts w:ascii="Times New Roman" w:hAnsi="Times New Roman" w:cs="Times New Roman"/>
          <w:sz w:val="24"/>
          <w:szCs w:val="24"/>
          <w:u w:val="single"/>
        </w:rPr>
        <w:t>arbon offset credits must be b</w:t>
      </w:r>
      <w:r w:rsidR="000F7DAE" w:rsidRPr="000F7DAE">
        <w:rPr>
          <w:rFonts w:ascii="Times New Roman" w:hAnsi="Times New Roman" w:cs="Times New Roman"/>
          <w:sz w:val="24"/>
          <w:szCs w:val="24"/>
          <w:u w:val="single"/>
        </w:rPr>
        <w:t>ased on a realistic and credible baseline</w:t>
      </w:r>
      <w:r w:rsidR="000F7DAE" w:rsidRPr="000F7DAE">
        <w:rPr>
          <w:rFonts w:ascii="Times New Roman" w:hAnsi="Times New Roman" w:cs="Times New Roman"/>
          <w:sz w:val="24"/>
          <w:szCs w:val="24"/>
        </w:rPr>
        <w:t xml:space="preserve">—Carbon offset credits should be issued against a realistic, defensible, and conservative baseline estimation of emissions. The baseline is the level of emissions that would have occurred assuming a conservative “business as usual” emissions trajectory i.e., emissions without the emissions reduction activity or offset project. Baselines and underlying assumptions </w:t>
      </w:r>
      <w:r w:rsidR="00AB575F">
        <w:rPr>
          <w:rFonts w:ascii="Times New Roman" w:hAnsi="Times New Roman" w:cs="Times New Roman"/>
          <w:sz w:val="24"/>
          <w:szCs w:val="24"/>
        </w:rPr>
        <w:t>must</w:t>
      </w:r>
      <w:r w:rsidR="00AB575F" w:rsidRPr="000F7DAE">
        <w:rPr>
          <w:rFonts w:ascii="Times New Roman" w:hAnsi="Times New Roman" w:cs="Times New Roman"/>
          <w:sz w:val="24"/>
          <w:szCs w:val="24"/>
        </w:rPr>
        <w:t xml:space="preserve"> </w:t>
      </w:r>
      <w:r w:rsidR="000F7DAE" w:rsidRPr="000F7DAE">
        <w:rPr>
          <w:rFonts w:ascii="Times New Roman" w:hAnsi="Times New Roman" w:cs="Times New Roman"/>
          <w:sz w:val="24"/>
          <w:szCs w:val="24"/>
        </w:rPr>
        <w:t xml:space="preserve">be publicly disclosed. </w:t>
      </w:r>
    </w:p>
    <w:p w14:paraId="79B90A2D" w14:textId="77777777" w:rsidR="00753285" w:rsidRPr="000F7DAE" w:rsidRDefault="00906AD9" w:rsidP="008D4CB7">
      <w:pPr>
        <w:pStyle w:val="Body"/>
        <w:numPr>
          <w:ilvl w:val="2"/>
          <w:numId w:val="1"/>
        </w:numPr>
        <w:spacing w:after="160"/>
        <w:jc w:val="both"/>
        <w:rPr>
          <w:rFonts w:ascii="Times New Roman" w:eastAsia="Helvetica Neue Thin" w:hAnsi="Times New Roman" w:cs="Times New Roman"/>
          <w:sz w:val="24"/>
          <w:szCs w:val="24"/>
          <w:u w:val="single"/>
        </w:rPr>
      </w:pPr>
      <w:r>
        <w:rPr>
          <w:rFonts w:ascii="Times New Roman" w:hAnsi="Times New Roman" w:cs="Times New Roman"/>
          <w:sz w:val="24"/>
          <w:szCs w:val="24"/>
          <w:u w:val="single"/>
        </w:rPr>
        <w:t xml:space="preserve">Guidelines for </w:t>
      </w:r>
      <w:r w:rsidR="000F7DAE" w:rsidRPr="000F7DAE">
        <w:rPr>
          <w:rFonts w:ascii="Times New Roman" w:hAnsi="Times New Roman" w:cs="Times New Roman"/>
          <w:sz w:val="24"/>
          <w:szCs w:val="24"/>
          <w:u w:val="single"/>
        </w:rPr>
        <w:t xml:space="preserve">interpretation </w:t>
      </w:r>
      <w:r w:rsidR="00B964E5" w:rsidRPr="00AF220A">
        <w:rPr>
          <w:rFonts w:ascii="Times New Roman" w:hAnsi="Times New Roman" w:cs="Times New Roman"/>
          <w:sz w:val="24"/>
          <w:szCs w:val="24"/>
          <w:u w:val="single"/>
        </w:rPr>
        <w:t>of the “Realistic and credible baselines” criterion</w:t>
      </w:r>
    </w:p>
    <w:p w14:paraId="4AC8601A"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Conservative baseline estimation</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to ensure that methods of developing baselines, including modeling, benchmarking or the use of historical data, use assumptions, methodologies, and values that do not over-estimate mitigation from an activity. </w:t>
      </w:r>
    </w:p>
    <w:p w14:paraId="041B93C0" w14:textId="77777777" w:rsidR="00753285" w:rsidRPr="00AF220A" w:rsidRDefault="000F7DAE" w:rsidP="008D4CB7">
      <w:pPr>
        <w:pStyle w:val="Body"/>
        <w:numPr>
          <w:ilvl w:val="2"/>
          <w:numId w:val="1"/>
        </w:numPr>
        <w:spacing w:after="160"/>
        <w:jc w:val="both"/>
        <w:rPr>
          <w:rFonts w:ascii="Times New Roman" w:hAnsi="Times New Roman" w:cs="Times New Roman"/>
          <w:sz w:val="24"/>
          <w:szCs w:val="24"/>
        </w:rPr>
      </w:pPr>
      <w:r w:rsidRPr="000F7DAE">
        <w:rPr>
          <w:rFonts w:ascii="Times New Roman" w:hAnsi="Times New Roman" w:cs="Times New Roman"/>
          <w:i/>
          <w:sz w:val="24"/>
          <w:szCs w:val="24"/>
        </w:rPr>
        <w:t>Baseline revision</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for the activities it supports to respond, as appropriate, to changing baseline conditions that were not </w:t>
      </w:r>
      <w:r w:rsidR="00B964E5" w:rsidRPr="00AF220A">
        <w:rPr>
          <w:rFonts w:ascii="Times New Roman" w:hAnsi="Times New Roman" w:cs="Times New Roman"/>
          <w:sz w:val="24"/>
          <w:szCs w:val="24"/>
        </w:rPr>
        <w:t>expected at the time of registration</w:t>
      </w:r>
      <w:r w:rsidRPr="000F7DAE">
        <w:rPr>
          <w:rFonts w:ascii="Times New Roman" w:hAnsi="Times New Roman" w:cs="Times New Roman"/>
          <w:sz w:val="24"/>
          <w:szCs w:val="24"/>
        </w:rPr>
        <w:t xml:space="preserve">. </w:t>
      </w:r>
    </w:p>
    <w:p w14:paraId="30FFD91C" w14:textId="77777777" w:rsidR="00753285" w:rsidRPr="000F7DAE" w:rsidRDefault="0092022C" w:rsidP="008D4CB7">
      <w:pPr>
        <w:pStyle w:val="Body"/>
        <w:numPr>
          <w:ilvl w:val="1"/>
          <w:numId w:val="1"/>
        </w:numPr>
        <w:spacing w:after="160"/>
        <w:jc w:val="both"/>
        <w:rPr>
          <w:rFonts w:ascii="Times New Roman" w:eastAsia="Helvetica Neue Thin" w:hAnsi="Times New Roman" w:cs="Times New Roman"/>
          <w:sz w:val="24"/>
          <w:szCs w:val="24"/>
        </w:rPr>
      </w:pPr>
      <w:r>
        <w:rPr>
          <w:rFonts w:ascii="Times New Roman" w:hAnsi="Times New Roman" w:cs="Times New Roman"/>
          <w:i/>
          <w:iCs/>
          <w:sz w:val="24"/>
          <w:szCs w:val="24"/>
        </w:rPr>
        <w:t xml:space="preserve">Eligibility </w:t>
      </w:r>
      <w:r w:rsidR="000F7DAE" w:rsidRPr="000F7DAE">
        <w:rPr>
          <w:rFonts w:ascii="Times New Roman" w:hAnsi="Times New Roman" w:cs="Times New Roman"/>
          <w:i/>
          <w:iCs/>
          <w:sz w:val="24"/>
          <w:szCs w:val="24"/>
        </w:rPr>
        <w:t>Criterion</w:t>
      </w:r>
      <w:r w:rsidR="000F7DAE" w:rsidRPr="000F7DAE">
        <w:rPr>
          <w:rFonts w:ascii="Times New Roman" w:hAnsi="Times New Roman" w:cs="Times New Roman"/>
          <w:sz w:val="24"/>
          <w:szCs w:val="24"/>
        </w:rPr>
        <w:t xml:space="preserve">: </w:t>
      </w:r>
      <w:r w:rsidR="002E0BDA" w:rsidRPr="002E0BDA">
        <w:rPr>
          <w:rFonts w:ascii="Times New Roman" w:hAnsi="Times New Roman" w:cs="Times New Roman"/>
          <w:sz w:val="24"/>
          <w:szCs w:val="24"/>
          <w:u w:val="single"/>
        </w:rPr>
        <w:t>Carbon offset credits must</w:t>
      </w:r>
      <w:r w:rsidR="000F7DAE" w:rsidRPr="002E0BDA">
        <w:rPr>
          <w:rFonts w:ascii="Times New Roman" w:hAnsi="Times New Roman" w:cs="Times New Roman"/>
          <w:sz w:val="24"/>
          <w:szCs w:val="24"/>
          <w:u w:val="single"/>
        </w:rPr>
        <w:t xml:space="preserve"> be quantified, mon</w:t>
      </w:r>
      <w:r w:rsidR="002E0BDA" w:rsidRPr="002E0BDA">
        <w:rPr>
          <w:rFonts w:ascii="Times New Roman" w:hAnsi="Times New Roman" w:cs="Times New Roman"/>
          <w:sz w:val="24"/>
          <w:szCs w:val="24"/>
          <w:u w:val="single"/>
        </w:rPr>
        <w:t>itored, reported, and verified</w:t>
      </w:r>
      <w:r w:rsidR="002E0BDA">
        <w:rPr>
          <w:rFonts w:ascii="Times New Roman" w:hAnsi="Times New Roman" w:cs="Times New Roman"/>
          <w:sz w:val="24"/>
          <w:szCs w:val="24"/>
        </w:rPr>
        <w:t>—E</w:t>
      </w:r>
      <w:r w:rsidR="000F7DAE" w:rsidRPr="000F7DAE">
        <w:rPr>
          <w:rFonts w:ascii="Times New Roman" w:hAnsi="Times New Roman" w:cs="Times New Roman"/>
          <w:sz w:val="24"/>
          <w:szCs w:val="24"/>
        </w:rPr>
        <w:t>missions reductions should be calculated in a manner that is conservative and transparent.</w:t>
      </w:r>
      <w:r w:rsidR="002E0BDA">
        <w:rPr>
          <w:rFonts w:ascii="Times New Roman" w:hAnsi="Times New Roman" w:cs="Times New Roman"/>
          <w:sz w:val="24"/>
          <w:szCs w:val="24"/>
        </w:rPr>
        <w:t xml:space="preserve"> </w:t>
      </w:r>
      <w:r w:rsidR="000F7DAE" w:rsidRPr="000F7DAE">
        <w:rPr>
          <w:rFonts w:ascii="Times New Roman" w:hAnsi="Times New Roman" w:cs="Times New Roman"/>
          <w:sz w:val="24"/>
          <w:szCs w:val="24"/>
        </w:rPr>
        <w:t xml:space="preserve">Offset credits should be based on accurate measurements and quantification methods/protocols. Monitoring, measuring, and reporting of both the emissions reduction activity and the actual emissions reduction from the project should, at a minimum, be conducted at specified intervals throughout the duration of the crediting period. Emissions reductions should be measured and verified by an accredited and independent third-party verification entity. </w:t>
      </w:r>
      <w:r w:rsidR="000F7DAE" w:rsidRPr="002E0BDA">
        <w:rPr>
          <w:rFonts w:ascii="Times New Roman" w:hAnsi="Times New Roman" w:cs="Times New Roman"/>
          <w:i/>
          <w:sz w:val="24"/>
          <w:szCs w:val="24"/>
        </w:rPr>
        <w:t>Ex-post</w:t>
      </w:r>
      <w:r w:rsidR="000F7DAE" w:rsidRPr="000F7DAE">
        <w:rPr>
          <w:rFonts w:ascii="Times New Roman" w:hAnsi="Times New Roman" w:cs="Times New Roman"/>
          <w:sz w:val="24"/>
          <w:szCs w:val="24"/>
        </w:rPr>
        <w:t xml:space="preserve"> verification of the project’s emissions </w:t>
      </w:r>
      <w:r w:rsidR="001268E8">
        <w:rPr>
          <w:rFonts w:ascii="Times New Roman" w:hAnsi="Times New Roman" w:cs="Times New Roman"/>
          <w:sz w:val="24"/>
          <w:szCs w:val="24"/>
        </w:rPr>
        <w:t xml:space="preserve">must </w:t>
      </w:r>
      <w:r w:rsidR="000F7DAE" w:rsidRPr="000F7DAE">
        <w:rPr>
          <w:rFonts w:ascii="Times New Roman" w:hAnsi="Times New Roman" w:cs="Times New Roman"/>
          <w:sz w:val="24"/>
          <w:szCs w:val="24"/>
        </w:rPr>
        <w:t xml:space="preserve">be required in advance of issuance of offset credits; </w:t>
      </w:r>
      <w:r w:rsidR="00842F6C">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s that conduct </w:t>
      </w:r>
      <w:r w:rsidR="000F7DAE" w:rsidRPr="002E0BDA">
        <w:rPr>
          <w:rFonts w:ascii="Times New Roman" w:hAnsi="Times New Roman" w:cs="Times New Roman"/>
          <w:i/>
          <w:sz w:val="24"/>
          <w:szCs w:val="24"/>
        </w:rPr>
        <w:t>ex-ante</w:t>
      </w:r>
      <w:r w:rsidR="000F7DAE" w:rsidRPr="000F7DAE">
        <w:rPr>
          <w:rFonts w:ascii="Times New Roman" w:hAnsi="Times New Roman" w:cs="Times New Roman"/>
          <w:sz w:val="24"/>
          <w:szCs w:val="24"/>
        </w:rPr>
        <w:t xml:space="preserve"> issuance (e.g., issuance of offset units before the emissions reductions and/or carbon sequestration have occurred and been third-party verified) should not be eligible. </w:t>
      </w:r>
      <w:r w:rsidR="002E0BDA">
        <w:rPr>
          <w:rFonts w:ascii="Times New Roman" w:hAnsi="Times New Roman" w:cs="Times New Roman"/>
          <w:sz w:val="24"/>
          <w:szCs w:val="24"/>
        </w:rPr>
        <w:t>T</w:t>
      </w:r>
      <w:r w:rsidR="000F7DAE" w:rsidRPr="000F7DAE">
        <w:rPr>
          <w:rFonts w:ascii="Times New Roman" w:hAnsi="Times New Roman" w:cs="Times New Roman"/>
          <w:sz w:val="24"/>
          <w:szCs w:val="24"/>
        </w:rPr>
        <w:t>ransparent measurement and reporting is essential, a</w:t>
      </w:r>
      <w:r w:rsidR="002E0BDA">
        <w:rPr>
          <w:rFonts w:ascii="Times New Roman" w:hAnsi="Times New Roman" w:cs="Times New Roman"/>
          <w:sz w:val="24"/>
          <w:szCs w:val="24"/>
        </w:rPr>
        <w:t xml:space="preserve">nd </w:t>
      </w:r>
      <w:r w:rsidR="000F7DAE" w:rsidRPr="000F7DAE">
        <w:rPr>
          <w:rFonts w:ascii="Times New Roman" w:hAnsi="Times New Roman" w:cs="Times New Roman"/>
          <w:sz w:val="24"/>
          <w:szCs w:val="24"/>
        </w:rPr>
        <w:t xml:space="preserve">units from offsetting </w:t>
      </w:r>
      <w:r w:rsidR="00842F6C">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s/projects eligible in a global MBM should only come from those that require independent, </w:t>
      </w:r>
      <w:r w:rsidR="000F7DAE" w:rsidRPr="00D016AA">
        <w:rPr>
          <w:rFonts w:ascii="Times New Roman" w:hAnsi="Times New Roman" w:cs="Times New Roman"/>
          <w:i/>
          <w:sz w:val="24"/>
          <w:szCs w:val="24"/>
        </w:rPr>
        <w:t>ex-post</w:t>
      </w:r>
      <w:r w:rsidR="000F7DAE" w:rsidRPr="000F7DAE">
        <w:rPr>
          <w:rFonts w:ascii="Times New Roman" w:hAnsi="Times New Roman" w:cs="Times New Roman"/>
          <w:sz w:val="24"/>
          <w:szCs w:val="24"/>
        </w:rPr>
        <w:t xml:space="preserve"> verification. </w:t>
      </w:r>
    </w:p>
    <w:p w14:paraId="6238CF07" w14:textId="77777777" w:rsidR="00753285" w:rsidRPr="000F7DAE" w:rsidRDefault="00906AD9" w:rsidP="008D4CB7">
      <w:pPr>
        <w:pStyle w:val="Body"/>
        <w:numPr>
          <w:ilvl w:val="2"/>
          <w:numId w:val="1"/>
        </w:numPr>
        <w:spacing w:after="160"/>
        <w:jc w:val="both"/>
        <w:rPr>
          <w:rFonts w:ascii="Times New Roman" w:eastAsia="Helvetica Neue Thin" w:hAnsi="Times New Roman" w:cs="Times New Roman"/>
          <w:sz w:val="24"/>
          <w:szCs w:val="24"/>
        </w:rPr>
      </w:pPr>
      <w:r>
        <w:rPr>
          <w:rFonts w:ascii="Times New Roman" w:hAnsi="Times New Roman" w:cs="Times New Roman"/>
          <w:sz w:val="24"/>
          <w:szCs w:val="24"/>
          <w:u w:val="single"/>
        </w:rPr>
        <w:lastRenderedPageBreak/>
        <w:t xml:space="preserve">Guidelines for </w:t>
      </w:r>
      <w:r w:rsidR="000F7DAE" w:rsidRPr="000F7DAE">
        <w:rPr>
          <w:rFonts w:ascii="Times New Roman" w:hAnsi="Times New Roman" w:cs="Times New Roman"/>
          <w:sz w:val="24"/>
          <w:szCs w:val="24"/>
          <w:u w:val="single"/>
        </w:rPr>
        <w:t>interpretation</w:t>
      </w:r>
      <w:r w:rsidR="000F7DAE" w:rsidRPr="008D4BB4">
        <w:rPr>
          <w:rFonts w:ascii="Times New Roman" w:hAnsi="Times New Roman" w:cs="Times New Roman"/>
          <w:sz w:val="24"/>
          <w:szCs w:val="24"/>
          <w:u w:val="single"/>
        </w:rPr>
        <w:t xml:space="preserve"> </w:t>
      </w:r>
      <w:r w:rsidR="00B964E5" w:rsidRPr="008D4BB4">
        <w:rPr>
          <w:rFonts w:ascii="Times New Roman" w:hAnsi="Times New Roman" w:cs="Times New Roman"/>
          <w:sz w:val="24"/>
          <w:szCs w:val="24"/>
          <w:u w:val="single"/>
        </w:rPr>
        <w:t>of the “Quantified, monitored, reported and verified” criterion</w:t>
      </w:r>
    </w:p>
    <w:p w14:paraId="386B20CD"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Validation provisions</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provisions in place requiring validation, prior to or in tandem with verification, to assess and publicly document the likely result of the mitigation from proposed activities supported by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w:t>
      </w:r>
    </w:p>
    <w:p w14:paraId="00D62979"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Auditor conflicts of interest</w:t>
      </w:r>
      <w:r w:rsidRPr="000F7DAE">
        <w:rPr>
          <w:rFonts w:ascii="Times New Roman" w:hAnsi="Times New Roman" w:cs="Times New Roman"/>
          <w:sz w:val="24"/>
          <w:szCs w:val="24"/>
        </w:rPr>
        <w:t xml:space="preserve">: </w:t>
      </w:r>
      <w:r w:rsidR="00842F6C">
        <w:rPr>
          <w:rFonts w:ascii="Times New Roman" w:hAnsi="Times New Roman" w:cs="Times New Roman"/>
          <w:sz w:val="24"/>
          <w:szCs w:val="24"/>
        </w:rPr>
        <w:t>Programme</w:t>
      </w:r>
      <w:r w:rsidRPr="000F7DAE">
        <w:rPr>
          <w:rFonts w:ascii="Times New Roman" w:hAnsi="Times New Roman" w:cs="Times New Roman"/>
          <w:sz w:val="24"/>
          <w:szCs w:val="24"/>
        </w:rPr>
        <w:t>s should have provisions in place to manage and/o</w:t>
      </w:r>
      <w:r w:rsidR="00906AD9">
        <w:rPr>
          <w:rFonts w:ascii="Times New Roman" w:hAnsi="Times New Roman" w:cs="Times New Roman"/>
          <w:sz w:val="24"/>
          <w:szCs w:val="24"/>
        </w:rPr>
        <w:t>r prevent conflicts of interest</w:t>
      </w:r>
      <w:r w:rsidRPr="000F7DAE">
        <w:rPr>
          <w:rFonts w:ascii="Times New Roman" w:hAnsi="Times New Roman" w:cs="Times New Roman"/>
          <w:sz w:val="24"/>
          <w:szCs w:val="24"/>
        </w:rPr>
        <w:t xml:space="preserve"> between accredited third-party(</w:t>
      </w:r>
      <w:proofErr w:type="spellStart"/>
      <w:r w:rsidRPr="000F7DAE">
        <w:rPr>
          <w:rFonts w:ascii="Times New Roman" w:hAnsi="Times New Roman" w:cs="Times New Roman"/>
          <w:sz w:val="24"/>
          <w:szCs w:val="24"/>
        </w:rPr>
        <w:t>ies</w:t>
      </w:r>
      <w:proofErr w:type="spellEnd"/>
      <w:r w:rsidRPr="000F7DAE">
        <w:rPr>
          <w:rFonts w:ascii="Times New Roman" w:hAnsi="Times New Roman" w:cs="Times New Roman"/>
          <w:sz w:val="24"/>
          <w:szCs w:val="24"/>
        </w:rPr>
        <w:t xml:space="preserve">) performing the validation and/or verification procedures, and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and the activities it supports.</w:t>
      </w:r>
      <w:r w:rsidR="0096306E">
        <w:rPr>
          <w:rStyle w:val="FootnoteReference"/>
          <w:rFonts w:ascii="Times New Roman" w:hAnsi="Times New Roman" w:cs="Times New Roman"/>
          <w:sz w:val="24"/>
          <w:szCs w:val="24"/>
        </w:rPr>
        <w:footnoteReference w:id="6"/>
      </w:r>
      <w:r w:rsidRPr="000F7DAE">
        <w:rPr>
          <w:rFonts w:ascii="Times New Roman" w:hAnsi="Times New Roman" w:cs="Times New Roman"/>
          <w:sz w:val="24"/>
          <w:szCs w:val="24"/>
        </w:rPr>
        <w:t xml:space="preserve"> The provisions should require such accredited third parties to disclose whether they or any of their family members are dealing in, promoting, or otherwise have a fiduciary relationship with anyone promoting or dealing in, the offset credits being evaluated.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provisions in place to address and isolate such a conflict should it be identified. </w:t>
      </w:r>
    </w:p>
    <w:p w14:paraId="66624E96"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Re-evaluation of assumptions</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requiring that the renewal of any activity at the end of its crediting period includes a reevaluation of its baselines, and procedures and assumptions for quantifying, monitoring, and verifying mitigation, including the baseline scenario; the same procedures should apply to activities that wish to undergo verification but have not done so within the </w:t>
      </w:r>
      <w:proofErr w:type="spellStart"/>
      <w:r w:rsidR="00842F6C">
        <w:rPr>
          <w:rFonts w:ascii="Times New Roman" w:hAnsi="Times New Roman" w:cs="Times New Roman"/>
          <w:sz w:val="24"/>
          <w:szCs w:val="24"/>
        </w:rPr>
        <w:t>programme</w:t>
      </w:r>
      <w:r w:rsidRPr="000F7DAE">
        <w:rPr>
          <w:rFonts w:ascii="Times New Roman" w:hAnsi="Times New Roman" w:cs="Times New Roman"/>
          <w:sz w:val="24"/>
          <w:szCs w:val="24"/>
        </w:rPr>
        <w:t>’s</w:t>
      </w:r>
      <w:proofErr w:type="spellEnd"/>
      <w:r w:rsidRPr="000F7DAE">
        <w:rPr>
          <w:rFonts w:ascii="Times New Roman" w:hAnsi="Times New Roman" w:cs="Times New Roman"/>
          <w:sz w:val="24"/>
          <w:szCs w:val="24"/>
        </w:rPr>
        <w:t xml:space="preserve"> allowable number of years between verification events. </w:t>
      </w:r>
    </w:p>
    <w:p w14:paraId="646DCABC"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Identification of units issued ex ante</w:t>
      </w:r>
      <w:r w:rsidRPr="000F7DAE">
        <w:rPr>
          <w:rFonts w:ascii="Times New Roman" w:hAnsi="Times New Roman" w:cs="Times New Roman"/>
          <w:sz w:val="24"/>
          <w:szCs w:val="24"/>
        </w:rPr>
        <w:t xml:space="preserv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w:t>
      </w:r>
      <w:r w:rsidR="00CC59CE">
        <w:rPr>
          <w:rFonts w:ascii="Times New Roman" w:hAnsi="Times New Roman" w:cs="Times New Roman"/>
          <w:sz w:val="24"/>
          <w:szCs w:val="24"/>
        </w:rPr>
        <w:t>that</w:t>
      </w:r>
      <w:r w:rsidR="00CC59CE" w:rsidRPr="000F7DAE">
        <w:rPr>
          <w:rFonts w:ascii="Times New Roman" w:hAnsi="Times New Roman" w:cs="Times New Roman"/>
          <w:sz w:val="24"/>
          <w:szCs w:val="24"/>
        </w:rPr>
        <w:t xml:space="preserve"> </w:t>
      </w:r>
      <w:r w:rsidRPr="000F7DAE">
        <w:rPr>
          <w:rFonts w:ascii="Times New Roman" w:hAnsi="Times New Roman" w:cs="Times New Roman"/>
          <w:sz w:val="24"/>
          <w:szCs w:val="24"/>
        </w:rPr>
        <w:t xml:space="preserve">support both the </w:t>
      </w:r>
      <w:proofErr w:type="spellStart"/>
      <w:r w:rsidRPr="008F1218">
        <w:rPr>
          <w:rFonts w:ascii="Times New Roman" w:hAnsi="Times New Roman" w:cs="Times New Roman"/>
          <w:i/>
          <w:sz w:val="24"/>
          <w:szCs w:val="24"/>
        </w:rPr>
        <w:t>ex ante</w:t>
      </w:r>
      <w:proofErr w:type="spellEnd"/>
      <w:r w:rsidRPr="000F7DAE">
        <w:rPr>
          <w:rFonts w:ascii="Times New Roman" w:hAnsi="Times New Roman" w:cs="Times New Roman"/>
          <w:sz w:val="24"/>
          <w:szCs w:val="24"/>
        </w:rPr>
        <w:t xml:space="preserve"> and </w:t>
      </w:r>
      <w:r w:rsidRPr="008F1218">
        <w:rPr>
          <w:rFonts w:ascii="Times New Roman" w:hAnsi="Times New Roman" w:cs="Times New Roman"/>
          <w:i/>
          <w:sz w:val="24"/>
          <w:szCs w:val="24"/>
        </w:rPr>
        <w:t>ex post</w:t>
      </w:r>
      <w:r w:rsidRPr="000F7DAE">
        <w:rPr>
          <w:rFonts w:ascii="Times New Roman" w:hAnsi="Times New Roman" w:cs="Times New Roman"/>
          <w:sz w:val="24"/>
          <w:szCs w:val="24"/>
        </w:rPr>
        <w:t xml:space="preserve"> issuance of emissions units should have procedures in place to transparently identify units which are issued </w:t>
      </w:r>
      <w:r w:rsidRPr="008F1218">
        <w:rPr>
          <w:rFonts w:ascii="Times New Roman" w:hAnsi="Times New Roman" w:cs="Times New Roman"/>
          <w:i/>
          <w:sz w:val="24"/>
          <w:szCs w:val="24"/>
        </w:rPr>
        <w:t>ex ante</w:t>
      </w:r>
      <w:r w:rsidRPr="000F7DAE">
        <w:rPr>
          <w:rFonts w:ascii="Times New Roman" w:hAnsi="Times New Roman" w:cs="Times New Roman"/>
          <w:sz w:val="24"/>
          <w:szCs w:val="24"/>
        </w:rPr>
        <w:t xml:space="preserve"> and thus ineligible for use in the CORSIA. </w:t>
      </w:r>
    </w:p>
    <w:p w14:paraId="63078894" w14:textId="77777777" w:rsidR="00753285" w:rsidRPr="000F7DAE" w:rsidRDefault="0092022C" w:rsidP="008D4CB7">
      <w:pPr>
        <w:pStyle w:val="Body"/>
        <w:numPr>
          <w:ilvl w:val="1"/>
          <w:numId w:val="1"/>
        </w:numPr>
        <w:spacing w:after="160"/>
        <w:jc w:val="both"/>
        <w:rPr>
          <w:rFonts w:ascii="Times New Roman" w:eastAsia="Helvetica Neue Thin" w:hAnsi="Times New Roman" w:cs="Times New Roman"/>
          <w:sz w:val="24"/>
          <w:szCs w:val="24"/>
        </w:rPr>
      </w:pPr>
      <w:r>
        <w:rPr>
          <w:rFonts w:ascii="Times New Roman" w:hAnsi="Times New Roman" w:cs="Times New Roman"/>
          <w:i/>
          <w:iCs/>
          <w:sz w:val="24"/>
          <w:szCs w:val="24"/>
        </w:rPr>
        <w:lastRenderedPageBreak/>
        <w:t xml:space="preserve">Eligibility </w:t>
      </w:r>
      <w:r w:rsidR="000F7DAE" w:rsidRPr="000F7DAE">
        <w:rPr>
          <w:rFonts w:ascii="Times New Roman" w:hAnsi="Times New Roman" w:cs="Times New Roman"/>
          <w:i/>
          <w:iCs/>
          <w:sz w:val="24"/>
          <w:szCs w:val="24"/>
        </w:rPr>
        <w:t>Criterion</w:t>
      </w:r>
      <w:r w:rsidR="000F7DAE" w:rsidRPr="000F7DAE">
        <w:rPr>
          <w:rFonts w:ascii="Times New Roman" w:hAnsi="Times New Roman" w:cs="Times New Roman"/>
          <w:sz w:val="24"/>
          <w:szCs w:val="24"/>
        </w:rPr>
        <w:t xml:space="preserve">: </w:t>
      </w:r>
      <w:r w:rsidR="000F7DAE" w:rsidRPr="002E0BDA">
        <w:rPr>
          <w:rFonts w:ascii="Times New Roman" w:hAnsi="Times New Roman" w:cs="Times New Roman"/>
          <w:sz w:val="24"/>
          <w:szCs w:val="24"/>
          <w:u w:val="single"/>
        </w:rPr>
        <w:t xml:space="preserve">Carbon offset credits </w:t>
      </w:r>
      <w:r w:rsidR="002E0BDA" w:rsidRPr="002E0BDA">
        <w:rPr>
          <w:rFonts w:ascii="Times New Roman" w:hAnsi="Times New Roman" w:cs="Times New Roman"/>
          <w:sz w:val="24"/>
          <w:szCs w:val="24"/>
          <w:u w:val="single"/>
        </w:rPr>
        <w:t>must</w:t>
      </w:r>
      <w:r w:rsidR="000F7DAE" w:rsidRPr="002E0BDA">
        <w:rPr>
          <w:rFonts w:ascii="Times New Roman" w:hAnsi="Times New Roman" w:cs="Times New Roman"/>
          <w:sz w:val="24"/>
          <w:szCs w:val="24"/>
          <w:u w:val="single"/>
        </w:rPr>
        <w:t xml:space="preserve"> have a clear and transparent chain of cus</w:t>
      </w:r>
      <w:r w:rsidR="002E0BDA" w:rsidRPr="002E0BDA">
        <w:rPr>
          <w:rFonts w:ascii="Times New Roman" w:hAnsi="Times New Roman" w:cs="Times New Roman"/>
          <w:sz w:val="24"/>
          <w:szCs w:val="24"/>
          <w:u w:val="single"/>
        </w:rPr>
        <w:t xml:space="preserve">tody within the offset </w:t>
      </w:r>
      <w:r w:rsidR="00842F6C">
        <w:rPr>
          <w:rFonts w:ascii="Times New Roman" w:hAnsi="Times New Roman" w:cs="Times New Roman"/>
          <w:sz w:val="24"/>
          <w:szCs w:val="24"/>
          <w:u w:val="single"/>
        </w:rPr>
        <w:t>programme</w:t>
      </w:r>
      <w:r w:rsidR="002E0BDA">
        <w:rPr>
          <w:rFonts w:ascii="Times New Roman" w:hAnsi="Times New Roman" w:cs="Times New Roman"/>
          <w:sz w:val="24"/>
          <w:szCs w:val="24"/>
        </w:rPr>
        <w:t>—O</w:t>
      </w:r>
      <w:r w:rsidR="000F7DAE" w:rsidRPr="000F7DAE">
        <w:rPr>
          <w:rFonts w:ascii="Times New Roman" w:hAnsi="Times New Roman" w:cs="Times New Roman"/>
          <w:sz w:val="24"/>
          <w:szCs w:val="24"/>
        </w:rPr>
        <w:t>ffset credits should be assigned an identification number that can be tracked from when the unit is issued through to its transfer or use (cancellation or retirement) via a registry s</w:t>
      </w:r>
      <w:r w:rsidR="008F1218">
        <w:rPr>
          <w:rFonts w:ascii="Times New Roman" w:hAnsi="Times New Roman" w:cs="Times New Roman"/>
          <w:sz w:val="24"/>
          <w:szCs w:val="24"/>
        </w:rPr>
        <w:t>ystem(s).</w:t>
      </w:r>
    </w:p>
    <w:p w14:paraId="330F8064" w14:textId="77777777" w:rsidR="00753285" w:rsidRPr="000F7DAE" w:rsidRDefault="0092022C" w:rsidP="008D4CB7">
      <w:pPr>
        <w:pStyle w:val="Body"/>
        <w:numPr>
          <w:ilvl w:val="1"/>
          <w:numId w:val="1"/>
        </w:numPr>
        <w:spacing w:after="160"/>
        <w:jc w:val="both"/>
        <w:rPr>
          <w:rFonts w:ascii="Times New Roman" w:eastAsia="Helvetica Neue Thin" w:hAnsi="Times New Roman" w:cs="Times New Roman"/>
          <w:sz w:val="24"/>
          <w:szCs w:val="24"/>
        </w:rPr>
      </w:pPr>
      <w:r>
        <w:rPr>
          <w:rFonts w:ascii="Times New Roman" w:hAnsi="Times New Roman" w:cs="Times New Roman"/>
          <w:i/>
          <w:iCs/>
          <w:sz w:val="24"/>
          <w:szCs w:val="24"/>
        </w:rPr>
        <w:t xml:space="preserve">Eligibility </w:t>
      </w:r>
      <w:r w:rsidR="000F7DAE" w:rsidRPr="000F7DAE">
        <w:rPr>
          <w:rFonts w:ascii="Times New Roman" w:hAnsi="Times New Roman" w:cs="Times New Roman"/>
          <w:i/>
          <w:iCs/>
          <w:sz w:val="24"/>
          <w:szCs w:val="24"/>
        </w:rPr>
        <w:t>Criterion</w:t>
      </w:r>
      <w:r w:rsidR="000F7DAE" w:rsidRPr="000F7DAE">
        <w:rPr>
          <w:rFonts w:ascii="Times New Roman" w:hAnsi="Times New Roman" w:cs="Times New Roman"/>
          <w:sz w:val="24"/>
          <w:szCs w:val="24"/>
        </w:rPr>
        <w:t xml:space="preserve">: </w:t>
      </w:r>
      <w:r w:rsidR="000F7DAE" w:rsidRPr="00CA1E74">
        <w:rPr>
          <w:rFonts w:ascii="Times New Roman" w:hAnsi="Times New Roman" w:cs="Times New Roman"/>
          <w:sz w:val="24"/>
          <w:szCs w:val="24"/>
          <w:u w:val="single"/>
          <w:lang w:val="en-GB"/>
        </w:rPr>
        <w:t>Permanence</w:t>
      </w:r>
      <w:r w:rsidR="002E0BDA">
        <w:rPr>
          <w:rFonts w:ascii="Times New Roman" w:hAnsi="Times New Roman" w:cs="Times New Roman"/>
          <w:sz w:val="24"/>
          <w:szCs w:val="24"/>
        </w:rPr>
        <w:t>—Carbon offset credits must</w:t>
      </w:r>
      <w:r w:rsidR="000F7DAE" w:rsidRPr="000F7DAE">
        <w:rPr>
          <w:rFonts w:ascii="Times New Roman" w:hAnsi="Times New Roman" w:cs="Times New Roman"/>
          <w:sz w:val="24"/>
          <w:szCs w:val="24"/>
        </w:rPr>
        <w:t xml:space="preserve"> represent emissions reductions, avoidance, or carbon sequestration that are permanent. If there is risk of reductions or removals being reversed, then either (a) such credits are not eligible or (b) mitigation measures are in place to monitor, mitigate, and compensate any material incidence of non-permanence. </w:t>
      </w:r>
    </w:p>
    <w:p w14:paraId="74BD4202" w14:textId="77777777" w:rsidR="00753285" w:rsidRPr="000F7DAE" w:rsidRDefault="00906AD9" w:rsidP="008D4CB7">
      <w:pPr>
        <w:pStyle w:val="Body"/>
        <w:numPr>
          <w:ilvl w:val="2"/>
          <w:numId w:val="1"/>
        </w:numPr>
        <w:spacing w:after="160"/>
        <w:jc w:val="both"/>
        <w:rPr>
          <w:rFonts w:ascii="Times New Roman" w:eastAsia="Helvetica Neue Thin" w:hAnsi="Times New Roman" w:cs="Times New Roman"/>
          <w:sz w:val="24"/>
          <w:szCs w:val="24"/>
          <w:u w:val="single"/>
        </w:rPr>
      </w:pPr>
      <w:r>
        <w:rPr>
          <w:rFonts w:ascii="Times New Roman" w:hAnsi="Times New Roman" w:cs="Times New Roman"/>
          <w:sz w:val="24"/>
          <w:szCs w:val="24"/>
          <w:u w:val="single"/>
        </w:rPr>
        <w:t xml:space="preserve">Guidelines for </w:t>
      </w:r>
      <w:r w:rsidR="000F7DAE" w:rsidRPr="000F7DAE">
        <w:rPr>
          <w:rFonts w:ascii="Times New Roman" w:hAnsi="Times New Roman" w:cs="Times New Roman"/>
          <w:sz w:val="24"/>
          <w:szCs w:val="24"/>
          <w:u w:val="single"/>
        </w:rPr>
        <w:t>interpretation</w:t>
      </w:r>
      <w:r w:rsidR="00CC59CE" w:rsidRPr="008D4BB4">
        <w:rPr>
          <w:rFonts w:ascii="Times New Roman" w:hAnsi="Times New Roman" w:cs="Times New Roman"/>
          <w:sz w:val="24"/>
          <w:szCs w:val="24"/>
          <w:u w:val="single"/>
        </w:rPr>
        <w:t xml:space="preserve"> of the “Permanence”</w:t>
      </w:r>
      <w:r w:rsidR="00CC59CE" w:rsidRPr="00CC59CE">
        <w:rPr>
          <w:rFonts w:ascii="Times New Roman" w:hAnsi="Times New Roman" w:cs="Times New Roman"/>
          <w:sz w:val="24"/>
          <w:szCs w:val="24"/>
          <w:u w:val="single"/>
        </w:rPr>
        <w:t xml:space="preserve"> </w:t>
      </w:r>
      <w:r w:rsidR="00CC59CE">
        <w:rPr>
          <w:rFonts w:ascii="Times New Roman" w:hAnsi="Times New Roman" w:cs="Times New Roman"/>
          <w:sz w:val="24"/>
          <w:szCs w:val="24"/>
          <w:u w:val="single"/>
        </w:rPr>
        <w:t>criterion</w:t>
      </w:r>
    </w:p>
    <w:p w14:paraId="1B9A4416"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Risk assessment</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provisions in place to require and support activities operating within any sectors/activity types that present a potential risk of reversal to undertake a risk assessment that accounts for, inter alia, any potential causes, relative scale, and relative likelihood of reversals. </w:t>
      </w:r>
    </w:p>
    <w:p w14:paraId="0832AF20"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Reversal risk monitoring and mitigation</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provisions in place to require and support activities operating within any sectors/activity types that present a potential risk of reversal to (A) monitor identified risks of reversals; and (B) mitigate identified risks of reversals. </w:t>
      </w:r>
    </w:p>
    <w:p w14:paraId="1B751BC5"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Extent of compensation provisions</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provisions in place to ensure full compensation for material reversals of mitigation issued as emissions units and used toward offsetting obligations under the CORSIA. </w:t>
      </w:r>
    </w:p>
    <w:p w14:paraId="76B7106E"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Reversal notification and liabili</w:t>
      </w:r>
      <w:r w:rsidRPr="000F7DAE">
        <w:rPr>
          <w:rFonts w:ascii="Times New Roman" w:hAnsi="Times New Roman" w:cs="Times New Roman"/>
          <w:sz w:val="24"/>
          <w:szCs w:val="24"/>
        </w:rPr>
        <w:t xml:space="preserve">ty: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provisions in place which confer liability to the activity proponent to monitor, mitigate, and respond to reversals in a manner mandated in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procedures; require activity proponents, upon being made aware of a material reversal event, to notify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within a specified </w:t>
      </w:r>
      <w:r w:rsidRPr="000F7DAE">
        <w:rPr>
          <w:rFonts w:ascii="Times New Roman" w:hAnsi="Times New Roman" w:cs="Times New Roman"/>
          <w:sz w:val="24"/>
          <w:szCs w:val="24"/>
        </w:rPr>
        <w:lastRenderedPageBreak/>
        <w:t xml:space="preserve">number of days; and confer responsibility to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to, upon such notification, ensure and confirm that such reversals are fully compensated in a manner mandated in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procedures. </w:t>
      </w:r>
    </w:p>
    <w:p w14:paraId="67FE512E"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Replacement unit eligibility</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the capability to ensure that any emissions units which compensate for the material reversal of mitigation issued as emissions units and used toward offsetting obligations under the CORSIA are fully eligible for use under the CORSIA. </w:t>
      </w:r>
    </w:p>
    <w:p w14:paraId="227D506B"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Review of compensation measure performance</w:t>
      </w:r>
      <w:r w:rsidRPr="000F7DAE">
        <w:rPr>
          <w:rFonts w:ascii="Times New Roman" w:hAnsi="Times New Roman" w:cs="Times New Roman"/>
          <w:sz w:val="24"/>
          <w:szCs w:val="24"/>
        </w:rPr>
        <w:t xml:space="preserve">: In the case that ICAO designates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as eligible, including activity type(s) supported by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which require that a compensation measure is in place,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be willing and able to demonstrate to ICAO that the measure can fully compensate for the reversal of mitigation issued as emissions units and used under the CORSIA as of the date of review. </w:t>
      </w:r>
    </w:p>
    <w:p w14:paraId="3C82D244" w14:textId="77777777" w:rsidR="00753285" w:rsidRPr="000F7DAE" w:rsidRDefault="00AB575F" w:rsidP="008D4CB7">
      <w:pPr>
        <w:pStyle w:val="Body"/>
        <w:numPr>
          <w:ilvl w:val="1"/>
          <w:numId w:val="1"/>
        </w:numPr>
        <w:spacing w:after="160"/>
        <w:jc w:val="both"/>
        <w:rPr>
          <w:rFonts w:ascii="Times New Roman" w:eastAsia="Helvetica Neue Thin" w:hAnsi="Times New Roman" w:cs="Times New Roman"/>
          <w:sz w:val="24"/>
          <w:szCs w:val="24"/>
        </w:rPr>
      </w:pPr>
      <w:r>
        <w:rPr>
          <w:rFonts w:ascii="Times New Roman" w:hAnsi="Times New Roman" w:cs="Times New Roman"/>
          <w:i/>
          <w:iCs/>
          <w:sz w:val="24"/>
          <w:szCs w:val="24"/>
        </w:rPr>
        <w:t xml:space="preserve">Eligibility </w:t>
      </w:r>
      <w:r w:rsidR="000F7DAE" w:rsidRPr="000F7DAE">
        <w:rPr>
          <w:rFonts w:ascii="Times New Roman" w:hAnsi="Times New Roman" w:cs="Times New Roman"/>
          <w:i/>
          <w:iCs/>
          <w:sz w:val="24"/>
          <w:szCs w:val="24"/>
        </w:rPr>
        <w:t>Criterion</w:t>
      </w:r>
      <w:r w:rsidR="000F7DAE" w:rsidRPr="000F7DAE">
        <w:rPr>
          <w:rFonts w:ascii="Times New Roman" w:hAnsi="Times New Roman" w:cs="Times New Roman"/>
          <w:sz w:val="24"/>
          <w:szCs w:val="24"/>
        </w:rPr>
        <w:t xml:space="preserve">: </w:t>
      </w:r>
      <w:r w:rsidR="000F7DAE" w:rsidRPr="002E0BDA">
        <w:rPr>
          <w:rFonts w:ascii="Times New Roman" w:hAnsi="Times New Roman" w:cs="Times New Roman"/>
          <w:sz w:val="24"/>
          <w:szCs w:val="24"/>
          <w:u w:val="single"/>
        </w:rPr>
        <w:t xml:space="preserve">A </w:t>
      </w:r>
      <w:r w:rsidR="002E0BDA" w:rsidRPr="002E0BDA">
        <w:rPr>
          <w:rFonts w:ascii="Times New Roman" w:hAnsi="Times New Roman" w:cs="Times New Roman"/>
          <w:sz w:val="24"/>
          <w:szCs w:val="24"/>
          <w:u w:val="single"/>
        </w:rPr>
        <w:t xml:space="preserve">system must </w:t>
      </w:r>
      <w:r w:rsidR="000F7DAE" w:rsidRPr="002E0BDA">
        <w:rPr>
          <w:rFonts w:ascii="Times New Roman" w:hAnsi="Times New Roman" w:cs="Times New Roman"/>
          <w:sz w:val="24"/>
          <w:szCs w:val="24"/>
          <w:u w:val="single"/>
        </w:rPr>
        <w:t xml:space="preserve">have measures in place to assess and mitigate </w:t>
      </w:r>
      <w:r w:rsidR="002E0BDA" w:rsidRPr="002E0BDA">
        <w:rPr>
          <w:rFonts w:ascii="Times New Roman" w:hAnsi="Times New Roman" w:cs="Times New Roman"/>
          <w:sz w:val="24"/>
          <w:szCs w:val="24"/>
          <w:u w:val="single"/>
        </w:rPr>
        <w:t>incidences of material leakage</w:t>
      </w:r>
      <w:r w:rsidR="002E0BDA">
        <w:rPr>
          <w:rFonts w:ascii="Times New Roman" w:hAnsi="Times New Roman" w:cs="Times New Roman"/>
          <w:sz w:val="24"/>
          <w:szCs w:val="24"/>
        </w:rPr>
        <w:t>—O</w:t>
      </w:r>
      <w:r w:rsidR="000F7DAE" w:rsidRPr="000F7DAE">
        <w:rPr>
          <w:rFonts w:ascii="Times New Roman" w:hAnsi="Times New Roman" w:cs="Times New Roman"/>
          <w:sz w:val="24"/>
          <w:szCs w:val="24"/>
        </w:rPr>
        <w:t xml:space="preserve">ffset credits should be generated from </w:t>
      </w:r>
      <w:r w:rsidR="005537D4">
        <w:rPr>
          <w:rFonts w:ascii="Times New Roman" w:hAnsi="Times New Roman" w:cs="Times New Roman"/>
          <w:sz w:val="24"/>
          <w:szCs w:val="24"/>
        </w:rPr>
        <w:t>projects</w:t>
      </w:r>
      <w:r w:rsidR="005537D4" w:rsidRPr="000F7DAE">
        <w:rPr>
          <w:rFonts w:ascii="Times New Roman" w:hAnsi="Times New Roman" w:cs="Times New Roman"/>
          <w:sz w:val="24"/>
          <w:szCs w:val="24"/>
        </w:rPr>
        <w:t xml:space="preserve"> </w:t>
      </w:r>
      <w:r w:rsidR="000F7DAE" w:rsidRPr="000F7DAE">
        <w:rPr>
          <w:rFonts w:ascii="Times New Roman" w:hAnsi="Times New Roman" w:cs="Times New Roman"/>
          <w:sz w:val="24"/>
          <w:szCs w:val="24"/>
        </w:rPr>
        <w:t xml:space="preserve">that do not cause emissions to materially increase elsewhere (this concept is also known as leakage). Offset credit </w:t>
      </w:r>
      <w:r w:rsidR="00842F6C">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s should have an established process for assessing and mitigating leakage of emissions that may result from the implementation of an offset project or </w:t>
      </w:r>
      <w:r w:rsidR="00842F6C">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w:t>
      </w:r>
    </w:p>
    <w:p w14:paraId="01C959CB" w14:textId="77777777" w:rsidR="00753285" w:rsidRPr="008D4BB4" w:rsidRDefault="000F7DAE" w:rsidP="008D4CB7">
      <w:pPr>
        <w:pStyle w:val="Body"/>
        <w:numPr>
          <w:ilvl w:val="2"/>
          <w:numId w:val="1"/>
        </w:numPr>
        <w:spacing w:after="160"/>
        <w:jc w:val="both"/>
        <w:rPr>
          <w:rFonts w:ascii="Times New Roman" w:hAnsi="Times New Roman" w:cs="Times New Roman"/>
          <w:sz w:val="24"/>
          <w:szCs w:val="24"/>
          <w:u w:val="single"/>
        </w:rPr>
      </w:pPr>
      <w:r w:rsidRPr="000F7DAE">
        <w:rPr>
          <w:rFonts w:ascii="Times New Roman" w:hAnsi="Times New Roman" w:cs="Times New Roman"/>
          <w:sz w:val="24"/>
          <w:szCs w:val="24"/>
          <w:u w:val="single"/>
        </w:rPr>
        <w:t>Guidelines for</w:t>
      </w:r>
      <w:r w:rsidR="00906AD9">
        <w:rPr>
          <w:rFonts w:ascii="Times New Roman" w:hAnsi="Times New Roman" w:cs="Times New Roman"/>
          <w:sz w:val="24"/>
          <w:szCs w:val="24"/>
          <w:u w:val="single"/>
        </w:rPr>
        <w:t xml:space="preserve"> </w:t>
      </w:r>
      <w:r w:rsidRPr="000F7DAE">
        <w:rPr>
          <w:rFonts w:ascii="Times New Roman" w:hAnsi="Times New Roman" w:cs="Times New Roman"/>
          <w:sz w:val="24"/>
          <w:szCs w:val="24"/>
          <w:u w:val="single"/>
        </w:rPr>
        <w:t xml:space="preserve">interpretation </w:t>
      </w:r>
      <w:r w:rsidR="00C05A72" w:rsidRPr="008D4BB4">
        <w:rPr>
          <w:rFonts w:ascii="Times New Roman" w:hAnsi="Times New Roman" w:cs="Times New Roman"/>
          <w:sz w:val="24"/>
          <w:szCs w:val="24"/>
          <w:u w:val="single"/>
        </w:rPr>
        <w:t>of the “Assess and mitigate material leakage”</w:t>
      </w:r>
      <w:r w:rsidR="008D4BB4">
        <w:rPr>
          <w:rFonts w:ascii="Times New Roman" w:hAnsi="Times New Roman" w:cs="Times New Roman"/>
          <w:sz w:val="24"/>
          <w:szCs w:val="24"/>
          <w:u w:val="single"/>
        </w:rPr>
        <w:t xml:space="preserve"> </w:t>
      </w:r>
      <w:r w:rsidR="00C05A72">
        <w:rPr>
          <w:rFonts w:ascii="Times New Roman" w:hAnsi="Times New Roman" w:cs="Times New Roman"/>
          <w:sz w:val="24"/>
          <w:szCs w:val="24"/>
          <w:u w:val="single"/>
        </w:rPr>
        <w:t>criterion</w:t>
      </w:r>
    </w:p>
    <w:p w14:paraId="2486611E"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Scope and leakage prevention</w:t>
      </w:r>
      <w:r w:rsidRPr="000F7DAE">
        <w:rPr>
          <w:rFonts w:ascii="Times New Roman" w:hAnsi="Times New Roman" w:cs="Times New Roman"/>
          <w:sz w:val="24"/>
          <w:szCs w:val="24"/>
        </w:rPr>
        <w:t xml:space="preserv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should have provisions in place requiring that activities that pose a risk of leakage when implemented at the project-level should be implemented at a national level, or on an interim basis on a subnational level, in order to mitigate the risk of leakage. </w:t>
      </w:r>
    </w:p>
    <w:p w14:paraId="5248815C"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Leakage monitoring</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requiring and supporting activities to monitor identified leakage. </w:t>
      </w:r>
    </w:p>
    <w:p w14:paraId="42977F83"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lastRenderedPageBreak/>
        <w:t>Leakage compensation</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for the activities it supports to deduct from their accounting emissions from any identified leakage that reduces the mitigation benefits of the activities. </w:t>
      </w:r>
    </w:p>
    <w:p w14:paraId="49039D4E" w14:textId="77777777" w:rsidR="002E0BDA" w:rsidRPr="002E0BDA" w:rsidRDefault="00AB575F" w:rsidP="008D4CB7">
      <w:pPr>
        <w:pStyle w:val="Body"/>
        <w:numPr>
          <w:ilvl w:val="1"/>
          <w:numId w:val="1"/>
        </w:numPr>
        <w:spacing w:after="160"/>
        <w:jc w:val="both"/>
        <w:rPr>
          <w:rFonts w:ascii="Times New Roman" w:eastAsia="Helvetica Neue Thin" w:hAnsi="Times New Roman" w:cs="Times New Roman"/>
          <w:sz w:val="24"/>
          <w:szCs w:val="24"/>
        </w:rPr>
      </w:pPr>
      <w:r>
        <w:rPr>
          <w:rFonts w:ascii="Times New Roman" w:hAnsi="Times New Roman" w:cs="Times New Roman"/>
          <w:i/>
          <w:iCs/>
          <w:sz w:val="24"/>
          <w:szCs w:val="24"/>
        </w:rPr>
        <w:t xml:space="preserve">Eligibility </w:t>
      </w:r>
      <w:r w:rsidR="000F7DAE" w:rsidRPr="000F7DAE">
        <w:rPr>
          <w:rFonts w:ascii="Times New Roman" w:hAnsi="Times New Roman" w:cs="Times New Roman"/>
          <w:i/>
          <w:iCs/>
          <w:sz w:val="24"/>
          <w:szCs w:val="24"/>
        </w:rPr>
        <w:t>Criterion</w:t>
      </w:r>
      <w:r w:rsidR="000F7DAE" w:rsidRPr="000F7DAE">
        <w:rPr>
          <w:rFonts w:ascii="Times New Roman" w:hAnsi="Times New Roman" w:cs="Times New Roman"/>
          <w:sz w:val="24"/>
          <w:szCs w:val="24"/>
        </w:rPr>
        <w:t xml:space="preserve">: </w:t>
      </w:r>
      <w:r w:rsidR="002E0BDA">
        <w:rPr>
          <w:rFonts w:ascii="Times New Roman" w:hAnsi="Times New Roman" w:cs="Times New Roman"/>
          <w:sz w:val="24"/>
          <w:szCs w:val="24"/>
          <w:u w:val="single"/>
        </w:rPr>
        <w:t>Are o</w:t>
      </w:r>
      <w:r w:rsidR="000F7DAE" w:rsidRPr="000F7DAE">
        <w:rPr>
          <w:rFonts w:ascii="Times New Roman" w:hAnsi="Times New Roman" w:cs="Times New Roman"/>
          <w:sz w:val="24"/>
          <w:szCs w:val="24"/>
          <w:u w:val="single"/>
        </w:rPr>
        <w:t>nly counted once towards a mitigation obligation</w:t>
      </w:r>
      <w:r w:rsidR="000F7DAE" w:rsidRPr="000F7DAE">
        <w:rPr>
          <w:rFonts w:ascii="Times New Roman" w:hAnsi="Times New Roman" w:cs="Times New Roman"/>
          <w:sz w:val="24"/>
          <w:szCs w:val="24"/>
        </w:rPr>
        <w:t>—</w:t>
      </w:r>
      <w:r w:rsidR="002E0BDA">
        <w:rPr>
          <w:rFonts w:ascii="Times New Roman" w:hAnsi="Times New Roman" w:cs="Times New Roman"/>
          <w:sz w:val="24"/>
          <w:szCs w:val="24"/>
        </w:rPr>
        <w:t>Measures must</w:t>
      </w:r>
      <w:r w:rsidR="000F7DAE" w:rsidRPr="000F7DAE">
        <w:rPr>
          <w:rFonts w:ascii="Times New Roman" w:hAnsi="Times New Roman" w:cs="Times New Roman"/>
          <w:sz w:val="24"/>
          <w:szCs w:val="24"/>
        </w:rPr>
        <w:t xml:space="preserve"> be in place to avoid: </w:t>
      </w:r>
    </w:p>
    <w:p w14:paraId="2AB69593" w14:textId="77777777" w:rsidR="002E0BDA" w:rsidRPr="002E0BDA"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8F1218">
        <w:rPr>
          <w:rFonts w:ascii="Times New Roman" w:hAnsi="Times New Roman" w:cs="Times New Roman"/>
          <w:i/>
          <w:sz w:val="24"/>
          <w:szCs w:val="24"/>
        </w:rPr>
        <w:t>Double issuance</w:t>
      </w:r>
      <w:r w:rsidRPr="000F7DAE">
        <w:rPr>
          <w:rFonts w:ascii="Times New Roman" w:hAnsi="Times New Roman" w:cs="Times New Roman"/>
          <w:sz w:val="24"/>
          <w:szCs w:val="24"/>
        </w:rPr>
        <w:t xml:space="preserve"> </w:t>
      </w:r>
      <w:r w:rsidR="00791C7D">
        <w:rPr>
          <w:rFonts w:ascii="Times New Roman" w:hAnsi="Times New Roman" w:cs="Times New Roman"/>
          <w:sz w:val="24"/>
          <w:szCs w:val="24"/>
        </w:rPr>
        <w:t>(</w:t>
      </w:r>
      <w:r w:rsidRPr="000F7DAE">
        <w:rPr>
          <w:rFonts w:ascii="Times New Roman" w:hAnsi="Times New Roman" w:cs="Times New Roman"/>
          <w:sz w:val="24"/>
          <w:szCs w:val="24"/>
        </w:rPr>
        <w:t>which occurs if more than one unit is issued for the same emissions or emissions reduction</w:t>
      </w:r>
      <w:r w:rsidR="00791C7D">
        <w:rPr>
          <w:rFonts w:ascii="Times New Roman" w:hAnsi="Times New Roman" w:cs="Times New Roman"/>
          <w:sz w:val="24"/>
          <w:szCs w:val="24"/>
        </w:rPr>
        <w:t>).</w:t>
      </w:r>
      <w:r w:rsidRPr="000F7DAE">
        <w:rPr>
          <w:rFonts w:ascii="Times New Roman" w:hAnsi="Times New Roman" w:cs="Times New Roman"/>
          <w:sz w:val="24"/>
          <w:szCs w:val="24"/>
        </w:rPr>
        <w:t xml:space="preserve"> </w:t>
      </w:r>
    </w:p>
    <w:p w14:paraId="3994F2E2" w14:textId="77777777" w:rsidR="002E0BDA" w:rsidRPr="002E0BDA"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8F1218">
        <w:rPr>
          <w:rFonts w:ascii="Times New Roman" w:hAnsi="Times New Roman" w:cs="Times New Roman"/>
          <w:i/>
          <w:sz w:val="24"/>
          <w:szCs w:val="24"/>
        </w:rPr>
        <w:t>Double use</w:t>
      </w:r>
      <w:r w:rsidRPr="000F7DAE">
        <w:rPr>
          <w:rFonts w:ascii="Times New Roman" w:hAnsi="Times New Roman" w:cs="Times New Roman"/>
          <w:sz w:val="24"/>
          <w:szCs w:val="24"/>
        </w:rPr>
        <w:t xml:space="preserve"> </w:t>
      </w:r>
      <w:r w:rsidR="00791C7D">
        <w:rPr>
          <w:rFonts w:ascii="Times New Roman" w:hAnsi="Times New Roman" w:cs="Times New Roman"/>
          <w:sz w:val="24"/>
          <w:szCs w:val="24"/>
        </w:rPr>
        <w:t>(</w:t>
      </w:r>
      <w:r w:rsidRPr="000F7DAE">
        <w:rPr>
          <w:rFonts w:ascii="Times New Roman" w:hAnsi="Times New Roman" w:cs="Times New Roman"/>
          <w:sz w:val="24"/>
          <w:szCs w:val="24"/>
        </w:rPr>
        <w:t>which occurs when the same issued unit is used twice, for example, if a unit is duplicated in registries</w:t>
      </w:r>
      <w:r w:rsidR="00791C7D">
        <w:rPr>
          <w:rFonts w:ascii="Times New Roman" w:hAnsi="Times New Roman" w:cs="Times New Roman"/>
          <w:sz w:val="24"/>
          <w:szCs w:val="24"/>
        </w:rPr>
        <w:t>).</w:t>
      </w:r>
      <w:r w:rsidRPr="000F7DAE">
        <w:rPr>
          <w:rFonts w:ascii="Times New Roman" w:hAnsi="Times New Roman" w:cs="Times New Roman"/>
          <w:sz w:val="24"/>
          <w:szCs w:val="24"/>
        </w:rPr>
        <w:t xml:space="preserve"> </w:t>
      </w:r>
    </w:p>
    <w:p w14:paraId="223690B6"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8F1218">
        <w:rPr>
          <w:rFonts w:ascii="Times New Roman" w:hAnsi="Times New Roman" w:cs="Times New Roman"/>
          <w:i/>
          <w:sz w:val="24"/>
          <w:szCs w:val="24"/>
        </w:rPr>
        <w:t>Double claiming</w:t>
      </w:r>
      <w:r w:rsidRPr="000F7DAE">
        <w:rPr>
          <w:rFonts w:ascii="Times New Roman" w:hAnsi="Times New Roman" w:cs="Times New Roman"/>
          <w:sz w:val="24"/>
          <w:szCs w:val="24"/>
        </w:rPr>
        <w:t xml:space="preserve"> </w:t>
      </w:r>
      <w:r w:rsidR="00791C7D">
        <w:rPr>
          <w:rFonts w:ascii="Times New Roman" w:hAnsi="Times New Roman" w:cs="Times New Roman"/>
          <w:sz w:val="24"/>
          <w:szCs w:val="24"/>
        </w:rPr>
        <w:t>(</w:t>
      </w:r>
      <w:r w:rsidRPr="000F7DAE">
        <w:rPr>
          <w:rFonts w:ascii="Times New Roman" w:hAnsi="Times New Roman" w:cs="Times New Roman"/>
          <w:sz w:val="24"/>
          <w:szCs w:val="24"/>
        </w:rPr>
        <w:t>which occurs if the same emissions reduction is counted twice by both the buyer and the seller (i.e., counted towards the climate change mitigation effort of both an airline and the host country of the emissions reduction activity)</w:t>
      </w:r>
      <w:r w:rsidR="00791C7D">
        <w:rPr>
          <w:rFonts w:ascii="Times New Roman" w:hAnsi="Times New Roman" w:cs="Times New Roman"/>
          <w:sz w:val="24"/>
          <w:szCs w:val="24"/>
        </w:rPr>
        <w:t>)</w:t>
      </w:r>
      <w:r w:rsidRPr="000F7DAE">
        <w:rPr>
          <w:rFonts w:ascii="Times New Roman" w:hAnsi="Times New Roman" w:cs="Times New Roman"/>
          <w:sz w:val="24"/>
          <w:szCs w:val="24"/>
        </w:rPr>
        <w:t xml:space="preserve">. In order to prevent double claiming, eligible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should require and demonstrate that </w:t>
      </w:r>
      <w:r w:rsidR="00791C7D" w:rsidRPr="00791C7D">
        <w:rPr>
          <w:rFonts w:ascii="Times New Roman" w:hAnsi="Times New Roman" w:cs="Times New Roman"/>
          <w:sz w:val="24"/>
          <w:szCs w:val="24"/>
        </w:rPr>
        <w:t>host countries of emissions reduction activities agree to account for any offset units issued as a result of those activities</w:t>
      </w:r>
      <w:r w:rsidR="00791C7D" w:rsidRPr="00791C7D" w:rsidDel="00791C7D">
        <w:rPr>
          <w:rFonts w:ascii="Times New Roman" w:hAnsi="Times New Roman" w:cs="Times New Roman"/>
          <w:sz w:val="24"/>
          <w:szCs w:val="24"/>
        </w:rPr>
        <w:t xml:space="preserve"> </w:t>
      </w:r>
      <w:r w:rsidRPr="000F7DAE">
        <w:rPr>
          <w:rFonts w:ascii="Times New Roman" w:hAnsi="Times New Roman" w:cs="Times New Roman"/>
          <w:sz w:val="24"/>
          <w:szCs w:val="24"/>
        </w:rPr>
        <w:t xml:space="preserve">such that double claiming does not occur between the airline and the host country of the emissions reduction activity. </w:t>
      </w:r>
    </w:p>
    <w:p w14:paraId="225A49F8" w14:textId="77777777" w:rsidR="00753285" w:rsidRPr="001C4C46" w:rsidRDefault="00906AD9" w:rsidP="008D4CB7">
      <w:pPr>
        <w:pStyle w:val="Body"/>
        <w:numPr>
          <w:ilvl w:val="2"/>
          <w:numId w:val="1"/>
        </w:numPr>
        <w:spacing w:after="16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Guidelines for </w:t>
      </w:r>
      <w:r w:rsidR="000F7DAE" w:rsidRPr="000F7DAE">
        <w:rPr>
          <w:rFonts w:ascii="Times New Roman" w:hAnsi="Times New Roman" w:cs="Times New Roman"/>
          <w:sz w:val="24"/>
          <w:szCs w:val="24"/>
          <w:u w:val="single"/>
        </w:rPr>
        <w:t xml:space="preserve">interpretation </w:t>
      </w:r>
      <w:r w:rsidR="00C05A72" w:rsidRPr="00B343BC">
        <w:rPr>
          <w:u w:val="single"/>
        </w:rPr>
        <w:t xml:space="preserve">of the </w:t>
      </w:r>
      <w:r w:rsidR="00C05A72" w:rsidRPr="00487B9D">
        <w:rPr>
          <w:u w:val="single"/>
        </w:rPr>
        <w:t>“</w:t>
      </w:r>
      <w:r w:rsidR="00C05A72" w:rsidRPr="001C4C46">
        <w:rPr>
          <w:rFonts w:ascii="Times New Roman" w:hAnsi="Times New Roman" w:cs="Times New Roman"/>
          <w:sz w:val="24"/>
          <w:szCs w:val="24"/>
          <w:u w:val="single"/>
        </w:rPr>
        <w:t xml:space="preserve">Only counted once towards a mitigation obligation” </w:t>
      </w:r>
      <w:r w:rsidR="00C05A72">
        <w:rPr>
          <w:rFonts w:ascii="Times New Roman" w:hAnsi="Times New Roman" w:cs="Times New Roman"/>
          <w:sz w:val="24"/>
          <w:szCs w:val="24"/>
          <w:u w:val="single"/>
        </w:rPr>
        <w:t>criterion</w:t>
      </w:r>
    </w:p>
    <w:p w14:paraId="7CD47D3E"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Double-issuance</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for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and/or registry administrator monitoring of </w:t>
      </w:r>
      <w:proofErr w:type="spellStart"/>
      <w:r w:rsidR="00842F6C">
        <w:rPr>
          <w:rFonts w:ascii="Times New Roman" w:hAnsi="Times New Roman" w:cs="Times New Roman"/>
          <w:sz w:val="24"/>
          <w:szCs w:val="24"/>
        </w:rPr>
        <w:t>programme</w:t>
      </w:r>
      <w:proofErr w:type="spellEnd"/>
      <w:r w:rsidRPr="000F7DAE">
        <w:rPr>
          <w:rFonts w:ascii="Times New Roman" w:hAnsi="Times New Roman" w:cs="Times New Roman"/>
          <w:sz w:val="24"/>
          <w:szCs w:val="24"/>
        </w:rPr>
        <w:t xml:space="preserve"> </w:t>
      </w:r>
      <w:proofErr w:type="gramStart"/>
      <w:r w:rsidRPr="000F7DAE">
        <w:rPr>
          <w:rFonts w:ascii="Times New Roman" w:hAnsi="Times New Roman" w:cs="Times New Roman"/>
          <w:sz w:val="24"/>
          <w:szCs w:val="24"/>
        </w:rPr>
        <w:t>registry(</w:t>
      </w:r>
      <w:proofErr w:type="spellStart"/>
      <w:proofErr w:type="gramEnd"/>
      <w:r w:rsidRPr="000F7DAE">
        <w:rPr>
          <w:rFonts w:ascii="Times New Roman" w:hAnsi="Times New Roman" w:cs="Times New Roman"/>
          <w:sz w:val="24"/>
          <w:szCs w:val="24"/>
        </w:rPr>
        <w:t>ies</w:t>
      </w:r>
      <w:proofErr w:type="spellEnd"/>
      <w:r w:rsidRPr="000F7DAE">
        <w:rPr>
          <w:rFonts w:ascii="Times New Roman" w:hAnsi="Times New Roman" w:cs="Times New Roman"/>
          <w:sz w:val="24"/>
          <w:szCs w:val="24"/>
        </w:rPr>
        <w:t xml:space="preserve">) to ensure the transparent transfer of units between registries; and that only one unit is issued for one </w:t>
      </w:r>
      <w:proofErr w:type="spellStart"/>
      <w:r w:rsidRPr="000F7DAE">
        <w:rPr>
          <w:rFonts w:ascii="Times New Roman" w:hAnsi="Times New Roman" w:cs="Times New Roman"/>
          <w:sz w:val="24"/>
          <w:szCs w:val="24"/>
        </w:rPr>
        <w:t>tonne</w:t>
      </w:r>
      <w:proofErr w:type="spellEnd"/>
      <w:r w:rsidRPr="000F7DAE">
        <w:rPr>
          <w:rFonts w:ascii="Times New Roman" w:hAnsi="Times New Roman" w:cs="Times New Roman"/>
          <w:sz w:val="24"/>
          <w:szCs w:val="24"/>
        </w:rPr>
        <w:t xml:space="preserve"> of mitigation. </w:t>
      </w:r>
    </w:p>
    <w:p w14:paraId="7ED59EAB"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Double-use</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for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and/or registry administrator monitoring of </w:t>
      </w:r>
      <w:proofErr w:type="spellStart"/>
      <w:r w:rsidR="00842F6C">
        <w:rPr>
          <w:rFonts w:ascii="Times New Roman" w:hAnsi="Times New Roman" w:cs="Times New Roman"/>
          <w:sz w:val="24"/>
          <w:szCs w:val="24"/>
        </w:rPr>
        <w:t>programme</w:t>
      </w:r>
      <w:proofErr w:type="spellEnd"/>
      <w:r w:rsidRPr="000F7DAE">
        <w:rPr>
          <w:rFonts w:ascii="Times New Roman" w:hAnsi="Times New Roman" w:cs="Times New Roman"/>
          <w:sz w:val="24"/>
          <w:szCs w:val="24"/>
        </w:rPr>
        <w:t xml:space="preserve"> </w:t>
      </w:r>
      <w:proofErr w:type="gramStart"/>
      <w:r w:rsidRPr="000F7DAE">
        <w:rPr>
          <w:rFonts w:ascii="Times New Roman" w:hAnsi="Times New Roman" w:cs="Times New Roman"/>
          <w:sz w:val="24"/>
          <w:szCs w:val="24"/>
        </w:rPr>
        <w:t>registry(</w:t>
      </w:r>
      <w:proofErr w:type="spellStart"/>
      <w:proofErr w:type="gramEnd"/>
      <w:r w:rsidRPr="000F7DAE">
        <w:rPr>
          <w:rFonts w:ascii="Times New Roman" w:hAnsi="Times New Roman" w:cs="Times New Roman"/>
          <w:sz w:val="24"/>
          <w:szCs w:val="24"/>
        </w:rPr>
        <w:t>ies</w:t>
      </w:r>
      <w:proofErr w:type="spellEnd"/>
      <w:r w:rsidRPr="000F7DAE">
        <w:rPr>
          <w:rFonts w:ascii="Times New Roman" w:hAnsi="Times New Roman" w:cs="Times New Roman"/>
          <w:sz w:val="24"/>
          <w:szCs w:val="24"/>
        </w:rPr>
        <w:t xml:space="preserve">) to ensure that one unit is issued or transferred to, or owned or cancelled by, only one entity at any given time. </w:t>
      </w:r>
    </w:p>
    <w:p w14:paraId="6434FCBB"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lastRenderedPageBreak/>
        <w:t>Double-selling</w:t>
      </w:r>
      <w:r w:rsidRPr="000F7DAE">
        <w:rPr>
          <w:rFonts w:ascii="Times New Roman" w:hAnsi="Times New Roman" w:cs="Times New Roman"/>
          <w:sz w:val="24"/>
          <w:szCs w:val="24"/>
        </w:rPr>
        <w:t xml:space="preserv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should have procedures in place to discourage and prohibit the double-selling of units. Double selling occurs when one or more entities sell the same unit more than once. </w:t>
      </w:r>
    </w:p>
    <w:p w14:paraId="5FD08074"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Host country attestation to the avoidance of double-claiming</w:t>
      </w:r>
      <w:r w:rsidRPr="000F7DAE">
        <w:rPr>
          <w:rFonts w:ascii="Times New Roman" w:hAnsi="Times New Roman" w:cs="Times New Roman"/>
          <w:sz w:val="24"/>
          <w:szCs w:val="24"/>
        </w:rPr>
        <w:t xml:space="preserve">: Only emissions units originating in countries that have attested to their intention to properly account for the use of the units toward offsetting obligations under the CORSIA, as specified in paragraph (and sub-paragraphs of) </w:t>
      </w:r>
      <w:r w:rsidR="001F02B5" w:rsidRPr="00217CEB">
        <w:rPr>
          <w:rFonts w:ascii="Times New Roman" w:hAnsi="Times New Roman" w:cs="Times New Roman"/>
          <w:sz w:val="24"/>
          <w:szCs w:val="24"/>
        </w:rPr>
        <w:t>3.7.9</w:t>
      </w:r>
      <w:r w:rsidRPr="000F7DAE">
        <w:rPr>
          <w:rFonts w:ascii="Times New Roman" w:hAnsi="Times New Roman" w:cs="Times New Roman"/>
          <w:sz w:val="24"/>
          <w:szCs w:val="24"/>
        </w:rPr>
        <w:t xml:space="preserve">, should be eligible for use in the CORSIA.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obtain, or require activity proponents to obtain and provide to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written attestation from the host country’s national focal </w:t>
      </w:r>
      <w:r w:rsidR="00906AD9">
        <w:rPr>
          <w:rFonts w:ascii="Times New Roman" w:hAnsi="Times New Roman" w:cs="Times New Roman"/>
          <w:sz w:val="24"/>
          <w:szCs w:val="24"/>
        </w:rPr>
        <w:t>point or focal point’s designee</w:t>
      </w:r>
      <w:r w:rsidRPr="000F7DAE">
        <w:rPr>
          <w:rFonts w:ascii="Times New Roman" w:hAnsi="Times New Roman" w:cs="Times New Roman"/>
          <w:sz w:val="24"/>
          <w:szCs w:val="24"/>
        </w:rPr>
        <w:t>.</w:t>
      </w:r>
      <w:r w:rsidR="00C05A72" w:rsidRPr="00C05A72">
        <w:rPr>
          <w:rStyle w:val="FootnoteReference"/>
          <w:rFonts w:ascii="Times New Roman" w:hAnsi="Times New Roman" w:cs="Times New Roman"/>
          <w:sz w:val="24"/>
          <w:szCs w:val="24"/>
        </w:rPr>
        <w:t xml:space="preserve"> </w:t>
      </w:r>
      <w:r w:rsidR="00C05A72">
        <w:rPr>
          <w:rStyle w:val="FootnoteReference"/>
          <w:rFonts w:ascii="Times New Roman" w:hAnsi="Times New Roman" w:cs="Times New Roman"/>
          <w:sz w:val="24"/>
          <w:szCs w:val="24"/>
        </w:rPr>
        <w:footnoteReference w:id="7"/>
      </w:r>
      <w:r w:rsidRPr="000F7DAE">
        <w:rPr>
          <w:rFonts w:ascii="Times New Roman" w:hAnsi="Times New Roman" w:cs="Times New Roman"/>
          <w:sz w:val="24"/>
          <w:szCs w:val="24"/>
        </w:rPr>
        <w:t xml:space="preserve"> The attestation should specify, and describe any steps taken, to prevent mitigation associated with units used by operators under CORSIA from also being claimed toward a host country’s national mitigation target(s) / pledge(s). Host country attestations should be obtained and made publicly available prior to the use of units from the host country in the CORSIA. </w:t>
      </w:r>
    </w:p>
    <w:p w14:paraId="1AAE8329"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Double-claiming procedures</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requiring that activities take approach(es) described in these sub-paragraphs to prevent double-claiming, which attestations should confirm: </w:t>
      </w:r>
    </w:p>
    <w:p w14:paraId="33EA7E6F" w14:textId="77777777" w:rsidR="00753285" w:rsidRPr="000F7DAE" w:rsidRDefault="000F7DAE" w:rsidP="008D4CB7">
      <w:pPr>
        <w:pStyle w:val="Body"/>
        <w:numPr>
          <w:ilvl w:val="3"/>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Emissions units are created where mitigation is not also counted toward national target(s) / pledge(s) / mitigation contributions / mitigation commitments. </w:t>
      </w:r>
    </w:p>
    <w:p w14:paraId="46012730" w14:textId="77777777" w:rsidR="00753285" w:rsidRPr="000F7DAE" w:rsidRDefault="000F7DAE" w:rsidP="008D4CB7">
      <w:pPr>
        <w:pStyle w:val="Body"/>
        <w:numPr>
          <w:ilvl w:val="3"/>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Mitigation from emissions units used by operators under the CORSIA is appropriately accounted for by the host country when claiming achievement of its target(s) / pledges(s) / mitigation contributions / mitigation commitments, in line with the relevant and applicable international provisions. </w:t>
      </w:r>
    </w:p>
    <w:p w14:paraId="3549457D" w14:textId="77777777" w:rsidR="00753285" w:rsidRPr="000F7DAE" w:rsidRDefault="000F7DAE" w:rsidP="008D4CB7">
      <w:pPr>
        <w:pStyle w:val="Body"/>
        <w:numPr>
          <w:ilvl w:val="3"/>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lastRenderedPageBreak/>
        <w:t xml:space="preserve">If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procedures provide for the use of method(s) to avoid double-claiming which are not listed above, the GMTF, or other appropriate technical expert body, should evaluate and make a recommendation regarding the sufficiency of the approach prior to any final determination of the </w:t>
      </w:r>
      <w:r w:rsidR="00842F6C">
        <w:rPr>
          <w:rFonts w:ascii="Times New Roman" w:hAnsi="Times New Roman" w:cs="Times New Roman"/>
          <w:sz w:val="24"/>
          <w:szCs w:val="24"/>
        </w:rPr>
        <w:t>programme</w:t>
      </w:r>
      <w:r w:rsidRPr="000F7DAE">
        <w:rPr>
          <w:rFonts w:ascii="Times New Roman" w:hAnsi="Times New Roman" w:cs="Times New Roman"/>
          <w:sz w:val="24"/>
          <w:szCs w:val="24"/>
        </w:rPr>
        <w:t>’</w:t>
      </w:r>
      <w:r w:rsidRPr="000F7DAE">
        <w:rPr>
          <w:rFonts w:ascii="Times New Roman" w:hAnsi="Times New Roman" w:cs="Times New Roman"/>
          <w:sz w:val="24"/>
          <w:szCs w:val="24"/>
          <w:lang w:val="it-IT"/>
        </w:rPr>
        <w:t xml:space="preserve">s eligibility. </w:t>
      </w:r>
    </w:p>
    <w:p w14:paraId="56FB9936"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Transparent communications</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make publicly available any national government decisions related to accounting for units used in ICAO, including the contents of host country attestations described in </w:t>
      </w:r>
      <w:r w:rsidRPr="00CA1E74">
        <w:rPr>
          <w:rFonts w:ascii="Times New Roman" w:hAnsi="Times New Roman" w:cs="Times New Roman"/>
          <w:sz w:val="24"/>
          <w:szCs w:val="24"/>
        </w:rPr>
        <w:t xml:space="preserve">paragraph </w:t>
      </w:r>
      <w:r w:rsidR="001F02B5" w:rsidRPr="00217CEB">
        <w:rPr>
          <w:rFonts w:ascii="Times New Roman" w:hAnsi="Times New Roman" w:cs="Times New Roman"/>
          <w:sz w:val="24"/>
          <w:szCs w:val="24"/>
        </w:rPr>
        <w:t>3.7.8</w:t>
      </w:r>
      <w:r w:rsidRPr="000F7DAE">
        <w:rPr>
          <w:rFonts w:ascii="Times New Roman" w:hAnsi="Times New Roman" w:cs="Times New Roman"/>
          <w:sz w:val="24"/>
          <w:szCs w:val="24"/>
        </w:rPr>
        <w:t xml:space="preserve">; and update information pertaining to host country attestation as often as necessary to avoid double-claiming. </w:t>
      </w:r>
    </w:p>
    <w:p w14:paraId="0D318D6E"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Comparing unit use against national reporting</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to compare countries’ accounting for emissions units in national emissions reports against the volumes of eligible units issued by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and used under the CORSIA which the host country’s national reporting focal point or designee otherwise attested to its intention to not double-claim. </w:t>
      </w:r>
    </w:p>
    <w:p w14:paraId="410B5C26" w14:textId="77777777" w:rsidR="00753285" w:rsidRPr="000F7DAE" w:rsidRDefault="00842F6C" w:rsidP="008D4CB7">
      <w:pPr>
        <w:pStyle w:val="Body"/>
        <w:numPr>
          <w:ilvl w:val="2"/>
          <w:numId w:val="1"/>
        </w:numPr>
        <w:spacing w:after="160"/>
        <w:jc w:val="both"/>
        <w:rPr>
          <w:rFonts w:ascii="Times New Roman" w:eastAsia="Helvetica Neue Thin" w:hAnsi="Times New Roman" w:cs="Times New Roman"/>
          <w:sz w:val="24"/>
          <w:szCs w:val="24"/>
        </w:rPr>
      </w:pPr>
      <w:r>
        <w:rPr>
          <w:rFonts w:ascii="Times New Roman" w:hAnsi="Times New Roman" w:cs="Times New Roman"/>
          <w:i/>
          <w:sz w:val="24"/>
          <w:szCs w:val="24"/>
        </w:rPr>
        <w:t>Programme</w:t>
      </w:r>
      <w:r w:rsidR="000F7DAE" w:rsidRPr="000F7DAE">
        <w:rPr>
          <w:rFonts w:ascii="Times New Roman" w:hAnsi="Times New Roman" w:cs="Times New Roman"/>
          <w:i/>
          <w:sz w:val="24"/>
          <w:szCs w:val="24"/>
        </w:rPr>
        <w:t xml:space="preserve"> reporting on performance</w:t>
      </w:r>
      <w:r w:rsidR="000F7DAE" w:rsidRPr="000F7DAE">
        <w:rPr>
          <w:rFonts w:ascii="Times New Roman" w:hAnsi="Times New Roman" w:cs="Times New Roman"/>
          <w:sz w:val="24"/>
          <w:szCs w:val="24"/>
        </w:rPr>
        <w:t xml:space="preserve">: The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should be prepared to report to ICAO’s relevant bodies, as requested, performance information related to, inter alia, any material instances of and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responses to country-level double-claiming; the nature of, and any changes to, the number, scale, and/or scope of host country attestations; any relevant changes to related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measures. </w:t>
      </w:r>
    </w:p>
    <w:p w14:paraId="6BDAF791"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Reconciliation of double-claimed mitigation</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for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or proponents of the activities it supports, to compensate for, replace, or otherwise reconcile double-claimed mitigation associated with units used under the CORSIA which the host country’s national accounting focal point or designee otherwise attested to its intention to not double-claim. </w:t>
      </w:r>
    </w:p>
    <w:p w14:paraId="4A5866BE" w14:textId="77777777" w:rsidR="00753285" w:rsidRPr="000F7DAE" w:rsidRDefault="00AB575F" w:rsidP="008D4CB7">
      <w:pPr>
        <w:pStyle w:val="Body"/>
        <w:numPr>
          <w:ilvl w:val="1"/>
          <w:numId w:val="1"/>
        </w:numPr>
        <w:spacing w:after="160"/>
        <w:jc w:val="both"/>
        <w:rPr>
          <w:rFonts w:ascii="Times New Roman" w:hAnsi="Times New Roman" w:cs="Times New Roman"/>
          <w:sz w:val="24"/>
          <w:szCs w:val="24"/>
        </w:rPr>
      </w:pPr>
      <w:r>
        <w:rPr>
          <w:rFonts w:ascii="Times New Roman" w:hAnsi="Times New Roman" w:cs="Times New Roman"/>
          <w:i/>
          <w:iCs/>
          <w:sz w:val="24"/>
          <w:szCs w:val="24"/>
        </w:rPr>
        <w:lastRenderedPageBreak/>
        <w:t xml:space="preserve">Eligibility </w:t>
      </w:r>
      <w:r w:rsidR="000F7DAE" w:rsidRPr="000F7DAE">
        <w:rPr>
          <w:rFonts w:ascii="Times New Roman" w:hAnsi="Times New Roman" w:cs="Times New Roman"/>
          <w:i/>
          <w:iCs/>
          <w:sz w:val="24"/>
          <w:szCs w:val="24"/>
        </w:rPr>
        <w:t>Criterion</w:t>
      </w:r>
      <w:r w:rsidR="000F7DAE" w:rsidRPr="000F7DAE">
        <w:rPr>
          <w:rFonts w:ascii="Times New Roman" w:hAnsi="Times New Roman" w:cs="Times New Roman"/>
          <w:sz w:val="24"/>
          <w:szCs w:val="24"/>
        </w:rPr>
        <w:t xml:space="preserve">: </w:t>
      </w:r>
      <w:r w:rsidR="000F7DAE" w:rsidRPr="00CA0CFE">
        <w:rPr>
          <w:rFonts w:ascii="Times New Roman" w:hAnsi="Times New Roman" w:cs="Times New Roman"/>
          <w:sz w:val="24"/>
          <w:szCs w:val="24"/>
          <w:u w:val="single"/>
        </w:rPr>
        <w:t xml:space="preserve">Carbon offset credits </w:t>
      </w:r>
      <w:r w:rsidR="00CA0CFE" w:rsidRPr="00CA0CFE">
        <w:rPr>
          <w:rFonts w:ascii="Times New Roman" w:hAnsi="Times New Roman" w:cs="Times New Roman"/>
          <w:sz w:val="24"/>
          <w:szCs w:val="24"/>
          <w:u w:val="single"/>
        </w:rPr>
        <w:t>must</w:t>
      </w:r>
      <w:r w:rsidR="000F7DAE" w:rsidRPr="00CA0CFE">
        <w:rPr>
          <w:rFonts w:ascii="Times New Roman" w:hAnsi="Times New Roman" w:cs="Times New Roman"/>
          <w:sz w:val="24"/>
          <w:szCs w:val="24"/>
          <w:u w:val="single"/>
        </w:rPr>
        <w:t xml:space="preserve"> represent emissions reductions, avoidance, or carbon sequestration from projects</w:t>
      </w:r>
      <w:r w:rsidR="00CA0CFE" w:rsidRPr="00CA0CFE">
        <w:rPr>
          <w:rFonts w:ascii="Times New Roman" w:hAnsi="Times New Roman" w:cs="Times New Roman"/>
          <w:sz w:val="24"/>
          <w:szCs w:val="24"/>
          <w:u w:val="single"/>
        </w:rPr>
        <w:t xml:space="preserve"> that do no net harm</w:t>
      </w:r>
      <w:r w:rsidR="00CA0CFE">
        <w:rPr>
          <w:rFonts w:ascii="Times New Roman" w:hAnsi="Times New Roman" w:cs="Times New Roman"/>
          <w:sz w:val="24"/>
          <w:szCs w:val="24"/>
        </w:rPr>
        <w:t>—O</w:t>
      </w:r>
      <w:r w:rsidR="000F7DAE" w:rsidRPr="000F7DAE">
        <w:rPr>
          <w:rFonts w:ascii="Times New Roman" w:hAnsi="Times New Roman" w:cs="Times New Roman"/>
          <w:sz w:val="24"/>
          <w:szCs w:val="24"/>
        </w:rPr>
        <w:t xml:space="preserve">ffset projects should not violate local, State/provincial, national or international regulations or obligations. Offset </w:t>
      </w:r>
      <w:r w:rsidR="00842F6C">
        <w:rPr>
          <w:rFonts w:ascii="Times New Roman" w:hAnsi="Times New Roman" w:cs="Times New Roman"/>
          <w:sz w:val="24"/>
          <w:szCs w:val="24"/>
        </w:rPr>
        <w:t>programme</w:t>
      </w:r>
      <w:r w:rsidR="000F7DAE" w:rsidRPr="000F7DAE">
        <w:rPr>
          <w:rFonts w:ascii="Times New Roman" w:hAnsi="Times New Roman" w:cs="Times New Roman"/>
          <w:sz w:val="24"/>
          <w:szCs w:val="24"/>
        </w:rPr>
        <w:t>s should show how they comply with social and environmental safeguards and should publicly disclose which institutions, processes, and procedures are used to implement, monitor, and enforce safeguards to identify, assess and manage environmental and social risks.</w:t>
      </w:r>
    </w:p>
    <w:sectPr w:rsidR="00753285" w:rsidRPr="000F7DAE">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9F6C7" w14:textId="77777777" w:rsidR="009D628F" w:rsidRDefault="009D628F">
      <w:r>
        <w:separator/>
      </w:r>
    </w:p>
  </w:endnote>
  <w:endnote w:type="continuationSeparator" w:id="0">
    <w:p w14:paraId="6D60E940" w14:textId="77777777" w:rsidR="009D628F" w:rsidRDefault="009D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Helvetica Neue Thi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40005"/>
      <w:docPartObj>
        <w:docPartGallery w:val="Page Numbers (Bottom of Page)"/>
        <w:docPartUnique/>
      </w:docPartObj>
    </w:sdtPr>
    <w:sdtEndPr>
      <w:rPr>
        <w:noProof/>
      </w:rPr>
    </w:sdtEndPr>
    <w:sdtContent>
      <w:p w14:paraId="76FC720D" w14:textId="212CA96A" w:rsidR="001C25AF" w:rsidRDefault="001C25AF">
        <w:pPr>
          <w:pStyle w:val="Footer"/>
          <w:jc w:val="right"/>
        </w:pPr>
        <w:r>
          <w:fldChar w:fldCharType="begin"/>
        </w:r>
        <w:r>
          <w:instrText xml:space="preserve"> PAGE   \* MERGEFORMAT </w:instrText>
        </w:r>
        <w:r>
          <w:fldChar w:fldCharType="separate"/>
        </w:r>
        <w:r w:rsidR="002A0909">
          <w:rPr>
            <w:noProof/>
          </w:rPr>
          <w:t>10</w:t>
        </w:r>
        <w:r>
          <w:rPr>
            <w:noProof/>
          </w:rPr>
          <w:fldChar w:fldCharType="end"/>
        </w:r>
      </w:p>
    </w:sdtContent>
  </w:sdt>
  <w:p w14:paraId="4DB05EB9" w14:textId="77777777" w:rsidR="001C25AF" w:rsidRDefault="001C2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ABBD3" w14:textId="77777777" w:rsidR="009D628F" w:rsidRDefault="009D628F">
      <w:r>
        <w:separator/>
      </w:r>
    </w:p>
  </w:footnote>
  <w:footnote w:type="continuationSeparator" w:id="0">
    <w:p w14:paraId="2619C664" w14:textId="77777777" w:rsidR="009D628F" w:rsidRDefault="009D628F">
      <w:r>
        <w:continuationSeparator/>
      </w:r>
    </w:p>
  </w:footnote>
  <w:footnote w:id="1">
    <w:p w14:paraId="13FD22FE" w14:textId="77777777" w:rsidR="006F6001" w:rsidRDefault="006F6001">
      <w:pPr>
        <w:pStyle w:val="FootnoteText"/>
      </w:pPr>
      <w:r>
        <w:rPr>
          <w:rStyle w:val="FootnoteReference"/>
        </w:rPr>
        <w:footnoteRef/>
      </w:r>
      <w:r>
        <w:t xml:space="preserve"> “Emissions Unit Programme”, for the purposes of TAB’s assessment, refers to an organization that</w:t>
      </w:r>
      <w:r w:rsidRPr="00232DD0">
        <w:t xml:space="preserve"> administers standards and procedures for developing activities that generate offsets, and for verifying and “issuing” offsets created by those activities.</w:t>
      </w:r>
      <w:r>
        <w:t xml:space="preserve"> For more information, please review </w:t>
      </w:r>
      <w:r w:rsidRPr="0040606B">
        <w:t>the TAB FAQs</w:t>
      </w:r>
      <w:r>
        <w:t xml:space="preserve">: </w:t>
      </w:r>
      <w:hyperlink r:id="rId1" w:history="1">
        <w:r w:rsidRPr="005E6F56">
          <w:rPr>
            <w:rFonts w:eastAsiaTheme="minorHAnsi"/>
            <w:color w:val="0000FF"/>
            <w:u w:val="single"/>
            <w:bdr w:val="none" w:sz="0" w:space="0" w:color="auto"/>
          </w:rPr>
          <w:t>https://www.icao.int/environmental-protection/CORSIA/Pages/TAB.aspx</w:t>
        </w:r>
      </w:hyperlink>
    </w:p>
  </w:footnote>
  <w:footnote w:id="2">
    <w:p w14:paraId="71341F3F" w14:textId="77777777" w:rsidR="006F6001" w:rsidRDefault="006F6001">
      <w:pPr>
        <w:pStyle w:val="FootnoteText"/>
      </w:pPr>
      <w:r>
        <w:rPr>
          <w:rStyle w:val="FootnoteReference"/>
        </w:rPr>
        <w:footnoteRef/>
      </w:r>
      <w:r>
        <w:t xml:space="preserve"> </w:t>
      </w:r>
      <w:r w:rsidR="00A05D3D">
        <w:t xml:space="preserve">Available on the ICAO CORSIA website: </w:t>
      </w:r>
      <w:hyperlink r:id="rId2" w:history="1">
        <w:r w:rsidRPr="005E6F56">
          <w:rPr>
            <w:rStyle w:val="Hyperlink"/>
            <w:color w:val="0000FF"/>
          </w:rPr>
          <w:t>https://www.icao.int/environmental-protection/CORSIA/Pages/TAB.aspx</w:t>
        </w:r>
      </w:hyperlink>
    </w:p>
  </w:footnote>
  <w:footnote w:id="3">
    <w:p w14:paraId="3D17BE4D" w14:textId="6A8F339F" w:rsidR="00AD0D06" w:rsidRDefault="00AD0D06" w:rsidP="002A0909">
      <w:pPr>
        <w:pStyle w:val="FootnoteText"/>
      </w:pPr>
      <w:r>
        <w:rPr>
          <w:rStyle w:val="FootnoteReference"/>
        </w:rPr>
        <w:footnoteRef/>
      </w:r>
      <w:r>
        <w:t xml:space="preserve"> For further information on how TAB interprets the EUC in light of the </w:t>
      </w:r>
      <w:r>
        <w:rPr>
          <w:i/>
          <w:iCs/>
        </w:rPr>
        <w:t>Guidelines</w:t>
      </w:r>
      <w:r>
        <w:t>, refer to the document Clarifications of TAB’s Criteria Interpretations Contained in TAB Repor</w:t>
      </w:r>
      <w:bookmarkStart w:id="0" w:name="_GoBack"/>
      <w:bookmarkEnd w:id="0"/>
      <w:r>
        <w:t xml:space="preserve">ts available on the ICAO TAB website: </w:t>
      </w:r>
      <w:r w:rsidR="002A0909" w:rsidRPr="002A0909">
        <w:t>https://www.icao.int/environmental-protection/CORSIA/Documents/TAB/TAB%202022/Clarifications_TABs_Criteria_Interpretations.pdf</w:t>
      </w:r>
    </w:p>
  </w:footnote>
  <w:footnote w:id="4">
    <w:p w14:paraId="779F9DD5" w14:textId="77777777" w:rsidR="006F6001" w:rsidRDefault="006F6001">
      <w:pPr>
        <w:pStyle w:val="FootnoteText"/>
      </w:pPr>
      <w:r>
        <w:rPr>
          <w:rStyle w:val="FootnoteReference"/>
        </w:rPr>
        <w:footnoteRef/>
      </w:r>
      <w:r>
        <w:t xml:space="preserve"> </w:t>
      </w:r>
      <w:r w:rsidRPr="00906AD9">
        <w:t xml:space="preserve">E.g., </w:t>
      </w:r>
      <w:r>
        <w:t>Programme</w:t>
      </w:r>
      <w:r w:rsidRPr="00906AD9">
        <w:t xml:space="preserve"> registry requirements for internal or third-party registry administration</w:t>
      </w:r>
      <w:r>
        <w:t>.</w:t>
      </w:r>
    </w:p>
  </w:footnote>
  <w:footnote w:id="5">
    <w:p w14:paraId="4176EE96" w14:textId="77777777" w:rsidR="006F6001" w:rsidRDefault="006F6001" w:rsidP="00C41448">
      <w:pPr>
        <w:pStyle w:val="FootnoteText"/>
      </w:pPr>
      <w:r>
        <w:rPr>
          <w:rStyle w:val="FootnoteReference"/>
        </w:rPr>
        <w:footnoteRef/>
      </w:r>
      <w:r>
        <w:t xml:space="preserve"> </w:t>
      </w:r>
      <w:r w:rsidRPr="00906AD9">
        <w:t>Fees-for-service</w:t>
      </w:r>
      <w:r w:rsidRPr="00AC350C">
        <w:t xml:space="preserve"> (e.g., account administration fees)</w:t>
      </w:r>
      <w:r w:rsidRPr="00906AD9">
        <w:t xml:space="preserve"> do not constitute a conflict of interest.</w:t>
      </w:r>
    </w:p>
  </w:footnote>
  <w:footnote w:id="6">
    <w:p w14:paraId="0AABD43A" w14:textId="77777777" w:rsidR="006F6001" w:rsidRDefault="006F6001" w:rsidP="0096306E">
      <w:pPr>
        <w:pStyle w:val="FootnoteText"/>
      </w:pPr>
      <w:r>
        <w:rPr>
          <w:rStyle w:val="FootnoteReference"/>
        </w:rPr>
        <w:footnoteRef/>
      </w:r>
      <w:r>
        <w:t xml:space="preserve"> </w:t>
      </w:r>
      <w:r w:rsidRPr="00906AD9">
        <w:t>Fees-for-service</w:t>
      </w:r>
      <w:r>
        <w:t xml:space="preserve"> </w:t>
      </w:r>
      <w:r>
        <w:rPr>
          <w:sz w:val="18"/>
          <w:szCs w:val="18"/>
        </w:rPr>
        <w:t>(e.g., account administration fees)</w:t>
      </w:r>
      <w:r w:rsidRPr="00906AD9">
        <w:t xml:space="preserve"> do not constitute a conflict of interest.</w:t>
      </w:r>
    </w:p>
  </w:footnote>
  <w:footnote w:id="7">
    <w:p w14:paraId="7CF95F7A" w14:textId="77777777" w:rsidR="006F6001" w:rsidRDefault="006F6001" w:rsidP="00C05A72">
      <w:pPr>
        <w:pStyle w:val="FootnoteText"/>
      </w:pPr>
      <w:r>
        <w:rPr>
          <w:rStyle w:val="FootnoteReference"/>
        </w:rPr>
        <w:footnoteRef/>
      </w:r>
      <w:r>
        <w:t xml:space="preserve"> </w:t>
      </w:r>
      <w:r w:rsidRPr="00906AD9">
        <w:t>Agency responsible for a host country’s national emissions inventory reporting (“National Focal Point”); including under the Paris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2897D" w14:textId="77777777" w:rsidR="006F6001" w:rsidRDefault="006F6001" w:rsidP="00DE74B7">
    <w:pPr>
      <w:pStyle w:val="HeaderFooter"/>
      <w:tabs>
        <w:tab w:val="clear" w:pos="9020"/>
        <w:tab w:val="center" w:pos="4680"/>
        <w:tab w:val="left" w:pos="5040"/>
        <w:tab w:val="left" w:pos="5760"/>
        <w:tab w:val="left" w:pos="6480"/>
        <w:tab w:val="left" w:pos="7200"/>
        <w:tab w:val="left" w:pos="79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5116"/>
    <w:multiLevelType w:val="multilevel"/>
    <w:tmpl w:val="1DCA2F5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16F7D97"/>
    <w:multiLevelType w:val="multilevel"/>
    <w:tmpl w:val="DA84AA16"/>
    <w:lvl w:ilvl="0">
      <w:start w:val="1"/>
      <w:numFmt w:val="decimal"/>
      <w:pStyle w:val="MainHead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85"/>
    <w:rsid w:val="00024EB6"/>
    <w:rsid w:val="00035BA9"/>
    <w:rsid w:val="00040E22"/>
    <w:rsid w:val="00043354"/>
    <w:rsid w:val="0008705F"/>
    <w:rsid w:val="000B6896"/>
    <w:rsid w:val="000C0CD4"/>
    <w:rsid w:val="000F6BCE"/>
    <w:rsid w:val="000F7DAE"/>
    <w:rsid w:val="00124A9F"/>
    <w:rsid w:val="001268E8"/>
    <w:rsid w:val="00130C1A"/>
    <w:rsid w:val="00147B3B"/>
    <w:rsid w:val="00160A12"/>
    <w:rsid w:val="0016480B"/>
    <w:rsid w:val="00176EEC"/>
    <w:rsid w:val="001A4AA8"/>
    <w:rsid w:val="001B1345"/>
    <w:rsid w:val="001C25AF"/>
    <w:rsid w:val="001C4C46"/>
    <w:rsid w:val="001D1229"/>
    <w:rsid w:val="001D56D4"/>
    <w:rsid w:val="001F02B5"/>
    <w:rsid w:val="001F05D1"/>
    <w:rsid w:val="001F2CBE"/>
    <w:rsid w:val="00217CEB"/>
    <w:rsid w:val="00226424"/>
    <w:rsid w:val="00273FAD"/>
    <w:rsid w:val="0028057D"/>
    <w:rsid w:val="00292F05"/>
    <w:rsid w:val="002A0909"/>
    <w:rsid w:val="002C3AE5"/>
    <w:rsid w:val="002D5C95"/>
    <w:rsid w:val="002D7F47"/>
    <w:rsid w:val="002E0BDA"/>
    <w:rsid w:val="003071DF"/>
    <w:rsid w:val="00312B83"/>
    <w:rsid w:val="0033015C"/>
    <w:rsid w:val="00387C1B"/>
    <w:rsid w:val="003A7436"/>
    <w:rsid w:val="0040606B"/>
    <w:rsid w:val="0041011C"/>
    <w:rsid w:val="00430E98"/>
    <w:rsid w:val="00437379"/>
    <w:rsid w:val="00462716"/>
    <w:rsid w:val="00494185"/>
    <w:rsid w:val="004C3A2D"/>
    <w:rsid w:val="004D116E"/>
    <w:rsid w:val="004F7B2D"/>
    <w:rsid w:val="00524085"/>
    <w:rsid w:val="00535164"/>
    <w:rsid w:val="005537D4"/>
    <w:rsid w:val="00573278"/>
    <w:rsid w:val="005A6E9F"/>
    <w:rsid w:val="005E6F56"/>
    <w:rsid w:val="00674EBA"/>
    <w:rsid w:val="006B15C3"/>
    <w:rsid w:val="006F4F22"/>
    <w:rsid w:val="006F6001"/>
    <w:rsid w:val="00721C69"/>
    <w:rsid w:val="00731B25"/>
    <w:rsid w:val="007324E9"/>
    <w:rsid w:val="00753285"/>
    <w:rsid w:val="00791C7D"/>
    <w:rsid w:val="007948DC"/>
    <w:rsid w:val="007D28AC"/>
    <w:rsid w:val="007D2CF1"/>
    <w:rsid w:val="007D71A8"/>
    <w:rsid w:val="0081435B"/>
    <w:rsid w:val="00826907"/>
    <w:rsid w:val="00842F6C"/>
    <w:rsid w:val="00861819"/>
    <w:rsid w:val="008912A1"/>
    <w:rsid w:val="008D4BB4"/>
    <w:rsid w:val="008D4CB7"/>
    <w:rsid w:val="008D7382"/>
    <w:rsid w:val="008F1218"/>
    <w:rsid w:val="008F7BE0"/>
    <w:rsid w:val="00900AF1"/>
    <w:rsid w:val="0090568E"/>
    <w:rsid w:val="00906AD9"/>
    <w:rsid w:val="0092022C"/>
    <w:rsid w:val="0096306E"/>
    <w:rsid w:val="009A5EFD"/>
    <w:rsid w:val="009C7B4E"/>
    <w:rsid w:val="009D628F"/>
    <w:rsid w:val="009E4CC2"/>
    <w:rsid w:val="00A05D3D"/>
    <w:rsid w:val="00A117CA"/>
    <w:rsid w:val="00A52F7F"/>
    <w:rsid w:val="00A85483"/>
    <w:rsid w:val="00A93A83"/>
    <w:rsid w:val="00AB575F"/>
    <w:rsid w:val="00AC350C"/>
    <w:rsid w:val="00AD0D06"/>
    <w:rsid w:val="00AF220A"/>
    <w:rsid w:val="00B215BA"/>
    <w:rsid w:val="00B56C8E"/>
    <w:rsid w:val="00B61734"/>
    <w:rsid w:val="00B964E5"/>
    <w:rsid w:val="00BB0597"/>
    <w:rsid w:val="00BD5DE1"/>
    <w:rsid w:val="00C05A72"/>
    <w:rsid w:val="00C14901"/>
    <w:rsid w:val="00C41448"/>
    <w:rsid w:val="00C870B9"/>
    <w:rsid w:val="00CA0CFE"/>
    <w:rsid w:val="00CA1E74"/>
    <w:rsid w:val="00CB0C2C"/>
    <w:rsid w:val="00CC59CE"/>
    <w:rsid w:val="00D016AA"/>
    <w:rsid w:val="00D255E2"/>
    <w:rsid w:val="00D4322E"/>
    <w:rsid w:val="00D50E7D"/>
    <w:rsid w:val="00DB05E3"/>
    <w:rsid w:val="00DE74B7"/>
    <w:rsid w:val="00E024AF"/>
    <w:rsid w:val="00E21525"/>
    <w:rsid w:val="00E84EFD"/>
    <w:rsid w:val="00E8560E"/>
    <w:rsid w:val="00EF2620"/>
    <w:rsid w:val="00F32838"/>
    <w:rsid w:val="00F42206"/>
    <w:rsid w:val="00F438C5"/>
    <w:rsid w:val="00F67968"/>
    <w:rsid w:val="00F70D6C"/>
    <w:rsid w:val="00FA2466"/>
    <w:rsid w:val="00FC4A56"/>
    <w:rsid w:val="00FC7E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6B2E15"/>
  <w15:docId w15:val="{4E9E6B0D-B04B-4C96-97AA-237557E8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paragraph" w:customStyle="1" w:styleId="MainHeader">
    <w:name w:val="Main_Header"/>
    <w:basedOn w:val="Body"/>
    <w:rsid w:val="00A93A83"/>
    <w:pPr>
      <w:numPr>
        <w:numId w:val="1"/>
      </w:numPr>
      <w:spacing w:before="320" w:after="160"/>
    </w:pPr>
    <w:rPr>
      <w:rFonts w:ascii="Helvetica Neue Thin" w:hAnsi="Helvetica Neue Thin"/>
      <w:b/>
      <w:sz w:val="24"/>
      <w:szCs w:val="24"/>
    </w:rPr>
  </w:style>
  <w:style w:type="paragraph" w:styleId="FootnoteText">
    <w:name w:val="footnote text"/>
    <w:basedOn w:val="Normal"/>
    <w:link w:val="FootnoteTextChar"/>
    <w:uiPriority w:val="99"/>
    <w:semiHidden/>
    <w:unhideWhenUsed/>
    <w:rsid w:val="00906AD9"/>
    <w:rPr>
      <w:sz w:val="20"/>
      <w:szCs w:val="20"/>
    </w:rPr>
  </w:style>
  <w:style w:type="character" w:customStyle="1" w:styleId="FootnoteTextChar">
    <w:name w:val="Footnote Text Char"/>
    <w:basedOn w:val="DefaultParagraphFont"/>
    <w:link w:val="FootnoteText"/>
    <w:uiPriority w:val="99"/>
    <w:semiHidden/>
    <w:rsid w:val="00906AD9"/>
  </w:style>
  <w:style w:type="character" w:styleId="FootnoteReference">
    <w:name w:val="footnote reference"/>
    <w:basedOn w:val="DefaultParagraphFont"/>
    <w:uiPriority w:val="99"/>
    <w:semiHidden/>
    <w:unhideWhenUsed/>
    <w:rsid w:val="00906AD9"/>
    <w:rPr>
      <w:vertAlign w:val="superscript"/>
    </w:rPr>
  </w:style>
  <w:style w:type="paragraph" w:styleId="BalloonText">
    <w:name w:val="Balloon Text"/>
    <w:basedOn w:val="Normal"/>
    <w:link w:val="BalloonTextChar"/>
    <w:uiPriority w:val="99"/>
    <w:semiHidden/>
    <w:unhideWhenUsed/>
    <w:rsid w:val="00900AF1"/>
    <w:rPr>
      <w:rFonts w:ascii="Tahoma" w:hAnsi="Tahoma" w:cs="Tahoma"/>
      <w:sz w:val="16"/>
      <w:szCs w:val="16"/>
    </w:rPr>
  </w:style>
  <w:style w:type="character" w:customStyle="1" w:styleId="BalloonTextChar">
    <w:name w:val="Balloon Text Char"/>
    <w:basedOn w:val="DefaultParagraphFont"/>
    <w:link w:val="BalloonText"/>
    <w:uiPriority w:val="99"/>
    <w:semiHidden/>
    <w:rsid w:val="00900AF1"/>
    <w:rPr>
      <w:rFonts w:ascii="Tahoma" w:hAnsi="Tahoma" w:cs="Tahoma"/>
      <w:sz w:val="16"/>
      <w:szCs w:val="16"/>
    </w:rPr>
  </w:style>
  <w:style w:type="character" w:styleId="CommentReference">
    <w:name w:val="annotation reference"/>
    <w:basedOn w:val="DefaultParagraphFont"/>
    <w:uiPriority w:val="99"/>
    <w:semiHidden/>
    <w:unhideWhenUsed/>
    <w:rsid w:val="00040E22"/>
    <w:rPr>
      <w:sz w:val="16"/>
      <w:szCs w:val="16"/>
    </w:rPr>
  </w:style>
  <w:style w:type="paragraph" w:styleId="CommentText">
    <w:name w:val="annotation text"/>
    <w:basedOn w:val="Normal"/>
    <w:link w:val="CommentTextChar"/>
    <w:uiPriority w:val="99"/>
    <w:semiHidden/>
    <w:unhideWhenUsed/>
    <w:rsid w:val="00040E22"/>
    <w:rPr>
      <w:sz w:val="20"/>
      <w:szCs w:val="20"/>
    </w:rPr>
  </w:style>
  <w:style w:type="character" w:customStyle="1" w:styleId="CommentTextChar">
    <w:name w:val="Comment Text Char"/>
    <w:basedOn w:val="DefaultParagraphFont"/>
    <w:link w:val="CommentText"/>
    <w:uiPriority w:val="99"/>
    <w:semiHidden/>
    <w:rsid w:val="00040E22"/>
  </w:style>
  <w:style w:type="paragraph" w:styleId="CommentSubject">
    <w:name w:val="annotation subject"/>
    <w:basedOn w:val="CommentText"/>
    <w:next w:val="CommentText"/>
    <w:link w:val="CommentSubjectChar"/>
    <w:uiPriority w:val="99"/>
    <w:semiHidden/>
    <w:unhideWhenUsed/>
    <w:rsid w:val="00040E22"/>
    <w:rPr>
      <w:b/>
      <w:bCs/>
    </w:rPr>
  </w:style>
  <w:style w:type="character" w:customStyle="1" w:styleId="CommentSubjectChar">
    <w:name w:val="Comment Subject Char"/>
    <w:basedOn w:val="CommentTextChar"/>
    <w:link w:val="CommentSubject"/>
    <w:uiPriority w:val="99"/>
    <w:semiHidden/>
    <w:rsid w:val="00040E22"/>
    <w:rPr>
      <w:b/>
      <w:bCs/>
    </w:rPr>
  </w:style>
  <w:style w:type="paragraph" w:styleId="Header">
    <w:name w:val="header"/>
    <w:basedOn w:val="Normal"/>
    <w:link w:val="HeaderChar"/>
    <w:uiPriority w:val="99"/>
    <w:unhideWhenUsed/>
    <w:rsid w:val="0041011C"/>
    <w:pPr>
      <w:tabs>
        <w:tab w:val="center" w:pos="4680"/>
        <w:tab w:val="right" w:pos="9360"/>
      </w:tabs>
    </w:pPr>
  </w:style>
  <w:style w:type="character" w:customStyle="1" w:styleId="HeaderChar">
    <w:name w:val="Header Char"/>
    <w:basedOn w:val="DefaultParagraphFont"/>
    <w:link w:val="Header"/>
    <w:uiPriority w:val="99"/>
    <w:rsid w:val="0041011C"/>
    <w:rPr>
      <w:sz w:val="24"/>
      <w:szCs w:val="24"/>
    </w:rPr>
  </w:style>
  <w:style w:type="paragraph" w:styleId="Footer">
    <w:name w:val="footer"/>
    <w:basedOn w:val="Normal"/>
    <w:link w:val="FooterChar"/>
    <w:uiPriority w:val="99"/>
    <w:unhideWhenUsed/>
    <w:rsid w:val="0041011C"/>
    <w:pPr>
      <w:tabs>
        <w:tab w:val="center" w:pos="4680"/>
        <w:tab w:val="right" w:pos="9360"/>
      </w:tabs>
    </w:pPr>
  </w:style>
  <w:style w:type="character" w:customStyle="1" w:styleId="FooterChar">
    <w:name w:val="Footer Char"/>
    <w:basedOn w:val="DefaultParagraphFont"/>
    <w:link w:val="Footer"/>
    <w:uiPriority w:val="99"/>
    <w:rsid w:val="004101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cao.int/environmental-protection/CORSIA/Pages/TAB.aspx" TargetMode="External"/><Relationship Id="rId1" Type="http://schemas.openxmlformats.org/officeDocument/2006/relationships/hyperlink" Target="https://www.icao.int/environmental-protection/CORSIA/Pages/TAB.asp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0983426375EE45AB29246808C81564" ma:contentTypeVersion="1" ma:contentTypeDescription="Create a new document." ma:contentTypeScope="" ma:versionID="482dca6019c1fbaeaf4bf2153c23c4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16DCE-721C-4984-9178-1E03C2A2D90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D5DB36D0-C824-4588-AB72-5CCE447E2D0B}">
  <ds:schemaRefs>
    <ds:schemaRef ds:uri="http://schemas.microsoft.com/sharepoint/v3/contenttype/forms"/>
  </ds:schemaRefs>
</ds:datastoreItem>
</file>

<file path=customXml/itemProps3.xml><?xml version="1.0" encoding="utf-8"?>
<ds:datastoreItem xmlns:ds="http://schemas.openxmlformats.org/officeDocument/2006/customXml" ds:itemID="{480D7197-C9B2-42F8-9EDE-E56176194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FBBD1A-12D8-4F92-9FBF-712D0608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3830</Words>
  <Characters>21834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25613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Peters-Stanley, Molly R</dc:creator>
  <cp:lastModifiedBy>Ortega Marin, Karen</cp:lastModifiedBy>
  <cp:revision>3</cp:revision>
  <cp:lastPrinted>2020-03-04T17:36:00Z</cp:lastPrinted>
  <dcterms:created xsi:type="dcterms:W3CDTF">2023-01-27T22:15:00Z</dcterms:created>
  <dcterms:modified xsi:type="dcterms:W3CDTF">2023-01-27T22:16:00Z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0x0101006B0983426375EE45AB29246808C81564</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PetersStanleyMR@state.gov</vt:lpwstr>
  </property>
  <property fmtid="{D5CDD505-2E9C-101B-9397-08002B2CF9AE}" pid="6" name="MSIP_Label_1665d9ee-429a-4d5f-97cc-cfb56e044a6e_SetDate">
    <vt:lpwstr>2020-02-26T18:22:57.6150231Z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68138a04-2199-4931-b5d3-5647694a45e8</vt:lpwstr>
  </property>
  <property fmtid="{D5CDD505-2E9C-101B-9397-08002B2CF9AE}" pid="10" name="MSIP_Label_1665d9ee-429a-4d5f-97cc-cfb56e044a6e_Extended_MSFT_Method">
    <vt:lpwstr>Manual</vt:lpwstr>
  </property>
  <property fmtid="{D5CDD505-2E9C-101B-9397-08002B2CF9AE}" pid="11" name="MSIP_Label_b5bbdc02-cb35-4d29-b911-7fc063a80903_Enabled">
    <vt:lpwstr>true</vt:lpwstr>
  </property>
  <property fmtid="{D5CDD505-2E9C-101B-9397-08002B2CF9AE}" pid="12" name="MSIP_Label_b5bbdc02-cb35-4d29-b911-7fc063a80903_SetDate">
    <vt:lpwstr>2023-01-23T21:54:10Z</vt:lpwstr>
  </property>
  <property fmtid="{D5CDD505-2E9C-101B-9397-08002B2CF9AE}" pid="13" name="MSIP_Label_b5bbdc02-cb35-4d29-b911-7fc063a80903_Method">
    <vt:lpwstr>Privileged</vt:lpwstr>
  </property>
  <property fmtid="{D5CDD505-2E9C-101B-9397-08002B2CF9AE}" pid="14" name="MSIP_Label_b5bbdc02-cb35-4d29-b911-7fc063a80903_Name">
    <vt:lpwstr>Unclassified (No Marking)</vt:lpwstr>
  </property>
  <property fmtid="{D5CDD505-2E9C-101B-9397-08002B2CF9AE}" pid="15" name="MSIP_Label_b5bbdc02-cb35-4d29-b911-7fc063a80903_SiteId">
    <vt:lpwstr>2008ffa9-c9b2-4d97-9ad9-4ace25386be7</vt:lpwstr>
  </property>
  <property fmtid="{D5CDD505-2E9C-101B-9397-08002B2CF9AE}" pid="16" name="MSIP_Label_b5bbdc02-cb35-4d29-b911-7fc063a80903_ActionId">
    <vt:lpwstr>7ce4bce8-294a-4a6f-812a-b62bb2f52281</vt:lpwstr>
  </property>
  <property fmtid="{D5CDD505-2E9C-101B-9397-08002B2CF9AE}" pid="17" name="MSIP_Label_b5bbdc02-cb35-4d29-b911-7fc063a80903_ContentBits">
    <vt:lpwstr>0</vt:lpwstr>
  </property>
</Properties>
</file>