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0" w:name="agenda_item"/>
      <w:bookmarkEnd w:id="0"/>
    </w:p>
    <w:p w:rsidR="00770160" w:rsidRDefault="00770160">
      <w:pPr>
        <w:tabs>
          <w:tab w:val="left" w:pos="0"/>
          <w:tab w:val="left" w:pos="1570"/>
          <w:tab w:val="left" w:pos="1857"/>
        </w:tabs>
      </w:pPr>
    </w:p>
    <w:p w:rsidR="00770160" w:rsidRDefault="00770160" w:rsidP="002072D0">
      <w:pPr>
        <w:pStyle w:val="Agendaitemtitle"/>
        <w:rPr>
          <w:lang w:val="sv-SE"/>
        </w:rPr>
      </w:pPr>
      <w:r>
        <w:rPr>
          <w:lang w:val="sv-SE"/>
        </w:rPr>
        <w:t>Agenda Item </w:t>
      </w:r>
      <w:r w:rsidR="002335A7">
        <w:rPr>
          <w:lang w:val="sv-SE"/>
        </w:rPr>
        <w:t>5</w:t>
      </w:r>
      <w:r>
        <w:rPr>
          <w:lang w:val="sv-SE"/>
        </w:rPr>
        <w:t>:</w:t>
      </w:r>
      <w:r>
        <w:rPr>
          <w:lang w:val="sv-SE"/>
        </w:rPr>
        <w:tab/>
      </w:r>
      <w:r w:rsidR="002335A7">
        <w:rPr>
          <w:lang w:val="sv-SE"/>
        </w:rPr>
        <w:t xml:space="preserve"> </w:t>
      </w:r>
      <w:r w:rsidR="002335A7" w:rsidRPr="00DA4C50">
        <w:rPr>
          <w:rFonts w:eastAsia="SimSun"/>
        </w:rPr>
        <w:t>Development of (planned) material for ITU-R Studies</w:t>
      </w:r>
    </w:p>
    <w:p w:rsidR="00770160" w:rsidRDefault="00770160">
      <w:pPr>
        <w:pStyle w:val="Agendaitemtitle"/>
        <w:rPr>
          <w:b w:val="0"/>
          <w:lang w:val="sv-SE"/>
        </w:rPr>
      </w:pPr>
    </w:p>
    <w:p w:rsidR="00770160" w:rsidRDefault="00770160">
      <w:pPr>
        <w:tabs>
          <w:tab w:val="left" w:pos="6972"/>
        </w:tabs>
        <w:rPr>
          <w:b/>
          <w:lang w:val="sv-SE"/>
        </w:rPr>
      </w:pPr>
    </w:p>
    <w:p w:rsidR="00770160" w:rsidRDefault="002335A7" w:rsidP="00A934CB">
      <w:pPr>
        <w:pStyle w:val="Maintitle"/>
        <w:spacing w:after="120"/>
        <w:ind w:left="1077" w:right="1077"/>
      </w:pPr>
      <w:r>
        <w:t>Liaison Statement from ITU-R WP1A, titled:</w:t>
      </w:r>
    </w:p>
    <w:p w:rsidR="002335A7" w:rsidRDefault="002335A7">
      <w:pPr>
        <w:pStyle w:val="Maintitle"/>
      </w:pPr>
      <w:r>
        <w:t>A</w:t>
      </w:r>
      <w:r w:rsidRPr="00D448A3">
        <w:t xml:space="preserve">ssessment of the impact of </w:t>
      </w:r>
      <w:r>
        <w:t>Unwanted Radio Frequency energy</w:t>
      </w:r>
      <w:r w:rsidRPr="00D448A3">
        <w:t xml:space="preserve"> </w:t>
      </w:r>
      <w:r>
        <w:t xml:space="preserve">generated by NON </w:t>
      </w:r>
      <w:r w:rsidRPr="00D448A3">
        <w:t xml:space="preserve">radiocommunication </w:t>
      </w:r>
      <w:r>
        <w:t xml:space="preserve">equipment to </w:t>
      </w:r>
      <w:r w:rsidRPr="00D448A3">
        <w:t>radiocommunication services</w:t>
      </w:r>
      <w:r>
        <w:br/>
        <w:t>(Questions ITU-R 221-2/1 &amp;</w:t>
      </w:r>
      <w:r w:rsidRPr="00D448A3">
        <w:t xml:space="preserve"> </w:t>
      </w:r>
      <w:r>
        <w:t xml:space="preserve">ITU-R </w:t>
      </w:r>
      <w:r w:rsidRPr="00D448A3">
        <w:t>236/1</w:t>
      </w:r>
      <w:r>
        <w:t>)</w:t>
      </w:r>
    </w:p>
    <w:p w:rsidR="00770160" w:rsidRDefault="00770160">
      <w:pPr>
        <w:tabs>
          <w:tab w:val="left" w:pos="6972"/>
        </w:tabs>
      </w:pPr>
    </w:p>
    <w:p w:rsidR="00A934CB" w:rsidRDefault="00A934CB">
      <w:pPr>
        <w:tabs>
          <w:tab w:val="left" w:pos="6972"/>
        </w:tabs>
      </w:pPr>
    </w:p>
    <w:p w:rsidR="00770160" w:rsidRDefault="00770160">
      <w:pPr>
        <w:tabs>
          <w:tab w:val="left" w:pos="6972"/>
        </w:tabs>
      </w:pPr>
    </w:p>
    <w:p w:rsidR="00770160" w:rsidRDefault="00770160" w:rsidP="00E57B87">
      <w:pPr>
        <w:jc w:val="center"/>
      </w:pPr>
      <w:r>
        <w:t>Presented by</w:t>
      </w:r>
      <w:bookmarkStart w:id="1" w:name="presented_by"/>
      <w:bookmarkEnd w:id="1"/>
      <w:r>
        <w:t xml:space="preserve"> </w:t>
      </w:r>
      <w:r w:rsidR="00E57B87">
        <w:t>the Secretary</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r w:rsidR="001A2336">
              <w:rPr>
                <w:b/>
              </w:rPr>
              <w:t xml:space="preserve"> </w:t>
            </w:r>
            <w:bookmarkStart w:id="2" w:name="_GoBack"/>
            <w:bookmarkEnd w:id="2"/>
            <w:r w:rsidR="001A2336">
              <w:rPr>
                <w:b/>
              </w:rPr>
              <w:t>and ACTION</w:t>
            </w:r>
          </w:p>
        </w:tc>
      </w:tr>
      <w:tr w:rsidR="00770160">
        <w:trPr>
          <w:cantSplit/>
          <w:jc w:val="center"/>
        </w:trPr>
        <w:tc>
          <w:tcPr>
            <w:tcW w:w="7200" w:type="dxa"/>
          </w:tcPr>
          <w:p w:rsidR="00770160" w:rsidRDefault="002335A7" w:rsidP="002335A7">
            <w:pPr>
              <w:rPr>
                <w:lang w:val="en-US"/>
              </w:rPr>
            </w:pPr>
            <w:r>
              <w:rPr>
                <w:lang w:val="en-US"/>
              </w:rPr>
              <w:t xml:space="preserve">The attached liaison statement was received from ITU-R </w:t>
            </w:r>
            <w:r w:rsidR="00E57B87">
              <w:rPr>
                <w:lang w:val="en-US"/>
              </w:rPr>
              <w:t xml:space="preserve">WP1A                     </w:t>
            </w:r>
            <w:r>
              <w:rPr>
                <w:lang w:val="en-US"/>
              </w:rPr>
              <w:t>(and was circulated to FSMP members by email on 19 December 2016).</w:t>
            </w:r>
          </w:p>
          <w:p w:rsidR="002335A7" w:rsidRDefault="002335A7" w:rsidP="002335A7">
            <w:pPr>
              <w:rPr>
                <w:lang w:val="en-US"/>
              </w:rPr>
            </w:pPr>
          </w:p>
          <w:p w:rsidR="002335A7" w:rsidRDefault="00E57B87" w:rsidP="00E57B87">
            <w:pPr>
              <w:rPr>
                <w:lang w:val="en-US"/>
              </w:rPr>
            </w:pPr>
            <w:r w:rsidRPr="001A2336">
              <w:rPr>
                <w:b/>
                <w:bCs/>
                <w:lang w:val="en-US"/>
              </w:rPr>
              <w:t>Action:</w:t>
            </w:r>
            <w:r>
              <w:rPr>
                <w:lang w:val="en-US"/>
              </w:rPr>
              <w:t xml:space="preserve">     </w:t>
            </w:r>
            <w:r w:rsidR="002335A7">
              <w:rPr>
                <w:lang w:val="en-US"/>
              </w:rPr>
              <w:t xml:space="preserve">FSMP WG/4 is invited to review the </w:t>
            </w:r>
            <w:r>
              <w:rPr>
                <w:lang w:val="en-US"/>
              </w:rPr>
              <w:t>attached</w:t>
            </w:r>
            <w:r w:rsidR="002335A7">
              <w:rPr>
                <w:lang w:val="en-US"/>
              </w:rPr>
              <w:t xml:space="preserve"> and take action as appropriate.</w:t>
            </w:r>
          </w:p>
          <w:p w:rsidR="002335A7" w:rsidRDefault="002335A7" w:rsidP="002335A7">
            <w:pPr>
              <w:rPr>
                <w:lang w:val="en-US"/>
              </w:rPr>
            </w:pPr>
          </w:p>
        </w:tc>
      </w:tr>
    </w:tbl>
    <w:p w:rsidR="00770160" w:rsidRDefault="00770160"/>
    <w:p w:rsidR="00770160" w:rsidRDefault="00770160"/>
    <w:p w:rsidR="00525F61" w:rsidRDefault="00525F61" w:rsidP="00525F61">
      <w:pPr>
        <w:jc w:val="left"/>
      </w:pPr>
      <w:r>
        <w:br w:type="page"/>
      </w:r>
    </w:p>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525F61" w:rsidTr="00D046A7">
        <w:trPr>
          <w:cantSplit/>
        </w:trPr>
        <w:tc>
          <w:tcPr>
            <w:tcW w:w="1526" w:type="dxa"/>
            <w:vAlign w:val="center"/>
          </w:tcPr>
          <w:p w:rsidR="00525F61" w:rsidRPr="00D8032B" w:rsidRDefault="00525F61" w:rsidP="008B63EC">
            <w:pPr>
              <w:shd w:val="solid" w:color="FFFFFF" w:fill="FFFFFF"/>
              <w:rPr>
                <w:rFonts w:ascii="Verdana" w:hAnsi="Verdana" w:cs="Times New Roman Bold"/>
                <w:b/>
                <w:bCs/>
                <w:sz w:val="26"/>
                <w:szCs w:val="26"/>
              </w:rPr>
            </w:pPr>
            <w:bookmarkStart w:id="3" w:name="ditulogo"/>
            <w:bookmarkEnd w:id="3"/>
            <w:r w:rsidRPr="008B63EC">
              <w:rPr>
                <w:rFonts w:ascii="Verdana" w:hAnsi="Verdana" w:cs="Times New Roman Bold"/>
                <w:b/>
                <w:bCs/>
                <w:noProof/>
                <w:sz w:val="20"/>
                <w:szCs w:val="26"/>
                <w:lang w:eastAsia="zh-CN"/>
              </w:rPr>
              <w:lastRenderedPageBreak/>
              <w:drawing>
                <wp:inline distT="0" distB="0" distL="0" distR="0" wp14:anchorId="0DD66CD3" wp14:editId="761992FF">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525F61" w:rsidRPr="00D8032B" w:rsidRDefault="00525F61" w:rsidP="000604B9">
            <w:pPr>
              <w:shd w:val="solid" w:color="FFFFFF" w:fill="FFFFFF"/>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rsidR="00525F61" w:rsidRDefault="00525F61" w:rsidP="00163271">
            <w:pPr>
              <w:shd w:val="solid" w:color="FFFFFF" w:fill="FFFFFF"/>
              <w:spacing w:line="240" w:lineRule="atLeast"/>
              <w:jc w:val="right"/>
            </w:pPr>
            <w:r w:rsidRPr="00975D6F">
              <w:rPr>
                <w:rFonts w:cs="Arial"/>
                <w:noProof/>
                <w:lang w:eastAsia="zh-CN"/>
              </w:rPr>
              <w:drawing>
                <wp:inline distT="0" distB="0" distL="0" distR="0" wp14:anchorId="4E0DC474" wp14:editId="01368317">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525F61" w:rsidRPr="0051782D" w:rsidTr="00D046A7">
        <w:trPr>
          <w:cantSplit/>
        </w:trPr>
        <w:tc>
          <w:tcPr>
            <w:tcW w:w="6438" w:type="dxa"/>
            <w:gridSpan w:val="2"/>
            <w:tcBorders>
              <w:bottom w:val="single" w:sz="12" w:space="0" w:color="auto"/>
            </w:tcBorders>
          </w:tcPr>
          <w:p w:rsidR="00525F61" w:rsidRPr="00163271" w:rsidRDefault="00525F61" w:rsidP="00A5173C">
            <w:pPr>
              <w:shd w:val="solid" w:color="FFFFFF" w:fill="FFFFFF"/>
              <w:spacing w:after="48"/>
              <w:rPr>
                <w:rFonts w:ascii="Verdana" w:hAnsi="Verdana" w:cs="Times New Roman Bold"/>
                <w:b/>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rsidR="00525F61" w:rsidRPr="0051782D" w:rsidRDefault="00525F61" w:rsidP="00A5173C">
            <w:pPr>
              <w:shd w:val="solid" w:color="FFFFFF" w:fill="FFFFFF"/>
              <w:spacing w:after="48" w:line="240" w:lineRule="atLeast"/>
              <w:rPr>
                <w:szCs w:val="22"/>
                <w:lang w:val="en-US"/>
              </w:rPr>
            </w:pPr>
          </w:p>
        </w:tc>
      </w:tr>
      <w:tr w:rsidR="00525F61" w:rsidTr="00D046A7">
        <w:trPr>
          <w:cantSplit/>
        </w:trPr>
        <w:tc>
          <w:tcPr>
            <w:tcW w:w="6438" w:type="dxa"/>
            <w:gridSpan w:val="2"/>
            <w:tcBorders>
              <w:top w:val="single" w:sz="12" w:space="0" w:color="auto"/>
            </w:tcBorders>
          </w:tcPr>
          <w:p w:rsidR="00525F61" w:rsidRPr="0051782D" w:rsidRDefault="00525F61" w:rsidP="00A5173C">
            <w:pPr>
              <w:shd w:val="solid" w:color="FFFFFF" w:fill="FFFFFF"/>
              <w:spacing w:after="48"/>
              <w:rPr>
                <w:rFonts w:ascii="Verdana" w:hAnsi="Verdana" w:cs="Times New Roman Bold"/>
                <w:bCs/>
                <w:szCs w:val="22"/>
              </w:rPr>
            </w:pPr>
          </w:p>
        </w:tc>
        <w:tc>
          <w:tcPr>
            <w:tcW w:w="3451" w:type="dxa"/>
            <w:gridSpan w:val="2"/>
            <w:tcBorders>
              <w:top w:val="single" w:sz="12" w:space="0" w:color="auto"/>
            </w:tcBorders>
          </w:tcPr>
          <w:p w:rsidR="00525F61" w:rsidRPr="00710D66" w:rsidRDefault="00525F61" w:rsidP="00A5173C">
            <w:pPr>
              <w:shd w:val="solid" w:color="FFFFFF" w:fill="FFFFFF"/>
              <w:spacing w:after="48" w:line="240" w:lineRule="atLeast"/>
              <w:rPr>
                <w:lang w:val="en-US"/>
              </w:rPr>
            </w:pPr>
          </w:p>
        </w:tc>
      </w:tr>
      <w:tr w:rsidR="00525F61" w:rsidRPr="00E74C0A" w:rsidTr="00D046A7">
        <w:trPr>
          <w:cantSplit/>
        </w:trPr>
        <w:tc>
          <w:tcPr>
            <w:tcW w:w="6438" w:type="dxa"/>
            <w:gridSpan w:val="2"/>
            <w:vMerge w:val="restart"/>
          </w:tcPr>
          <w:p w:rsidR="00525F61" w:rsidRPr="00A97D4F" w:rsidRDefault="00525F61" w:rsidP="0091322E">
            <w:pPr>
              <w:shd w:val="solid" w:color="FFFFFF" w:fill="FFFFFF"/>
              <w:spacing w:after="240"/>
              <w:ind w:left="1134" w:hanging="1134"/>
              <w:rPr>
                <w:rFonts w:ascii="Verdana" w:hAnsi="Verdana"/>
                <w:sz w:val="20"/>
              </w:rPr>
            </w:pPr>
            <w:bookmarkStart w:id="4" w:name="recibido"/>
            <w:bookmarkStart w:id="5" w:name="dnum" w:colFirst="1" w:colLast="1"/>
            <w:bookmarkEnd w:id="4"/>
            <w:r w:rsidRPr="00A97D4F">
              <w:rPr>
                <w:rFonts w:ascii="Verdana" w:hAnsi="Verdana"/>
                <w:sz w:val="20"/>
              </w:rPr>
              <w:t>Source:</w:t>
            </w:r>
            <w:r w:rsidRPr="00A97D4F">
              <w:rPr>
                <w:rFonts w:ascii="Verdana" w:hAnsi="Verdana"/>
                <w:sz w:val="20"/>
              </w:rPr>
              <w:tab/>
              <w:t>Document 1A/TEMP/</w:t>
            </w:r>
            <w:r>
              <w:rPr>
                <w:rFonts w:ascii="Verdana" w:hAnsi="Verdana"/>
                <w:sz w:val="20"/>
              </w:rPr>
              <w:t>49 (edited)</w:t>
            </w:r>
          </w:p>
        </w:tc>
        <w:tc>
          <w:tcPr>
            <w:tcW w:w="3451" w:type="dxa"/>
            <w:gridSpan w:val="2"/>
          </w:tcPr>
          <w:p w:rsidR="00525F61" w:rsidRPr="00E74C0A" w:rsidRDefault="00525F61" w:rsidP="008F78E6">
            <w:pPr>
              <w:shd w:val="solid" w:color="FFFFFF" w:fill="FFFFFF"/>
              <w:spacing w:line="240" w:lineRule="atLeast"/>
              <w:rPr>
                <w:rFonts w:ascii="Verdana" w:hAnsi="Verdana"/>
                <w:sz w:val="20"/>
                <w:lang w:val="fr-FR" w:eastAsia="zh-CN"/>
              </w:rPr>
            </w:pPr>
          </w:p>
        </w:tc>
      </w:tr>
      <w:tr w:rsidR="00525F61" w:rsidTr="00D046A7">
        <w:trPr>
          <w:cantSplit/>
        </w:trPr>
        <w:tc>
          <w:tcPr>
            <w:tcW w:w="6438" w:type="dxa"/>
            <w:gridSpan w:val="2"/>
            <w:vMerge/>
          </w:tcPr>
          <w:p w:rsidR="00525F61" w:rsidRPr="00E74C0A" w:rsidRDefault="00525F61" w:rsidP="0091322E">
            <w:pPr>
              <w:spacing w:before="60"/>
              <w:jc w:val="center"/>
              <w:rPr>
                <w:b/>
                <w:smallCaps/>
                <w:sz w:val="32"/>
                <w:lang w:val="fr-FR" w:eastAsia="zh-CN"/>
              </w:rPr>
            </w:pPr>
            <w:bookmarkStart w:id="6" w:name="ddate" w:colFirst="1" w:colLast="1"/>
            <w:bookmarkEnd w:id="5"/>
          </w:p>
        </w:tc>
        <w:tc>
          <w:tcPr>
            <w:tcW w:w="3451" w:type="dxa"/>
            <w:gridSpan w:val="2"/>
          </w:tcPr>
          <w:p w:rsidR="00525F61" w:rsidRPr="00E120EE" w:rsidRDefault="00525F61" w:rsidP="00E74C0A">
            <w:pPr>
              <w:shd w:val="solid" w:color="FFFFFF" w:fill="FFFFFF"/>
              <w:spacing w:line="240" w:lineRule="atLeast"/>
              <w:rPr>
                <w:rFonts w:ascii="Verdana" w:hAnsi="Verdana"/>
                <w:sz w:val="20"/>
                <w:lang w:eastAsia="zh-CN"/>
              </w:rPr>
            </w:pPr>
            <w:r>
              <w:rPr>
                <w:rFonts w:ascii="Verdana" w:hAnsi="Verdana"/>
                <w:b/>
                <w:sz w:val="20"/>
                <w:lang w:eastAsia="zh-CN"/>
              </w:rPr>
              <w:t>15 December 2016</w:t>
            </w:r>
          </w:p>
        </w:tc>
      </w:tr>
      <w:tr w:rsidR="00525F61" w:rsidTr="00D046A7">
        <w:trPr>
          <w:cantSplit/>
        </w:trPr>
        <w:tc>
          <w:tcPr>
            <w:tcW w:w="6438" w:type="dxa"/>
            <w:gridSpan w:val="2"/>
            <w:vMerge/>
          </w:tcPr>
          <w:p w:rsidR="00525F61" w:rsidRDefault="00525F61" w:rsidP="0091322E">
            <w:pPr>
              <w:spacing w:before="60"/>
              <w:jc w:val="center"/>
              <w:rPr>
                <w:b/>
                <w:smallCaps/>
                <w:sz w:val="32"/>
                <w:lang w:eastAsia="zh-CN"/>
              </w:rPr>
            </w:pPr>
            <w:bookmarkStart w:id="7" w:name="dorlang" w:colFirst="1" w:colLast="1"/>
            <w:bookmarkEnd w:id="6"/>
          </w:p>
        </w:tc>
        <w:tc>
          <w:tcPr>
            <w:tcW w:w="3451" w:type="dxa"/>
            <w:gridSpan w:val="2"/>
          </w:tcPr>
          <w:p w:rsidR="00525F61" w:rsidRPr="00F95190" w:rsidRDefault="00525F61" w:rsidP="0091322E">
            <w:pPr>
              <w:shd w:val="solid" w:color="FFFFFF" w:fill="FFFFFF"/>
              <w:spacing w:line="240" w:lineRule="atLeast"/>
              <w:rPr>
                <w:rFonts w:ascii="Verdana" w:eastAsia="SimSun" w:hAnsi="Verdana"/>
                <w:b/>
                <w:bCs/>
                <w:sz w:val="20"/>
                <w:lang w:eastAsia="zh-CN"/>
              </w:rPr>
            </w:pPr>
            <w:r w:rsidRPr="00F95190">
              <w:rPr>
                <w:rFonts w:ascii="Verdana" w:eastAsia="SimSun" w:hAnsi="Verdana"/>
                <w:b/>
                <w:bCs/>
                <w:sz w:val="20"/>
                <w:lang w:eastAsia="zh-CN"/>
              </w:rPr>
              <w:t>English only</w:t>
            </w:r>
          </w:p>
        </w:tc>
      </w:tr>
      <w:tr w:rsidR="00525F61" w:rsidTr="00D046A7">
        <w:trPr>
          <w:cantSplit/>
        </w:trPr>
        <w:tc>
          <w:tcPr>
            <w:tcW w:w="9889" w:type="dxa"/>
            <w:gridSpan w:val="4"/>
          </w:tcPr>
          <w:p w:rsidR="00525F61" w:rsidRPr="00E120EE" w:rsidRDefault="00525F61" w:rsidP="00E74C0A">
            <w:pPr>
              <w:pStyle w:val="Source"/>
              <w:spacing w:before="960"/>
              <w:rPr>
                <w:rFonts w:ascii="Verdana" w:eastAsia="SimSun" w:hAnsi="Verdana"/>
                <w:sz w:val="20"/>
                <w:lang w:eastAsia="zh-CN"/>
              </w:rPr>
            </w:pPr>
            <w:bookmarkStart w:id="8" w:name="dsource" w:colFirst="0" w:colLast="0"/>
            <w:bookmarkEnd w:id="7"/>
            <w:r w:rsidRPr="0079602D">
              <w:rPr>
                <w:lang w:val="en-US"/>
              </w:rPr>
              <w:t>Working Party 1A</w:t>
            </w:r>
          </w:p>
        </w:tc>
      </w:tr>
      <w:tr w:rsidR="00525F61" w:rsidTr="00D046A7">
        <w:trPr>
          <w:cantSplit/>
        </w:trPr>
        <w:tc>
          <w:tcPr>
            <w:tcW w:w="9889" w:type="dxa"/>
            <w:gridSpan w:val="4"/>
          </w:tcPr>
          <w:p w:rsidR="00525F61" w:rsidRDefault="00525F61" w:rsidP="0091322E">
            <w:pPr>
              <w:pStyle w:val="Title1"/>
              <w:rPr>
                <w:lang w:eastAsia="zh-CN"/>
              </w:rPr>
            </w:pPr>
            <w:bookmarkStart w:id="9" w:name="drec" w:colFirst="0" w:colLast="0"/>
            <w:bookmarkEnd w:id="8"/>
            <w:r>
              <w:rPr>
                <w:lang w:val="en-US"/>
              </w:rPr>
              <w:t>Liaison statement to IARU, ICAO, EBU</w:t>
            </w:r>
          </w:p>
        </w:tc>
      </w:tr>
      <w:tr w:rsidR="00525F61" w:rsidTr="00D046A7">
        <w:trPr>
          <w:cantSplit/>
        </w:trPr>
        <w:tc>
          <w:tcPr>
            <w:tcW w:w="9889" w:type="dxa"/>
            <w:gridSpan w:val="4"/>
          </w:tcPr>
          <w:p w:rsidR="00525F61" w:rsidRDefault="00525F61" w:rsidP="0091322E">
            <w:pPr>
              <w:pStyle w:val="Title1"/>
              <w:rPr>
                <w:lang w:eastAsia="zh-CN"/>
              </w:rPr>
            </w:pPr>
            <w:bookmarkStart w:id="10" w:name="dtitle1" w:colFirst="0" w:colLast="0"/>
            <w:bookmarkEnd w:id="9"/>
            <w:r w:rsidRPr="00D448A3">
              <w:t xml:space="preserve">assessment of the impact of </w:t>
            </w:r>
            <w:r>
              <w:t>Unwanted Radio Frequency energy</w:t>
            </w:r>
            <w:r w:rsidRPr="00D448A3">
              <w:t xml:space="preserve"> </w:t>
            </w:r>
            <w:r>
              <w:t xml:space="preserve">generated by NON </w:t>
            </w:r>
            <w:r w:rsidRPr="00D448A3">
              <w:t xml:space="preserve">radiocommunication </w:t>
            </w:r>
            <w:r>
              <w:t xml:space="preserve">equipment to </w:t>
            </w:r>
            <w:r w:rsidRPr="00D448A3">
              <w:t>radiocommunication services</w:t>
            </w:r>
            <w:r>
              <w:br/>
              <w:t>(Questions ITU-R 221-2/1 &amp;</w:t>
            </w:r>
            <w:r w:rsidRPr="00D448A3">
              <w:t xml:space="preserve"> </w:t>
            </w:r>
            <w:r>
              <w:t xml:space="preserve">ITU-R </w:t>
            </w:r>
            <w:r w:rsidRPr="00D448A3">
              <w:t>236/1</w:t>
            </w:r>
            <w:r>
              <w:t>)</w:t>
            </w:r>
          </w:p>
        </w:tc>
      </w:tr>
    </w:tbl>
    <w:p w:rsidR="00525F61" w:rsidRDefault="00525F61" w:rsidP="00F958F6">
      <w:bookmarkStart w:id="11" w:name="dbreak"/>
      <w:bookmarkEnd w:id="10"/>
      <w:bookmarkEnd w:id="11"/>
    </w:p>
    <w:p w:rsidR="00525F61" w:rsidRDefault="00525F61" w:rsidP="00AA4C17">
      <w:r>
        <w:t xml:space="preserve">During its meeting session of 22-30 November 2016, </w:t>
      </w:r>
      <w:r w:rsidRPr="00C70D5E">
        <w:t xml:space="preserve">Working </w:t>
      </w:r>
      <w:r w:rsidRPr="00C70D5E">
        <w:rPr>
          <w:lang w:val="en-US"/>
        </w:rPr>
        <w:t>Party 1A</w:t>
      </w:r>
      <w:r w:rsidRPr="00C70D5E">
        <w:t xml:space="preserve"> </w:t>
      </w:r>
      <w:r>
        <w:t xml:space="preserve">gave further consideration to the levels of RF noise in the environment and the increasing numbers and variety of sources of noise like conducted and radiated emissions. </w:t>
      </w:r>
    </w:p>
    <w:p w:rsidR="00525F61" w:rsidRDefault="00525F61" w:rsidP="001256FB">
      <w:r>
        <w:t>Many types of electrical and electronic equipment are seen to be involved, particularly those using switch mode power supplies and power conversion stages. Working Party</w:t>
      </w:r>
      <w:r w:rsidRPr="00C70D5E">
        <w:rPr>
          <w:lang w:val="en-US"/>
        </w:rPr>
        <w:t> 1A</w:t>
      </w:r>
      <w:r w:rsidRPr="00C70D5E">
        <w:t xml:space="preserve"> </w:t>
      </w:r>
      <w:r>
        <w:t>has had some success in raising awareness of the issue with CISPR on the particular problems associated with LED lighting and increasing noise levels in the frequency range 2-150</w:t>
      </w:r>
      <w:r w:rsidRPr="00C70D5E">
        <w:rPr>
          <w:lang w:val="en-US"/>
        </w:rPr>
        <w:t> </w:t>
      </w:r>
      <w:r>
        <w:t>kHz observed by CENELEC</w:t>
      </w:r>
      <w:r>
        <w:br/>
        <w:t>(see Docs.</w:t>
      </w:r>
      <w:r w:rsidRPr="00C70D5E">
        <w:rPr>
          <w:lang w:val="en-US"/>
        </w:rPr>
        <w:t> </w:t>
      </w:r>
      <w:hyperlink r:id="rId13" w:history="1">
        <w:r w:rsidRPr="00E92AD5">
          <w:rPr>
            <w:rStyle w:val="Hyperlink"/>
          </w:rPr>
          <w:t>1A/122</w:t>
        </w:r>
      </w:hyperlink>
      <w:r>
        <w:t xml:space="preserve"> (§5.2 &amp; Annex), </w:t>
      </w:r>
      <w:hyperlink r:id="rId14" w:history="1">
        <w:r w:rsidRPr="00E92AD5">
          <w:rPr>
            <w:rStyle w:val="Hyperlink"/>
          </w:rPr>
          <w:t>1A/136</w:t>
        </w:r>
      </w:hyperlink>
      <w:r>
        <w:t xml:space="preserve"> (§2 &amp; §3)). In addition there are continuing concerns and emerging reports of interference from high performance broadband/CATV distribution systems (see Doc.</w:t>
      </w:r>
      <w:r w:rsidRPr="00C70D5E">
        <w:rPr>
          <w:lang w:val="en-US"/>
        </w:rPr>
        <w:t> </w:t>
      </w:r>
      <w:hyperlink r:id="rId15" w:history="1">
        <w:r w:rsidRPr="00E92AD5">
          <w:rPr>
            <w:rStyle w:val="Hyperlink"/>
          </w:rPr>
          <w:t>1A/122</w:t>
        </w:r>
      </w:hyperlink>
      <w:r>
        <w:t xml:space="preserve"> (§3)).</w:t>
      </w:r>
    </w:p>
    <w:p w:rsidR="00525F61" w:rsidRDefault="00525F61" w:rsidP="00001EAE">
      <w:r>
        <w:t>In order to give more urgency and force to the efforts of Working Party</w:t>
      </w:r>
      <w:r w:rsidRPr="00C70D5E">
        <w:rPr>
          <w:lang w:val="en-US"/>
        </w:rPr>
        <w:t> 1A</w:t>
      </w:r>
      <w:r w:rsidRPr="00C70D5E">
        <w:t xml:space="preserve"> </w:t>
      </w:r>
      <w:r>
        <w:t xml:space="preserve">in raising awareness of the various aspects involved, both within ITU and through liaison with Standards Developing Organizations (SDOs), </w:t>
      </w:r>
      <w:r w:rsidRPr="009A4EAD">
        <w:t xml:space="preserve">recipients </w:t>
      </w:r>
      <w:r>
        <w:t xml:space="preserve">are requested </w:t>
      </w:r>
      <w:r w:rsidRPr="009A4EAD">
        <w:t xml:space="preserve">to provide details of instances </w:t>
      </w:r>
      <w:r>
        <w:t xml:space="preserve">of disturbances and degradation within their experience caused by electrical/electronic equipment and </w:t>
      </w:r>
      <w:r w:rsidRPr="009A4EAD">
        <w:t xml:space="preserve">telecommunication </w:t>
      </w:r>
      <w:r>
        <w:t xml:space="preserve">distribution </w:t>
      </w:r>
      <w:r w:rsidRPr="009A4EAD">
        <w:t xml:space="preserve">systems </w:t>
      </w:r>
      <w:r>
        <w:t>operating over metallic conductors. This will help in determining what the critical factors are with respect to:</w:t>
      </w:r>
    </w:p>
    <w:p w:rsidR="00525F61" w:rsidRPr="001256FB" w:rsidRDefault="00525F61" w:rsidP="001256FB">
      <w:pPr>
        <w:pStyle w:val="enumlev1"/>
      </w:pPr>
      <w:r>
        <w:t>–</w:t>
      </w:r>
      <w:r>
        <w:tab/>
      </w:r>
      <w:r w:rsidRPr="001256FB">
        <w:t>frequency use;</w:t>
      </w:r>
    </w:p>
    <w:p w:rsidR="00525F61" w:rsidRPr="001256FB" w:rsidRDefault="00525F61" w:rsidP="001256FB">
      <w:pPr>
        <w:pStyle w:val="enumlev1"/>
      </w:pPr>
      <w:r>
        <w:t>–</w:t>
      </w:r>
      <w:r>
        <w:tab/>
      </w:r>
      <w:r w:rsidRPr="001256FB">
        <w:t xml:space="preserve">receiver sensitivity, deployment and noise floor assumptions; </w:t>
      </w:r>
    </w:p>
    <w:p w:rsidR="00525F61" w:rsidRPr="001256FB" w:rsidRDefault="00525F61" w:rsidP="001256FB">
      <w:pPr>
        <w:pStyle w:val="enumlev1"/>
      </w:pPr>
      <w:r>
        <w:t>–</w:t>
      </w:r>
      <w:r>
        <w:tab/>
      </w:r>
      <w:r w:rsidRPr="001256FB">
        <w:t>acceptable interference;</w:t>
      </w:r>
    </w:p>
    <w:p w:rsidR="00525F61" w:rsidRPr="001256FB" w:rsidRDefault="00525F61" w:rsidP="001256FB">
      <w:pPr>
        <w:pStyle w:val="enumlev1"/>
      </w:pPr>
      <w:r>
        <w:t>–</w:t>
      </w:r>
      <w:r>
        <w:tab/>
      </w:r>
      <w:r w:rsidRPr="001256FB">
        <w:t xml:space="preserve">zones of disturbance and degradation; and </w:t>
      </w:r>
    </w:p>
    <w:p w:rsidR="00525F61" w:rsidRPr="001256FB" w:rsidRDefault="00525F61">
      <w:pPr>
        <w:pStyle w:val="enumlev1"/>
      </w:pPr>
      <w:r>
        <w:t>–</w:t>
      </w:r>
      <w:r>
        <w:tab/>
      </w:r>
      <w:r w:rsidRPr="001256FB">
        <w:t xml:space="preserve">topology/distribution of the sources of disturbance and degradation. </w:t>
      </w:r>
    </w:p>
    <w:p w:rsidR="00525F61" w:rsidRDefault="00525F61" w:rsidP="001256FB"/>
    <w:p w:rsidR="00525F61" w:rsidRPr="00131326" w:rsidRDefault="00525F61" w:rsidP="001256FB">
      <w:pPr>
        <w:rPr>
          <w:lang w:val="en-US" w:eastAsia="ja-JP"/>
        </w:rPr>
      </w:pPr>
      <w:r w:rsidRPr="00B36527">
        <w:lastRenderedPageBreak/>
        <w:t xml:space="preserve">In an effort to raise awareness in ITU-R on </w:t>
      </w:r>
      <w:r>
        <w:t xml:space="preserve">the </w:t>
      </w:r>
      <w:r w:rsidRPr="00B36527">
        <w:t>reports of increasing noise levels</w:t>
      </w:r>
      <w:r>
        <w:t xml:space="preserve"> considered at its previous meeting (Geneva, 2-9 June 2016)</w:t>
      </w:r>
      <w:r w:rsidRPr="00B36527">
        <w:t>, Working Party 1A requested</w:t>
      </w:r>
      <w:r w:rsidRPr="00027093">
        <w:rPr>
          <w:rStyle w:val="FootnoteReference"/>
          <w:lang w:eastAsia="ja-JP"/>
        </w:rPr>
        <w:footnoteReference w:id="1"/>
      </w:r>
      <w:r w:rsidRPr="00027093">
        <w:rPr>
          <w:lang w:eastAsia="ja-JP"/>
        </w:rPr>
        <w:t xml:space="preserve"> </w:t>
      </w:r>
      <w:r>
        <w:rPr>
          <w:lang w:val="en-US"/>
        </w:rPr>
        <w:t>Working Parties</w:t>
      </w:r>
      <w:r w:rsidRPr="00B36527">
        <w:rPr>
          <w:lang w:val="en-US"/>
        </w:rPr>
        <w:t> </w:t>
      </w:r>
      <w:r>
        <w:rPr>
          <w:lang w:val="en-US"/>
        </w:rPr>
        <w:t>1</w:t>
      </w:r>
      <w:r w:rsidRPr="00B36527">
        <w:rPr>
          <w:lang w:val="en-US"/>
        </w:rPr>
        <w:t>C and 3L to consider the underlying issues involved</w:t>
      </w:r>
      <w:r>
        <w:rPr>
          <w:lang w:val="en-US"/>
        </w:rPr>
        <w:t xml:space="preserve">, particularly as regards </w:t>
      </w:r>
      <w:r w:rsidRPr="00B36527">
        <w:rPr>
          <w:lang w:val="en-US" w:eastAsia="ja-JP"/>
        </w:rPr>
        <w:t xml:space="preserve">improving/developing </w:t>
      </w:r>
      <w:r w:rsidRPr="00AA4C17">
        <w:rPr>
          <w:lang w:val="en-US" w:eastAsia="ja-JP"/>
        </w:rPr>
        <w:t>tools for evaluating interference from cable systems</w:t>
      </w:r>
      <w:r>
        <w:rPr>
          <w:lang w:val="en-US" w:eastAsia="ja-JP"/>
        </w:rPr>
        <w:t>,</w:t>
      </w:r>
      <w:r w:rsidRPr="00AA4C17">
        <w:rPr>
          <w:lang w:val="en-US" w:eastAsia="ja-JP"/>
        </w:rPr>
        <w:t xml:space="preserve"> including aggregation effects and the egress</w:t>
      </w:r>
      <w:r>
        <w:rPr>
          <w:lang w:val="en-US" w:eastAsia="ja-JP"/>
        </w:rPr>
        <w:t>/escape</w:t>
      </w:r>
      <w:r w:rsidRPr="00AA4C17">
        <w:rPr>
          <w:lang w:val="en-US" w:eastAsia="ja-JP"/>
        </w:rPr>
        <w:t xml:space="preserve"> of radiated interference from buildings</w:t>
      </w:r>
      <w:r w:rsidRPr="00B36527">
        <w:rPr>
          <w:lang w:val="en-US"/>
        </w:rPr>
        <w:t>.</w:t>
      </w:r>
      <w:r>
        <w:rPr>
          <w:lang w:val="en-US"/>
        </w:rPr>
        <w:t xml:space="preserve"> In their reply</w:t>
      </w:r>
      <w:r>
        <w:rPr>
          <w:rStyle w:val="FootnoteReference"/>
          <w:lang w:val="en-US"/>
        </w:rPr>
        <w:footnoteReference w:id="2"/>
      </w:r>
      <w:r>
        <w:rPr>
          <w:lang w:val="en-US"/>
        </w:rPr>
        <w:t>, Working Party</w:t>
      </w:r>
      <w:r w:rsidRPr="00B36527">
        <w:rPr>
          <w:lang w:val="en-US"/>
        </w:rPr>
        <w:t> 3L</w:t>
      </w:r>
      <w:r>
        <w:rPr>
          <w:lang w:val="en-US"/>
        </w:rPr>
        <w:t xml:space="preserve"> noted </w:t>
      </w:r>
      <w:r w:rsidRPr="00B36527">
        <w:rPr>
          <w:lang w:val="en-US" w:eastAsia="ja-JP"/>
        </w:rPr>
        <w:t xml:space="preserve">that </w:t>
      </w:r>
      <w:r>
        <w:rPr>
          <w:lang w:val="en-US" w:eastAsia="ja-JP"/>
        </w:rPr>
        <w:t xml:space="preserve">conducting further </w:t>
      </w:r>
      <w:r w:rsidRPr="00B36527">
        <w:rPr>
          <w:lang w:val="en-US" w:eastAsia="ja-JP"/>
        </w:rPr>
        <w:t xml:space="preserve">studies on </w:t>
      </w:r>
      <w:r>
        <w:rPr>
          <w:lang w:val="en-US" w:eastAsia="ja-JP"/>
        </w:rPr>
        <w:t xml:space="preserve">such matters </w:t>
      </w:r>
      <w:r w:rsidRPr="00B36527">
        <w:rPr>
          <w:lang w:val="en-US" w:eastAsia="ja-JP"/>
        </w:rPr>
        <w:t xml:space="preserve">would pose some difficulties as regards the complexity of the analyses required; </w:t>
      </w:r>
      <w:r>
        <w:rPr>
          <w:lang w:val="en-US" w:eastAsia="ja-JP"/>
        </w:rPr>
        <w:t xml:space="preserve">therefore, </w:t>
      </w:r>
      <w:r w:rsidRPr="00B36527">
        <w:rPr>
          <w:lang w:val="en-US" w:eastAsia="ja-JP"/>
        </w:rPr>
        <w:t>the participation of a wider pool of expert</w:t>
      </w:r>
      <w:r>
        <w:rPr>
          <w:lang w:val="en-US" w:eastAsia="ja-JP"/>
        </w:rPr>
        <w:t xml:space="preserve">s on this topic would </w:t>
      </w:r>
      <w:r w:rsidRPr="00B36527">
        <w:rPr>
          <w:lang w:val="en-US" w:eastAsia="ja-JP"/>
        </w:rPr>
        <w:t>be welcome.</w:t>
      </w:r>
      <w:r>
        <w:rPr>
          <w:lang w:val="en-US" w:eastAsia="ja-JP"/>
        </w:rPr>
        <w:t xml:space="preserve"> Such studies would also involve development of new measurement techniques for determining noise levels in highly localized environments, especially inside buildings and within dense urban areas.</w:t>
      </w:r>
    </w:p>
    <w:p w:rsidR="00525F61" w:rsidRDefault="00525F61" w:rsidP="001256FB">
      <w:r w:rsidRPr="002C3A10">
        <w:t>Any information that can be gathered on instances of interference and levels of RF noise would therefore assist in considering how such studies could be progressed. A particular problem related to the protection of aeronautical services is the aggregated impact of potential interfering networks and individual sources as seen from aircraft.</w:t>
      </w:r>
      <w:r>
        <w:t xml:space="preserve"> Such information would also assist in considering what advice can be offered to SDOs on the design and construction of electrical/electronic equipment as regards reducing the amount of radiated, induced or conducted RF noise. </w:t>
      </w:r>
    </w:p>
    <w:p w:rsidR="00525F61" w:rsidRDefault="00525F61" w:rsidP="001256FB">
      <w:r>
        <w:rPr>
          <w:lang w:val="en-US"/>
        </w:rPr>
        <w:t xml:space="preserve">As digital signal processing becomes ubiquitous, extraneous signals now appear as more noise like, and are distributed over wider frequency ranges, than hitherto. Problems are therefore perceived as a rise in noise floor and it becomes more difficult to locate the sources of interference. </w:t>
      </w:r>
      <w:r>
        <w:rPr>
          <w:lang w:val="en-US"/>
        </w:rPr>
        <w:br/>
        <w:t xml:space="preserve">In consequence, </w:t>
      </w:r>
      <w:proofErr w:type="spellStart"/>
      <w:r>
        <w:rPr>
          <w:lang w:val="en-US"/>
        </w:rPr>
        <w:t>i</w:t>
      </w:r>
      <w:proofErr w:type="spellEnd"/>
      <w:r>
        <w:t xml:space="preserve">t may be that a better approach than the present one of setting relative levels of conducted and radiated emissions would be to set an absolute limit on the increase in the noise floor. However, since the usual practice in setting standards, producing equipment and installing systems is to work up to any emission limits, rather than minimizing emissions, this possible initiative needs further consideration in order to </w:t>
      </w:r>
      <w:r w:rsidRPr="007030CB">
        <w:t xml:space="preserve">avoid unwelcome consequences. </w:t>
      </w:r>
    </w:p>
    <w:p w:rsidR="00525F61" w:rsidRPr="007030CB" w:rsidRDefault="00525F61" w:rsidP="006B15C0">
      <w:r w:rsidRPr="007030CB">
        <w:t xml:space="preserve">Recipients are therefore </w:t>
      </w:r>
      <w:r>
        <w:t xml:space="preserve">also </w:t>
      </w:r>
      <w:r w:rsidRPr="007030CB">
        <w:t>asked to advise Working Party</w:t>
      </w:r>
      <w:r w:rsidRPr="007030CB">
        <w:rPr>
          <w:lang w:val="en-US"/>
        </w:rPr>
        <w:t xml:space="preserve"> 1A on the </w:t>
      </w:r>
      <w:r w:rsidRPr="007030CB">
        <w:t>noise floor they anticipate in order to satisfy their planned operational requirements</w:t>
      </w:r>
      <w:r>
        <w:t xml:space="preserve">, especially where there are </w:t>
      </w:r>
      <w:r w:rsidRPr="007030CB">
        <w:t>precise expect</w:t>
      </w:r>
      <w:r>
        <w:t>ations on the noise floor. Then</w:t>
      </w:r>
      <w:r w:rsidRPr="007030CB">
        <w:t>, if the noise floor rises over all or part of the intended service volume, the planned coverage will decrease</w:t>
      </w:r>
      <w:r>
        <w:t>. However, increasing transmission power is not a viable solution</w:t>
      </w:r>
      <w:r w:rsidRPr="007030CB">
        <w:t xml:space="preserve"> – </w:t>
      </w:r>
      <w:r>
        <w:t xml:space="preserve">such </w:t>
      </w:r>
      <w:r w:rsidRPr="007030CB">
        <w:t>an outcome would bring other problems as regards planning system deployment.</w:t>
      </w:r>
    </w:p>
    <w:p w:rsidR="00525F61" w:rsidRDefault="00525F61" w:rsidP="00EF3CCF">
      <w:pPr>
        <w:rPr>
          <w:lang w:val="en-US"/>
        </w:rPr>
      </w:pPr>
      <w:r>
        <w:t xml:space="preserve">The next meeting of </w:t>
      </w:r>
      <w:r>
        <w:rPr>
          <w:lang w:eastAsia="ja-JP"/>
        </w:rPr>
        <w:t>Working Party</w:t>
      </w:r>
      <w:r w:rsidRPr="00106E54">
        <w:t> </w:t>
      </w:r>
      <w:r w:rsidRPr="00FD244B">
        <w:rPr>
          <w:lang w:eastAsia="ja-JP"/>
        </w:rPr>
        <w:t xml:space="preserve">1A </w:t>
      </w:r>
      <w:r>
        <w:rPr>
          <w:lang w:eastAsia="ja-JP"/>
        </w:rPr>
        <w:t>is scheduled for 13-20 June 2017. However, it is likely to be more convenient</w:t>
      </w:r>
      <w:r>
        <w:t xml:space="preserve"> to pass any information of this nature, as it becomes available, to the </w:t>
      </w:r>
      <w:r w:rsidRPr="00976CD1">
        <w:rPr>
          <w:bCs/>
          <w:lang w:val="en-US"/>
        </w:rPr>
        <w:t>Rapporteur</w:t>
      </w:r>
      <w:r>
        <w:rPr>
          <w:rStyle w:val="FootnoteReference"/>
          <w:bCs/>
          <w:lang w:val="en-US"/>
        </w:rPr>
        <w:footnoteReference w:customMarkFollows="1" w:id="3"/>
        <w:t>*</w:t>
      </w:r>
      <w:r>
        <w:rPr>
          <w:bCs/>
          <w:lang w:val="en-US"/>
        </w:rPr>
        <w:t xml:space="preserve"> </w:t>
      </w:r>
      <w:r w:rsidRPr="00976CD1">
        <w:rPr>
          <w:bCs/>
          <w:lang w:val="en-US"/>
        </w:rPr>
        <w:t xml:space="preserve">of the </w:t>
      </w:r>
      <w:r w:rsidRPr="00976CD1">
        <w:rPr>
          <w:lang w:val="en-US" w:eastAsia="ja-JP"/>
        </w:rPr>
        <w:t>Working Party</w:t>
      </w:r>
      <w:r w:rsidRPr="00106E54">
        <w:t> </w:t>
      </w:r>
      <w:r w:rsidRPr="00976CD1">
        <w:rPr>
          <w:lang w:val="en-US" w:eastAsia="ja-JP"/>
        </w:rPr>
        <w:t xml:space="preserve">1A Rapporteur Group on the </w:t>
      </w:r>
      <w:r w:rsidRPr="00976CD1">
        <w:rPr>
          <w:lang w:val="en-US"/>
        </w:rPr>
        <w:t>coexistence of wired telecommunication with radiocommunication systems</w:t>
      </w:r>
      <w:r>
        <w:rPr>
          <w:lang w:val="en-US"/>
        </w:rPr>
        <w:t>.</w:t>
      </w:r>
    </w:p>
    <w:p w:rsidR="00525F61" w:rsidRDefault="00525F61" w:rsidP="001256FB">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25F61" w:rsidRPr="005569F7" w:rsidTr="009A4B15">
        <w:tc>
          <w:tcPr>
            <w:tcW w:w="9639" w:type="dxa"/>
            <w:gridSpan w:val="2"/>
          </w:tcPr>
          <w:p w:rsidR="00525F61" w:rsidRPr="005F5658" w:rsidRDefault="00525F61" w:rsidP="004901CA">
            <w:pPr>
              <w:rPr>
                <w:b/>
                <w:bCs/>
              </w:rPr>
            </w:pPr>
            <w:r>
              <w:rPr>
                <w:b/>
              </w:rPr>
              <w:t>Status</w:t>
            </w:r>
            <w:r w:rsidRPr="005569F7">
              <w:rPr>
                <w:b/>
              </w:rPr>
              <w:t>:</w:t>
            </w:r>
            <w:r w:rsidRPr="005569F7">
              <w:rPr>
                <w:bCs/>
              </w:rPr>
              <w:tab/>
            </w:r>
            <w:r>
              <w:rPr>
                <w:bCs/>
              </w:rPr>
              <w:t>For information and action, as appropriate.</w:t>
            </w:r>
          </w:p>
        </w:tc>
      </w:tr>
      <w:tr w:rsidR="00525F61" w:rsidRPr="005569F7" w:rsidTr="00243A77">
        <w:tc>
          <w:tcPr>
            <w:tcW w:w="9639" w:type="dxa"/>
            <w:gridSpan w:val="2"/>
          </w:tcPr>
          <w:p w:rsidR="00525F61" w:rsidRPr="005F5658" w:rsidRDefault="00525F61">
            <w:pPr>
              <w:rPr>
                <w:b/>
                <w:bCs/>
              </w:rPr>
            </w:pPr>
            <w:r>
              <w:rPr>
                <w:b/>
              </w:rPr>
              <w:t>Deadline</w:t>
            </w:r>
            <w:r w:rsidRPr="005569F7">
              <w:rPr>
                <w:b/>
              </w:rPr>
              <w:t>:</w:t>
            </w:r>
            <w:r w:rsidRPr="005569F7">
              <w:rPr>
                <w:bCs/>
              </w:rPr>
              <w:tab/>
            </w:r>
            <w:r>
              <w:rPr>
                <w:bCs/>
              </w:rPr>
              <w:t>If possible one week prior to the next meeting of Working Party 1A planned</w:t>
            </w:r>
            <w:r>
              <w:rPr>
                <w:bCs/>
              </w:rPr>
              <w:br/>
            </w:r>
            <w:r w:rsidRPr="005569F7">
              <w:rPr>
                <w:bCs/>
              </w:rPr>
              <w:tab/>
            </w:r>
            <w:r>
              <w:rPr>
                <w:bCs/>
              </w:rPr>
              <w:t>to be held on 13 to 20 June 2017</w:t>
            </w:r>
          </w:p>
        </w:tc>
      </w:tr>
      <w:tr w:rsidR="00525F61" w:rsidRPr="001A2336" w:rsidTr="00D829BC">
        <w:tc>
          <w:tcPr>
            <w:tcW w:w="5529" w:type="dxa"/>
          </w:tcPr>
          <w:p w:rsidR="00525F61" w:rsidRPr="005569F7" w:rsidRDefault="00525F61" w:rsidP="00D829BC">
            <w:pPr>
              <w:rPr>
                <w:b/>
              </w:rPr>
            </w:pPr>
            <w:r w:rsidRPr="005569F7">
              <w:rPr>
                <w:b/>
              </w:rPr>
              <w:t>Contacts:</w:t>
            </w:r>
            <w:r w:rsidRPr="005569F7">
              <w:rPr>
                <w:bCs/>
              </w:rPr>
              <w:tab/>
            </w:r>
            <w:r w:rsidRPr="00B24C1E">
              <w:rPr>
                <w:bCs/>
              </w:rPr>
              <w:t>Philippe Aubineau</w:t>
            </w:r>
          </w:p>
        </w:tc>
        <w:tc>
          <w:tcPr>
            <w:tcW w:w="4110" w:type="dxa"/>
          </w:tcPr>
          <w:p w:rsidR="00525F61" w:rsidRPr="005569F7" w:rsidRDefault="00525F61" w:rsidP="00D829BC">
            <w:pPr>
              <w:rPr>
                <w:b/>
                <w:bCs/>
                <w:lang w:val="fr-CH"/>
              </w:rPr>
            </w:pPr>
            <w:r w:rsidRPr="005569F7">
              <w:rPr>
                <w:b/>
                <w:bCs/>
                <w:lang w:val="fr-CH"/>
              </w:rPr>
              <w:t>E-mail:</w:t>
            </w:r>
            <w:r w:rsidRPr="005569F7">
              <w:rPr>
                <w:lang w:val="fr-CH"/>
              </w:rPr>
              <w:t xml:space="preserve"> </w:t>
            </w:r>
            <w:hyperlink r:id="rId16" w:history="1">
              <w:r w:rsidRPr="0059698B">
                <w:rPr>
                  <w:rStyle w:val="Hyperlink"/>
                  <w:lang w:val="fr-CH"/>
                </w:rPr>
                <w:t>philippe.aubineau@itu.int</w:t>
              </w:r>
            </w:hyperlink>
            <w:hyperlink r:id="rId17" w:history="1">
              <w:r w:rsidR="00C96029" w:rsidRPr="00C96029">
                <w:rPr>
                  <w:rStyle w:val="Hyperlink"/>
                  <w:rFonts w:ascii="Times New Roman" w:hAnsi="Times New Roman"/>
                  <w:lang w:val="fr-CA"/>
                </w:rPr>
                <w:t>mailto:</w:t>
              </w:r>
            </w:hyperlink>
          </w:p>
        </w:tc>
      </w:tr>
      <w:tr w:rsidR="00525F61" w:rsidRPr="00A323B4" w:rsidTr="00D829BC">
        <w:tc>
          <w:tcPr>
            <w:tcW w:w="9639" w:type="dxa"/>
            <w:gridSpan w:val="2"/>
          </w:tcPr>
          <w:p w:rsidR="00525F61" w:rsidRPr="00A323B4" w:rsidRDefault="00525F61" w:rsidP="00D40312">
            <w:pPr>
              <w:rPr>
                <w:b/>
                <w:bCs/>
              </w:rPr>
            </w:pPr>
            <w:r w:rsidRPr="00F618C7">
              <w:rPr>
                <w:bCs/>
                <w:lang w:val="fr-CA"/>
              </w:rPr>
              <w:tab/>
            </w:r>
            <w:r w:rsidRPr="005569F7">
              <w:rPr>
                <w:lang w:eastAsia="zh-CN"/>
              </w:rPr>
              <w:t>Counsellor</w:t>
            </w:r>
            <w:r>
              <w:rPr>
                <w:lang w:eastAsia="zh-CN"/>
              </w:rPr>
              <w:t xml:space="preserve"> for</w:t>
            </w:r>
            <w:r w:rsidRPr="005569F7">
              <w:rPr>
                <w:lang w:eastAsia="zh-CN"/>
              </w:rPr>
              <w:t xml:space="preserve"> </w:t>
            </w:r>
            <w:hyperlink r:id="rId18" w:history="1">
              <w:r w:rsidRPr="00A323B4">
                <w:rPr>
                  <w:rStyle w:val="Hyperlink"/>
                  <w:lang w:eastAsia="zh-CN"/>
                </w:rPr>
                <w:t>ITU-R Study Group 1</w:t>
              </w:r>
            </w:hyperlink>
          </w:p>
        </w:tc>
      </w:tr>
    </w:tbl>
    <w:p w:rsidR="00525F61" w:rsidRDefault="00525F61" w:rsidP="00FC3BC0">
      <w:pPr>
        <w:jc w:val="center"/>
      </w:pPr>
    </w:p>
    <w:p w:rsidR="00525F61" w:rsidRDefault="00525F61" w:rsidP="00ED4847">
      <w:pPr>
        <w:jc w:val="center"/>
      </w:pPr>
      <w:r w:rsidRPr="00E120EE">
        <w:t>______________</w:t>
      </w:r>
    </w:p>
    <w:p w:rsidR="00A12CBA" w:rsidRDefault="00A12CBA">
      <w:pPr>
        <w:spacing w:before="600"/>
        <w:jc w:val="center"/>
      </w:pPr>
    </w:p>
    <w:sectPr w:rsidR="00A12CBA" w:rsidSect="00525F61">
      <w:headerReference w:type="even" r:id="rId19"/>
      <w:headerReference w:type="first" r:id="rId20"/>
      <w:footerReference w:type="first" r:id="rId21"/>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591" w:rsidRDefault="006B7591">
      <w:r>
        <w:separator/>
      </w:r>
    </w:p>
  </w:endnote>
  <w:endnote w:type="continuationSeparator" w:id="0">
    <w:p w:rsidR="006B7591" w:rsidRDefault="006B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Pr="00C96029" w:rsidRDefault="00770160">
    <w:pPr>
      <w:pStyle w:val="Footer"/>
      <w:rPr>
        <w:sz w:val="18"/>
        <w:lang w:val="en-US"/>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96029">
      <w:rPr>
        <w:noProof/>
        <w:sz w:val="18"/>
        <w:lang w:val="fr-FR"/>
      </w:rPr>
      <w:t>3</w:t>
    </w:r>
    <w:r>
      <w:rPr>
        <w:sz w:val="18"/>
        <w:lang w:val="en-US"/>
      </w:rPr>
      <w:fldChar w:fldCharType="end"/>
    </w:r>
    <w:r w:rsidRPr="00C96029">
      <w:rPr>
        <w:sz w:val="18"/>
        <w:lang w:val="en-US"/>
      </w:rPr>
      <w:t xml:space="preserve"> pages)</w:t>
    </w:r>
  </w:p>
  <w:p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96029">
      <w:rPr>
        <w:noProof/>
        <w:sz w:val="18"/>
        <w:lang w:val="en-US"/>
      </w:rPr>
      <w:t>FSMP-WG04-WP01_LS_from_WP1A.docx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591" w:rsidRDefault="006B7591">
      <w:r>
        <w:separator/>
      </w:r>
    </w:p>
  </w:footnote>
  <w:footnote w:type="continuationSeparator" w:id="0">
    <w:p w:rsidR="006B7591" w:rsidRDefault="006B7591">
      <w:r>
        <w:continuationSeparator/>
      </w:r>
    </w:p>
  </w:footnote>
  <w:footnote w:id="1">
    <w:p w:rsidR="00525F61" w:rsidRPr="0091322E" w:rsidRDefault="00525F61" w:rsidP="00420F4B">
      <w:pPr>
        <w:pStyle w:val="FootnoteText"/>
      </w:pPr>
      <w:r>
        <w:rPr>
          <w:rStyle w:val="FootnoteReference"/>
        </w:rPr>
        <w:footnoteRef/>
      </w:r>
      <w:r w:rsidRPr="0091322E">
        <w:tab/>
        <w:t xml:space="preserve">See Document </w:t>
      </w:r>
      <w:hyperlink r:id="rId1" w:history="1">
        <w:r w:rsidRPr="0091322E">
          <w:rPr>
            <w:rStyle w:val="Hyperlink"/>
          </w:rPr>
          <w:t>1C/42–3L/19</w:t>
        </w:r>
      </w:hyperlink>
      <w:r w:rsidRPr="0091322E">
        <w:rPr>
          <w:lang w:eastAsia="ja-JP"/>
        </w:rPr>
        <w:t>.</w:t>
      </w:r>
    </w:p>
  </w:footnote>
  <w:footnote w:id="2">
    <w:p w:rsidR="00525F61" w:rsidRDefault="00525F61">
      <w:pPr>
        <w:pStyle w:val="FootnoteText"/>
      </w:pPr>
      <w:r>
        <w:rPr>
          <w:rStyle w:val="FootnoteReference"/>
        </w:rPr>
        <w:footnoteRef/>
      </w:r>
      <w:r>
        <w:tab/>
        <w:t xml:space="preserve">See Document </w:t>
      </w:r>
      <w:hyperlink r:id="rId2" w:history="1">
        <w:r w:rsidRPr="00302CE9">
          <w:rPr>
            <w:rStyle w:val="Hyperlink"/>
          </w:rPr>
          <w:t>1A/69</w:t>
        </w:r>
      </w:hyperlink>
      <w:r>
        <w:t>–</w:t>
      </w:r>
      <w:hyperlink r:id="rId3" w:history="1">
        <w:r w:rsidRPr="00302CE9">
          <w:rPr>
            <w:rStyle w:val="Hyperlink"/>
          </w:rPr>
          <w:t>1C/45</w:t>
        </w:r>
      </w:hyperlink>
      <w:r>
        <w:t>–</w:t>
      </w:r>
      <w:hyperlink r:id="rId4" w:history="1">
        <w:r w:rsidRPr="00302CE9">
          <w:rPr>
            <w:rStyle w:val="Hyperlink"/>
          </w:rPr>
          <w:t>5A/153</w:t>
        </w:r>
      </w:hyperlink>
      <w:r>
        <w:t>–</w:t>
      </w:r>
      <w:hyperlink r:id="rId5" w:history="1">
        <w:r w:rsidRPr="00302CE9">
          <w:rPr>
            <w:rStyle w:val="Hyperlink"/>
          </w:rPr>
          <w:t>5B/109</w:t>
        </w:r>
      </w:hyperlink>
      <w:r>
        <w:t>–</w:t>
      </w:r>
      <w:hyperlink r:id="rId6" w:history="1">
        <w:r w:rsidRPr="00302CE9">
          <w:rPr>
            <w:rStyle w:val="Hyperlink"/>
          </w:rPr>
          <w:t>5C/95</w:t>
        </w:r>
      </w:hyperlink>
      <w:r>
        <w:t>–</w:t>
      </w:r>
      <w:hyperlink r:id="rId7" w:history="1">
        <w:r w:rsidRPr="00302CE9">
          <w:rPr>
            <w:rStyle w:val="Hyperlink"/>
          </w:rPr>
          <w:t>6A/97</w:t>
        </w:r>
      </w:hyperlink>
      <w:r>
        <w:t>–</w:t>
      </w:r>
      <w:hyperlink r:id="rId8" w:history="1">
        <w:r w:rsidRPr="00302CE9">
          <w:rPr>
            <w:rStyle w:val="Hyperlink"/>
          </w:rPr>
          <w:t>7A/13</w:t>
        </w:r>
      </w:hyperlink>
      <w:r>
        <w:t>–</w:t>
      </w:r>
      <w:hyperlink r:id="rId9" w:history="1">
        <w:r w:rsidRPr="00302CE9">
          <w:rPr>
            <w:rStyle w:val="Hyperlink"/>
          </w:rPr>
          <w:t>7D/38</w:t>
        </w:r>
      </w:hyperlink>
    </w:p>
  </w:footnote>
  <w:footnote w:id="3">
    <w:p w:rsidR="00525F61" w:rsidRPr="00EF3CCF" w:rsidRDefault="00525F61">
      <w:pPr>
        <w:pStyle w:val="FootnoteText"/>
        <w:rPr>
          <w:lang w:val="en-US"/>
        </w:rPr>
      </w:pPr>
      <w:r>
        <w:rPr>
          <w:rStyle w:val="FootnoteReference"/>
        </w:rPr>
        <w:t>*</w:t>
      </w:r>
      <w:r>
        <w:t xml:space="preserve"> </w:t>
      </w:r>
      <w:r>
        <w:rPr>
          <w:lang w:val="en-US"/>
        </w:rPr>
        <w:t xml:space="preserve">The Rapporteur of the </w:t>
      </w:r>
      <w:r w:rsidRPr="00FD244B">
        <w:rPr>
          <w:lang w:eastAsia="ja-JP"/>
        </w:rPr>
        <w:t>Rapporteur Group</w:t>
      </w:r>
      <w:r>
        <w:rPr>
          <w:lang w:eastAsia="ja-JP"/>
        </w:rPr>
        <w:t xml:space="preserve"> is: </w:t>
      </w:r>
      <w:r w:rsidRPr="00DF0497">
        <w:rPr>
          <w:b/>
        </w:rPr>
        <w:t>John Shaw</w:t>
      </w:r>
      <w:r>
        <w:rPr>
          <w:bCs/>
        </w:rPr>
        <w:t xml:space="preserve"> (</w:t>
      </w:r>
      <w:r w:rsidRPr="00DF0497">
        <w:rPr>
          <w:b/>
          <w:bCs/>
        </w:rPr>
        <w:t>E-mail:</w:t>
      </w:r>
      <w:r w:rsidRPr="00DF0497">
        <w:t xml:space="preserve"> </w:t>
      </w:r>
      <w:hyperlink r:id="rId10" w:history="1">
        <w:r w:rsidRPr="00DF0497">
          <w:rPr>
            <w:rStyle w:val="Hyperlink"/>
          </w:rPr>
          <w:t>shawzone@usa.net</w:t>
        </w:r>
      </w:hyperlink>
      <w:hyperlink r:id="rId11" w:history="1">
        <w:r w:rsidR="00C96029" w:rsidRPr="00C96029">
          <w:rPr>
            <w:rStyle w:val="Hyperlink"/>
            <w:sz w:val="22"/>
          </w:rPr>
          <w:t>mailto:</w:t>
        </w:r>
      </w:hyperlink>
      <w:r w:rsidRPr="00DF0497">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725205">
    <w:pPr>
      <w:tabs>
        <w:tab w:val="center" w:pos="4876"/>
      </w:tabs>
      <w:spacing w:after="600"/>
    </w:pPr>
    <w:r>
      <w:t>FS</w:t>
    </w:r>
    <w:r w:rsidR="00725205">
      <w:t>MP</w:t>
    </w:r>
    <w:r w:rsidR="007E6A06">
      <w:t>-WG</w:t>
    </w:r>
    <w:r w:rsidR="00770160">
      <w:t>/</w:t>
    </w:r>
    <w:r w:rsidR="007E6A06">
      <w:t xml:space="preserve">4 </w:t>
    </w:r>
    <w:r w:rsidR="00770160">
      <w:t>WP/</w:t>
    </w:r>
    <w:r w:rsidR="0049280E">
      <w:t>xxx</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C96029">
      <w:rPr>
        <w:rStyle w:val="PageNumber"/>
        <w:noProof/>
      </w:rPr>
      <w:t>1</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83F92" w:rsidP="00664C07">
          <w:bookmarkStart w:id="12" w:name="logo"/>
          <w:r>
            <w:rPr>
              <w:noProof/>
              <w:lang w:eastAsia="zh-CN"/>
            </w:rPr>
            <w:drawing>
              <wp:inline distT="0" distB="0" distL="0" distR="0" wp14:anchorId="695A1D18" wp14:editId="411B1243">
                <wp:extent cx="108966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12"/>
        </w:p>
      </w:tc>
      <w:tc>
        <w:tcPr>
          <w:tcW w:w="3895" w:type="dxa"/>
          <w:shd w:val="clear" w:color="auto" w:fill="FFFFFF"/>
          <w:tcMar>
            <w:right w:w="0" w:type="dxa"/>
          </w:tcMar>
        </w:tcPr>
        <w:p w:rsidR="00920C27" w:rsidRPr="00066AB7" w:rsidRDefault="00683F92"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698676F" wp14:editId="5FC4F805">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1A2336">
                <w:pPr>
                  <w:framePr w:hSpace="180" w:wrap="around" w:vAnchor="text" w:hAnchor="text" w:y="1"/>
                  <w:suppressOverlap/>
                  <w:jc w:val="left"/>
                  <w:rPr>
                    <w:szCs w:val="22"/>
                  </w:rPr>
                </w:pPr>
                <w:bookmarkStart w:id="13" w:name="document_no"/>
                <w:r>
                  <w:rPr>
                    <w:szCs w:val="22"/>
                  </w:rPr>
                  <w:t>FS</w:t>
                </w:r>
                <w:r w:rsidR="00725205">
                  <w:rPr>
                    <w:szCs w:val="22"/>
                  </w:rPr>
                  <w:t>MP</w:t>
                </w:r>
                <w:r w:rsidR="007E6A06">
                  <w:rPr>
                    <w:szCs w:val="22"/>
                  </w:rPr>
                  <w:t>-WG</w:t>
                </w:r>
                <w:r w:rsidR="00920C27" w:rsidRPr="00066AB7">
                  <w:rPr>
                    <w:szCs w:val="22"/>
                  </w:rPr>
                  <w:t>/</w:t>
                </w:r>
                <w:r w:rsidR="007E6A06">
                  <w:rPr>
                    <w:szCs w:val="22"/>
                  </w:rPr>
                  <w:t xml:space="preserve">4 </w:t>
                </w:r>
                <w:r w:rsidR="00920C27" w:rsidRPr="00066AB7">
                  <w:rPr>
                    <w:szCs w:val="22"/>
                  </w:rPr>
                  <w:t>WP/</w:t>
                </w:r>
                <w:r w:rsidR="002335A7">
                  <w:rPr>
                    <w:szCs w:val="22"/>
                  </w:rPr>
                  <w:t>01</w:t>
                </w:r>
                <w:bookmarkEnd w:id="13"/>
              </w:p>
              <w:p w:rsidR="00920C27" w:rsidRPr="00066AB7" w:rsidRDefault="002335A7" w:rsidP="001A2336">
                <w:pPr>
                  <w:framePr w:hSpace="180" w:wrap="around" w:vAnchor="text" w:hAnchor="text" w:y="1"/>
                  <w:suppressOverlap/>
                  <w:jc w:val="left"/>
                  <w:rPr>
                    <w:b/>
                  </w:rPr>
                </w:pPr>
                <w:bookmarkStart w:id="14" w:name="restricted"/>
                <w:bookmarkStart w:id="15" w:name="addendum_corrigendum_appendix"/>
                <w:bookmarkStart w:id="16" w:name="revision_no"/>
                <w:bookmarkStart w:id="17" w:name="revision_date"/>
                <w:bookmarkStart w:id="18" w:name="related_to"/>
                <w:bookmarkStart w:id="19" w:name="date"/>
                <w:bookmarkEnd w:id="14"/>
                <w:bookmarkEnd w:id="15"/>
                <w:bookmarkEnd w:id="16"/>
                <w:bookmarkEnd w:id="17"/>
                <w:bookmarkEnd w:id="18"/>
                <w:r>
                  <w:rPr>
                    <w:sz w:val="18"/>
                    <w:szCs w:val="18"/>
                  </w:rPr>
                  <w:t>2017-02-08</w:t>
                </w:r>
                <w:bookmarkEnd w:id="19"/>
                <w:r w:rsidR="00920C27" w:rsidRPr="00066AB7">
                  <w:rPr>
                    <w:b/>
                    <w:sz w:val="18"/>
                    <w:szCs w:val="18"/>
                  </w:rPr>
                  <w:t xml:space="preserve"> </w:t>
                </w:r>
                <w:bookmarkStart w:id="20" w:name="info_paper"/>
                <w:bookmarkEnd w:id="20"/>
              </w:p>
            </w:tc>
          </w:tr>
          <w:tr w:rsidR="00920C27" w:rsidTr="00664C07">
            <w:trPr>
              <w:jc w:val="right"/>
            </w:trPr>
            <w:tc>
              <w:tcPr>
                <w:tcW w:w="0" w:type="auto"/>
              </w:tcPr>
              <w:p w:rsidR="00920C27" w:rsidRPr="00066AB7" w:rsidRDefault="00920C27" w:rsidP="001A2336">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27046FC4"/>
    <w:multiLevelType w:val="hybridMultilevel"/>
    <w:tmpl w:val="257A1918"/>
    <w:lvl w:ilvl="0" w:tplc="10084E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D26D5"/>
    <w:rsid w:val="001A2336"/>
    <w:rsid w:val="002072D0"/>
    <w:rsid w:val="002335A7"/>
    <w:rsid w:val="00281D53"/>
    <w:rsid w:val="003C0C6C"/>
    <w:rsid w:val="003D7FD8"/>
    <w:rsid w:val="004735BC"/>
    <w:rsid w:val="0049280E"/>
    <w:rsid w:val="00505F6E"/>
    <w:rsid w:val="00525F61"/>
    <w:rsid w:val="00625E2A"/>
    <w:rsid w:val="00664C07"/>
    <w:rsid w:val="00683F92"/>
    <w:rsid w:val="006B7591"/>
    <w:rsid w:val="00725205"/>
    <w:rsid w:val="00770160"/>
    <w:rsid w:val="007E6A06"/>
    <w:rsid w:val="00860FB4"/>
    <w:rsid w:val="008B54C4"/>
    <w:rsid w:val="00920C27"/>
    <w:rsid w:val="00A03CFF"/>
    <w:rsid w:val="00A12CBA"/>
    <w:rsid w:val="00A232A8"/>
    <w:rsid w:val="00A704C2"/>
    <w:rsid w:val="00A934CB"/>
    <w:rsid w:val="00C96029"/>
    <w:rsid w:val="00CF72A2"/>
    <w:rsid w:val="00DF76D3"/>
    <w:rsid w:val="00E57B87"/>
    <w:rsid w:val="00E77340"/>
    <w:rsid w:val="00E927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5-WP1A-C-0122/en" TargetMode="External"/><Relationship Id="rId18" Type="http://schemas.openxmlformats.org/officeDocument/2006/relationships/hyperlink" Target="http://www.itu.int/en/ITU-R/study-groups/rsg1/Pages/default.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philippe.aubineau@itu.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www.itu.int/md/R15-WP1A-C-0122/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tu.int/md/R15-WP1A-C-0136/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tu.int/md/R15-WP7a-C-0013/en" TargetMode="External"/><Relationship Id="rId3" Type="http://schemas.openxmlformats.org/officeDocument/2006/relationships/hyperlink" Target="http://www.itu.int/md/R15-WP1C-C-0045/en" TargetMode="External"/><Relationship Id="rId7" Type="http://schemas.openxmlformats.org/officeDocument/2006/relationships/hyperlink" Target="http://www.itu.int/md/R15-WP6A-C-0097/en" TargetMode="External"/><Relationship Id="rId2" Type="http://schemas.openxmlformats.org/officeDocument/2006/relationships/hyperlink" Target="http://www.itu.int/md/R15-WP1A-C-0069/en" TargetMode="External"/><Relationship Id="rId1" Type="http://schemas.openxmlformats.org/officeDocument/2006/relationships/hyperlink" Target="http://www.itu.int/md/R15-WP1C-C-0042/en" TargetMode="External"/><Relationship Id="rId6" Type="http://schemas.openxmlformats.org/officeDocument/2006/relationships/hyperlink" Target="http://www.itu.int/md/R15-WP5C-C-0095/en" TargetMode="External"/><Relationship Id="rId11" Type="http://schemas.openxmlformats.org/officeDocument/2006/relationships/hyperlink" Target="mailto:" TargetMode="External"/><Relationship Id="rId5" Type="http://schemas.openxmlformats.org/officeDocument/2006/relationships/hyperlink" Target="http://www.itu.int/md/R15-WP5B-C-0109/en" TargetMode="External"/><Relationship Id="rId10" Type="http://schemas.openxmlformats.org/officeDocument/2006/relationships/hyperlink" Target="mailto:shawzone@usa.net" TargetMode="External"/><Relationship Id="rId4" Type="http://schemas.openxmlformats.org/officeDocument/2006/relationships/hyperlink" Target="http://www.itu.int/md/R15-WP5A-C-0153/en" TargetMode="External"/><Relationship Id="rId9" Type="http://schemas.openxmlformats.org/officeDocument/2006/relationships/hyperlink" Target="http://www.itu.int/md/R15-WP7D-C-0038/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C0130-ECEE-49A8-9941-B02FA0E8CAD9}">
  <ds:schemaRefs>
    <ds:schemaRef ds:uri="http://schemas.microsoft.com/sharepoint/v3/contenttype/form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05DFDC-61AA-45C4-9F0B-0971D82790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7</cp:revision>
  <cp:lastPrinted>2017-02-08T15:09:00Z</cp:lastPrinted>
  <dcterms:created xsi:type="dcterms:W3CDTF">2017-02-08T13:55:00Z</dcterms:created>
  <dcterms:modified xsi:type="dcterms:W3CDTF">2017-02-08T15:09:00Z</dcterms:modified>
</cp:coreProperties>
</file>