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B5C" w:rsidRDefault="00013B5C" w:rsidP="00013B5C">
      <w:pPr>
        <w:jc w:val="center"/>
        <w:rPr>
          <w:b/>
        </w:rPr>
      </w:pPr>
      <w:bookmarkStart w:id="0" w:name="_GoBack"/>
      <w:bookmarkEnd w:id="0"/>
      <w:r>
        <w:rPr>
          <w:b/>
          <w:sz w:val="24"/>
          <w:lang w:val="en-US"/>
        </w:rPr>
        <w:t>FREQUENCY SPECTRUM</w:t>
      </w:r>
      <w:r>
        <w:rPr>
          <w:b/>
        </w:rPr>
        <w:t xml:space="preserve"> MANGEMENT PANEL (FSMP)</w:t>
      </w:r>
    </w:p>
    <w:p w:rsidR="00013B5C" w:rsidRDefault="00013B5C" w:rsidP="00013B5C">
      <w:pPr>
        <w:tabs>
          <w:tab w:val="left" w:pos="6972"/>
        </w:tabs>
        <w:jc w:val="center"/>
        <w:rPr>
          <w:b/>
        </w:rPr>
      </w:pPr>
    </w:p>
    <w:p w:rsidR="00013B5C" w:rsidRDefault="00013B5C" w:rsidP="00013B5C">
      <w:pPr>
        <w:pStyle w:val="Maintitle"/>
      </w:pPr>
      <w:r>
        <w:t>Fourth Working Group meeting</w:t>
      </w:r>
    </w:p>
    <w:p w:rsidR="00013B5C" w:rsidRDefault="00013B5C" w:rsidP="00013B5C"/>
    <w:p w:rsidR="00013B5C" w:rsidRDefault="00013B5C" w:rsidP="00013B5C">
      <w:pPr>
        <w:pStyle w:val="Maintitle"/>
      </w:pPr>
      <w:r>
        <w:t>Bangkok, Thailand, 29 March – 7 April 2017</w:t>
      </w:r>
    </w:p>
    <w:p w:rsidR="00013B5C" w:rsidRDefault="00013B5C" w:rsidP="00013B5C">
      <w:pPr>
        <w:pStyle w:val="Maintitle"/>
        <w:jc w:val="left"/>
      </w:pPr>
    </w:p>
    <w:p w:rsidR="00013B5C" w:rsidRDefault="00013B5C" w:rsidP="00013B5C">
      <w:pPr>
        <w:pStyle w:val="Maintitle"/>
        <w:jc w:val="left"/>
      </w:pPr>
    </w:p>
    <w:p w:rsidR="00013B5C" w:rsidRDefault="00013B5C" w:rsidP="00013B5C">
      <w:pPr>
        <w:pStyle w:val="Maintitle"/>
        <w:jc w:val="left"/>
      </w:pPr>
      <w:r w:rsidRPr="00013B5C">
        <w:t>Agenda Item 10: Any Other Business</w:t>
      </w:r>
    </w:p>
    <w:p w:rsidR="00013B5C" w:rsidRDefault="00013B5C" w:rsidP="00013B5C">
      <w:pPr>
        <w:pStyle w:val="Maintitle"/>
        <w:jc w:val="left"/>
      </w:pPr>
    </w:p>
    <w:p w:rsidR="00013B5C" w:rsidRDefault="00013B5C" w:rsidP="00013B5C">
      <w:pPr>
        <w:pStyle w:val="Title"/>
        <w:rPr>
          <w:sz w:val="28"/>
        </w:rPr>
      </w:pPr>
    </w:p>
    <w:p w:rsidR="00013B5C" w:rsidRPr="00736E40" w:rsidRDefault="00013B5C" w:rsidP="00013B5C">
      <w:pPr>
        <w:pStyle w:val="Title"/>
        <w:rPr>
          <w:sz w:val="28"/>
        </w:rPr>
      </w:pPr>
      <w:r w:rsidRPr="00736E40">
        <w:rPr>
          <w:sz w:val="28"/>
        </w:rPr>
        <w:t>REPORT</w:t>
      </w:r>
      <w:r>
        <w:rPr>
          <w:sz w:val="28"/>
        </w:rPr>
        <w:t xml:space="preserve"> </w:t>
      </w:r>
      <w:r w:rsidRPr="00736E40">
        <w:rPr>
          <w:sz w:val="28"/>
        </w:rPr>
        <w:t>OF THE</w:t>
      </w:r>
    </w:p>
    <w:p w:rsidR="00013B5C" w:rsidRPr="00736E40" w:rsidRDefault="00013B5C" w:rsidP="00013B5C">
      <w:pPr>
        <w:pStyle w:val="Title"/>
        <w:rPr>
          <w:sz w:val="28"/>
        </w:rPr>
      </w:pPr>
      <w:r w:rsidRPr="00736E40">
        <w:rPr>
          <w:sz w:val="28"/>
        </w:rPr>
        <w:t>ICAO NSP SPECTRUM WORKING GROUP MEETING</w:t>
      </w:r>
    </w:p>
    <w:p w:rsidR="00013B5C" w:rsidRPr="00736E40" w:rsidRDefault="00013B5C" w:rsidP="00013B5C">
      <w:pPr>
        <w:ind w:firstLine="142"/>
        <w:jc w:val="center"/>
        <w:rPr>
          <w:b/>
        </w:rPr>
      </w:pPr>
      <w:r>
        <w:rPr>
          <w:b/>
        </w:rPr>
        <w:t>30</w:t>
      </w:r>
      <w:r w:rsidRPr="00736E40">
        <w:rPr>
          <w:b/>
          <w:vertAlign w:val="superscript"/>
        </w:rPr>
        <w:t>th</w:t>
      </w:r>
      <w:r w:rsidRPr="00736E40">
        <w:rPr>
          <w:b/>
        </w:rPr>
        <w:t xml:space="preserve"> </w:t>
      </w:r>
      <w:r>
        <w:rPr>
          <w:b/>
        </w:rPr>
        <w:t xml:space="preserve">November </w:t>
      </w:r>
      <w:r w:rsidRPr="00736E40">
        <w:rPr>
          <w:b/>
        </w:rPr>
        <w:t xml:space="preserve">to </w:t>
      </w:r>
      <w:r>
        <w:rPr>
          <w:b/>
        </w:rPr>
        <w:t>2</w:t>
      </w:r>
      <w:r>
        <w:rPr>
          <w:b/>
          <w:vertAlign w:val="superscript"/>
        </w:rPr>
        <w:t>nd</w:t>
      </w:r>
      <w:r w:rsidRPr="00736E40">
        <w:rPr>
          <w:b/>
        </w:rPr>
        <w:t xml:space="preserve"> </w:t>
      </w:r>
      <w:r>
        <w:rPr>
          <w:b/>
        </w:rPr>
        <w:t xml:space="preserve">December </w:t>
      </w:r>
      <w:r w:rsidRPr="00736E40">
        <w:rPr>
          <w:b/>
        </w:rPr>
        <w:t>2016, ICAO Headquarters, Montreal, Canada</w:t>
      </w:r>
    </w:p>
    <w:p w:rsidR="00013B5C" w:rsidRDefault="00013B5C" w:rsidP="00013B5C">
      <w:pPr>
        <w:pStyle w:val="Maintitle"/>
        <w:jc w:val="left"/>
      </w:pPr>
    </w:p>
    <w:p w:rsidR="00013B5C" w:rsidRDefault="00013B5C" w:rsidP="00013B5C">
      <w:pPr>
        <w:pStyle w:val="Maintitle"/>
        <w:jc w:val="left"/>
      </w:pPr>
    </w:p>
    <w:p w:rsidR="00013B5C" w:rsidRDefault="00013B5C" w:rsidP="00013B5C">
      <w:pPr>
        <w:pStyle w:val="Maintitle"/>
        <w:jc w:val="left"/>
      </w:pPr>
    </w:p>
    <w:p w:rsidR="00013B5C" w:rsidRDefault="00013B5C" w:rsidP="007A3AEB">
      <w:pPr>
        <w:pStyle w:val="Maintitle"/>
      </w:pPr>
      <w:r w:rsidRPr="00013B5C">
        <w:t>Presented by</w:t>
      </w:r>
      <w:r>
        <w:t>:</w:t>
      </w:r>
      <w:r w:rsidRPr="00013B5C">
        <w:t xml:space="preserve"> ICAO NSP SWG rapporteur, Felix Butsch</w:t>
      </w:r>
    </w:p>
    <w:p w:rsidR="007A3AEB" w:rsidRDefault="007A3AEB" w:rsidP="007A3AEB">
      <w:pPr>
        <w:pStyle w:val="Maintitle"/>
      </w:pPr>
    </w:p>
    <w:p w:rsidR="007A3AEB" w:rsidRDefault="007A3AEB" w:rsidP="007A3AEB">
      <w:pPr>
        <w:pStyle w:val="Maintitle"/>
      </w:pPr>
    </w:p>
    <w:p w:rsidR="00013B5C" w:rsidRDefault="00013B5C" w:rsidP="00013B5C">
      <w:pPr>
        <w:pStyle w:val="Maintitle"/>
        <w:jc w:val="left"/>
      </w:pPr>
    </w:p>
    <w:tbl>
      <w:tblPr>
        <w:tblStyle w:val="TableGrid"/>
        <w:tblW w:w="0" w:type="auto"/>
        <w:tblInd w:w="1080" w:type="dxa"/>
        <w:tblLook w:val="04A0" w:firstRow="1" w:lastRow="0" w:firstColumn="1" w:lastColumn="0" w:noHBand="0" w:noVBand="1"/>
      </w:tblPr>
      <w:tblGrid>
        <w:gridCol w:w="8206"/>
      </w:tblGrid>
      <w:tr w:rsidR="00013B5C" w:rsidTr="00013B5C">
        <w:tc>
          <w:tcPr>
            <w:tcW w:w="9060" w:type="dxa"/>
          </w:tcPr>
          <w:p w:rsidR="003E0E9A" w:rsidRDefault="003E0E9A" w:rsidP="00013B5C">
            <w:pPr>
              <w:pStyle w:val="Maintitle"/>
              <w:ind w:left="0"/>
              <w:jc w:val="left"/>
            </w:pPr>
          </w:p>
          <w:p w:rsidR="00013B5C" w:rsidRPr="007A3AEB" w:rsidRDefault="003E0E9A" w:rsidP="00013B5C">
            <w:pPr>
              <w:pStyle w:val="Maintitle"/>
              <w:ind w:left="0"/>
              <w:jc w:val="left"/>
              <w:rPr>
                <w:sz w:val="22"/>
              </w:rPr>
            </w:pPr>
            <w:r w:rsidRPr="007A3AEB">
              <w:rPr>
                <w:sz w:val="22"/>
              </w:rPr>
              <w:t>SUMMARY</w:t>
            </w:r>
          </w:p>
          <w:p w:rsidR="00013B5C" w:rsidRDefault="00013B5C" w:rsidP="00013B5C">
            <w:pPr>
              <w:pStyle w:val="Maintitle"/>
              <w:ind w:left="0"/>
              <w:jc w:val="left"/>
            </w:pPr>
          </w:p>
          <w:p w:rsidR="00013B5C" w:rsidRDefault="00013B5C" w:rsidP="00013B5C">
            <w:pPr>
              <w:rPr>
                <w:sz w:val="22"/>
              </w:rPr>
            </w:pPr>
            <w:r w:rsidRPr="00013B5C">
              <w:rPr>
                <w:sz w:val="22"/>
              </w:rPr>
              <w:t xml:space="preserve">This information paper contains the report of the </w:t>
            </w:r>
            <w:r w:rsidR="008265DC">
              <w:rPr>
                <w:sz w:val="22"/>
              </w:rPr>
              <w:t xml:space="preserve">last </w:t>
            </w:r>
            <w:r w:rsidRPr="00013B5C">
              <w:rPr>
                <w:sz w:val="22"/>
              </w:rPr>
              <w:t>meeting of the ICAO NSP Spectrum Working Group (SWG</w:t>
            </w:r>
            <w:r w:rsidR="003E0E9A" w:rsidRPr="00013B5C">
              <w:rPr>
                <w:sz w:val="22"/>
              </w:rPr>
              <w:t>), which</w:t>
            </w:r>
            <w:r w:rsidRPr="00013B5C">
              <w:rPr>
                <w:sz w:val="22"/>
              </w:rPr>
              <w:t xml:space="preserve"> was held at ICAO Headquarters, Montreal from 30</w:t>
            </w:r>
            <w:r w:rsidRPr="00D631F7">
              <w:rPr>
                <w:sz w:val="22"/>
                <w:vertAlign w:val="superscript"/>
              </w:rPr>
              <w:t>th</w:t>
            </w:r>
            <w:r w:rsidRPr="00013B5C">
              <w:rPr>
                <w:sz w:val="22"/>
              </w:rPr>
              <w:t xml:space="preserve"> November to 2</w:t>
            </w:r>
            <w:r w:rsidRPr="00D631F7">
              <w:rPr>
                <w:sz w:val="22"/>
                <w:vertAlign w:val="superscript"/>
              </w:rPr>
              <w:t>nd</w:t>
            </w:r>
            <w:r w:rsidRPr="00013B5C">
              <w:rPr>
                <w:sz w:val="22"/>
              </w:rPr>
              <w:t xml:space="preserve"> December 2016.</w:t>
            </w:r>
            <w:r w:rsidR="007A3AEB">
              <w:rPr>
                <w:sz w:val="22"/>
              </w:rPr>
              <w:t xml:space="preserve"> The </w:t>
            </w:r>
            <w:r w:rsidR="00D631F7">
              <w:rPr>
                <w:sz w:val="22"/>
              </w:rPr>
              <w:t xml:space="preserve">discussions of </w:t>
            </w:r>
            <w:r w:rsidR="007A3AEB">
              <w:rPr>
                <w:sz w:val="22"/>
              </w:rPr>
              <w:t>main topics of the meeting can be summarised as follows:</w:t>
            </w:r>
          </w:p>
          <w:p w:rsidR="007A3AEB" w:rsidRDefault="007A3AEB" w:rsidP="007A3AEB">
            <w:pPr>
              <w:rPr>
                <w:b/>
                <w:szCs w:val="20"/>
              </w:rPr>
            </w:pPr>
          </w:p>
          <w:p w:rsidR="007A3AEB" w:rsidRPr="007A3AEB" w:rsidRDefault="007A3AEB" w:rsidP="007A3AEB">
            <w:pPr>
              <w:rPr>
                <w:b/>
                <w:sz w:val="22"/>
                <w:szCs w:val="20"/>
              </w:rPr>
            </w:pPr>
            <w:r w:rsidRPr="007A3AEB">
              <w:rPr>
                <w:b/>
                <w:sz w:val="22"/>
                <w:szCs w:val="20"/>
              </w:rPr>
              <w:t>GBAS VDB Frequency coordination criteria</w:t>
            </w:r>
          </w:p>
          <w:p w:rsidR="007A3AEB" w:rsidRPr="007A3AEB" w:rsidRDefault="007A3AEB" w:rsidP="007A3AEB">
            <w:pPr>
              <w:rPr>
                <w:sz w:val="22"/>
                <w:szCs w:val="20"/>
              </w:rPr>
            </w:pPr>
            <w:r w:rsidRPr="007A3AEB">
              <w:rPr>
                <w:sz w:val="22"/>
                <w:szCs w:val="20"/>
              </w:rPr>
              <w:t>Several papers were presented which demonstrated that ILS and VOR Undesired signal sources exceed the adjacent channel suppression performance (Desired to Undesired signal power ratio) and maximum received signal power specified by the GBAS MOPS, RTCA DO-253() in operationally relevant areas. This poses a problem for the derivation of frequency coordination criteria. In particular, for airports with existing ILS and VOR transmitters</w:t>
            </w:r>
            <w:r>
              <w:rPr>
                <w:sz w:val="22"/>
                <w:szCs w:val="20"/>
              </w:rPr>
              <w:t>, the</w:t>
            </w:r>
            <w:r w:rsidRPr="007A3AEB">
              <w:rPr>
                <w:sz w:val="22"/>
                <w:szCs w:val="20"/>
              </w:rPr>
              <w:t xml:space="preserve"> deployment of GBAS may not be possible with the current criteria. A joint meeting of </w:t>
            </w:r>
            <w:r w:rsidR="00D631F7">
              <w:rPr>
                <w:sz w:val="22"/>
                <w:szCs w:val="20"/>
              </w:rPr>
              <w:t>GBAS Working Group (</w:t>
            </w:r>
            <w:r w:rsidRPr="007A3AEB">
              <w:rPr>
                <w:sz w:val="22"/>
                <w:szCs w:val="20"/>
              </w:rPr>
              <w:t>GWG</w:t>
            </w:r>
            <w:r w:rsidR="00D631F7">
              <w:rPr>
                <w:sz w:val="22"/>
                <w:szCs w:val="20"/>
              </w:rPr>
              <w:t>)</w:t>
            </w:r>
            <w:r w:rsidRPr="007A3AEB">
              <w:rPr>
                <w:sz w:val="22"/>
                <w:szCs w:val="20"/>
              </w:rPr>
              <w:t xml:space="preserve"> an</w:t>
            </w:r>
            <w:r w:rsidR="00D631F7">
              <w:rPr>
                <w:sz w:val="22"/>
                <w:szCs w:val="20"/>
              </w:rPr>
              <w:t>d</w:t>
            </w:r>
            <w:r w:rsidRPr="007A3AEB">
              <w:rPr>
                <w:sz w:val="22"/>
                <w:szCs w:val="20"/>
              </w:rPr>
              <w:t xml:space="preserve"> </w:t>
            </w:r>
            <w:r w:rsidR="00D631F7">
              <w:rPr>
                <w:sz w:val="22"/>
                <w:szCs w:val="20"/>
              </w:rPr>
              <w:t xml:space="preserve">the </w:t>
            </w:r>
            <w:r w:rsidR="00D631F7" w:rsidRPr="00013B5C">
              <w:rPr>
                <w:sz w:val="22"/>
              </w:rPr>
              <w:t>Spectrum Working Group</w:t>
            </w:r>
            <w:r w:rsidRPr="007A3AEB">
              <w:rPr>
                <w:sz w:val="22"/>
                <w:szCs w:val="20"/>
              </w:rPr>
              <w:t xml:space="preserve"> developed a paper</w:t>
            </w:r>
            <w:r w:rsidR="00D631F7">
              <w:rPr>
                <w:sz w:val="22"/>
                <w:szCs w:val="20"/>
              </w:rPr>
              <w:t xml:space="preserve"> (flimsy 9, rev.1 of the meeting)</w:t>
            </w:r>
            <w:r w:rsidRPr="007A3AEB">
              <w:rPr>
                <w:sz w:val="22"/>
                <w:szCs w:val="20"/>
              </w:rPr>
              <w:t xml:space="preserve">, which </w:t>
            </w:r>
            <w:r w:rsidR="00D631F7">
              <w:rPr>
                <w:sz w:val="22"/>
                <w:szCs w:val="20"/>
              </w:rPr>
              <w:t xml:space="preserve">was intended to inform </w:t>
            </w:r>
            <w:r w:rsidRPr="007A3AEB">
              <w:rPr>
                <w:sz w:val="22"/>
                <w:szCs w:val="20"/>
              </w:rPr>
              <w:t>RTCA SC-159 WG 4</w:t>
            </w:r>
            <w:r w:rsidR="00D631F7">
              <w:rPr>
                <w:sz w:val="22"/>
                <w:szCs w:val="20"/>
              </w:rPr>
              <w:t xml:space="preserve"> </w:t>
            </w:r>
            <w:r w:rsidR="00D631F7" w:rsidRPr="007A3AEB">
              <w:rPr>
                <w:sz w:val="22"/>
                <w:szCs w:val="20"/>
              </w:rPr>
              <w:t>about this situation</w:t>
            </w:r>
            <w:r w:rsidRPr="007A3AEB">
              <w:rPr>
                <w:sz w:val="22"/>
                <w:szCs w:val="20"/>
              </w:rPr>
              <w:t>. Moreover, this paper also requests from RTCA a more stringent specification of the on-board GBAS VDB interference suppression leading to more practicable frequency coordination criteria. SWG and GWG will closely cooperate with RTCA on resolving this issue with the target to be able to promulgate new frequency coordination criteria for GBAS VDB in the 2020 update cycle of Annex 10.</w:t>
            </w:r>
          </w:p>
          <w:p w:rsidR="007A3AEB" w:rsidRPr="007A3AEB" w:rsidRDefault="007A3AEB" w:rsidP="007A3AEB">
            <w:pPr>
              <w:rPr>
                <w:rFonts w:ascii="Arial" w:hAnsi="Arial"/>
                <w:sz w:val="22"/>
                <w:szCs w:val="20"/>
              </w:rPr>
            </w:pPr>
          </w:p>
          <w:p w:rsidR="007A3AEB" w:rsidRPr="007A3AEB" w:rsidRDefault="007A3AEB" w:rsidP="007A3AEB">
            <w:pPr>
              <w:rPr>
                <w:rFonts w:ascii="Arial" w:hAnsi="Arial"/>
                <w:sz w:val="22"/>
                <w:szCs w:val="20"/>
              </w:rPr>
            </w:pPr>
          </w:p>
          <w:p w:rsidR="007A3AEB" w:rsidRPr="007A3AEB" w:rsidRDefault="007A3AEB" w:rsidP="007A3AEB">
            <w:pPr>
              <w:rPr>
                <w:b/>
                <w:sz w:val="22"/>
                <w:szCs w:val="20"/>
              </w:rPr>
            </w:pPr>
            <w:r w:rsidRPr="007A3AEB">
              <w:rPr>
                <w:b/>
                <w:sz w:val="22"/>
                <w:szCs w:val="20"/>
              </w:rPr>
              <w:t>Insertion of GNSS RFI Mitigation Plan into GNSS Manual:</w:t>
            </w:r>
          </w:p>
          <w:p w:rsidR="007A3AEB" w:rsidRDefault="007A3AEB" w:rsidP="007A3AEB">
            <w:pPr>
              <w:rPr>
                <w:sz w:val="22"/>
                <w:szCs w:val="20"/>
              </w:rPr>
            </w:pPr>
            <w:r w:rsidRPr="007A3AEB">
              <w:rPr>
                <w:sz w:val="22"/>
                <w:szCs w:val="20"/>
              </w:rPr>
              <w:t>SWG reviewed the GNSS RFI Mitigation Plan and adopted it with small revisions and amendments. The main change is an addition regarding protection against interference from GNSS-repeaters based on the outcome of German studies on this topic.</w:t>
            </w:r>
          </w:p>
          <w:p w:rsidR="00CA3800" w:rsidRDefault="00CA3800" w:rsidP="007A3AEB">
            <w:pPr>
              <w:rPr>
                <w:sz w:val="22"/>
                <w:szCs w:val="20"/>
              </w:rPr>
            </w:pPr>
          </w:p>
          <w:p w:rsidR="00CA3800" w:rsidRPr="007A3AEB" w:rsidRDefault="00CA3800" w:rsidP="007A3AEB">
            <w:pPr>
              <w:rPr>
                <w:sz w:val="22"/>
                <w:szCs w:val="20"/>
              </w:rPr>
            </w:pPr>
          </w:p>
          <w:p w:rsidR="007A3AEB" w:rsidRPr="007A3AEB" w:rsidRDefault="007A3AEB" w:rsidP="007A3AEB">
            <w:pPr>
              <w:rPr>
                <w:sz w:val="22"/>
                <w:szCs w:val="20"/>
              </w:rPr>
            </w:pPr>
          </w:p>
          <w:p w:rsidR="007A3AEB" w:rsidRPr="007A3AEB" w:rsidRDefault="007A3AEB" w:rsidP="007A3AEB">
            <w:pPr>
              <w:rPr>
                <w:b/>
                <w:sz w:val="22"/>
                <w:szCs w:val="20"/>
              </w:rPr>
            </w:pPr>
            <w:r w:rsidRPr="007A3AEB">
              <w:rPr>
                <w:b/>
                <w:sz w:val="22"/>
                <w:szCs w:val="20"/>
              </w:rPr>
              <w:t>LDACS</w:t>
            </w:r>
          </w:p>
          <w:p w:rsidR="007A3AEB" w:rsidRPr="007A3AEB" w:rsidRDefault="007A3AEB" w:rsidP="007A3AEB">
            <w:pPr>
              <w:rPr>
                <w:sz w:val="22"/>
                <w:szCs w:val="20"/>
              </w:rPr>
            </w:pPr>
            <w:r w:rsidRPr="007A3AEB">
              <w:rPr>
                <w:sz w:val="22"/>
                <w:szCs w:val="20"/>
              </w:rPr>
              <w:lastRenderedPageBreak/>
              <w:t>The SWG reviewed a paper dealing with the Status and spectrum characteristics of a future L-band Aeronautical Digital Communication System (LDACS). Due to the fact, the LDACS is foreseen to operate in the band 960 to 1164 MHz, the electromagnetic compatibility with terrestrial navigation systems and secondary surveillance radar in the band needs to be studied.</w:t>
            </w:r>
            <w:r>
              <w:rPr>
                <w:sz w:val="22"/>
                <w:szCs w:val="20"/>
              </w:rPr>
              <w:t xml:space="preserve"> </w:t>
            </w:r>
            <w:r w:rsidRPr="007A3AEB">
              <w:rPr>
                <w:sz w:val="22"/>
                <w:szCs w:val="20"/>
              </w:rPr>
              <w:t>For this reason, the SWG recommended that compatibility studies between aeronautical radio navigations systems and LDACS shall be further developed in close cooperation with ICAO NSP SWG and that 1030/1090 MHz studies be liaised to the ICAO Surveillance Panel.</w:t>
            </w:r>
          </w:p>
          <w:p w:rsidR="007A3AEB" w:rsidRPr="007A3AEB" w:rsidRDefault="007A3AEB" w:rsidP="007A3AEB">
            <w:pPr>
              <w:rPr>
                <w:sz w:val="22"/>
                <w:szCs w:val="20"/>
              </w:rPr>
            </w:pPr>
          </w:p>
          <w:p w:rsidR="007A3AEB" w:rsidRPr="007A3AEB" w:rsidRDefault="007A3AEB" w:rsidP="007A3AEB">
            <w:pPr>
              <w:rPr>
                <w:b/>
                <w:sz w:val="22"/>
                <w:szCs w:val="20"/>
              </w:rPr>
            </w:pPr>
            <w:r w:rsidRPr="007A3AEB">
              <w:rPr>
                <w:b/>
                <w:sz w:val="22"/>
                <w:szCs w:val="20"/>
              </w:rPr>
              <w:t>Potential need for revision of frequency planning Rules for ILS-VOR</w:t>
            </w:r>
          </w:p>
          <w:p w:rsidR="007A3AEB" w:rsidRPr="007A3AEB" w:rsidRDefault="007A3AEB" w:rsidP="007A3AEB">
            <w:pPr>
              <w:rPr>
                <w:sz w:val="22"/>
                <w:szCs w:val="20"/>
              </w:rPr>
            </w:pPr>
            <w:r w:rsidRPr="007A3AEB">
              <w:rPr>
                <w:sz w:val="22"/>
                <w:szCs w:val="20"/>
              </w:rPr>
              <w:t>The SWG reviewed two papers origination from the European ICAO Frequency management group ICAO EANPG FMG. They identify contradiction in the geographical separation rules between ILS Localizers and VOR in ICAO Annex 10, Vol. I, Attachment C, section 3.5. Two volunteering experts for terrestrial Navaids will analyse the need to revise these planning rules in more detail until the next SWG meeting. If it turns out the SWG needs to dedicate considerable work on this topic a Job</w:t>
            </w:r>
            <w:r w:rsidR="008265DC">
              <w:rPr>
                <w:sz w:val="22"/>
                <w:szCs w:val="20"/>
              </w:rPr>
              <w:t> </w:t>
            </w:r>
            <w:r w:rsidRPr="007A3AEB">
              <w:rPr>
                <w:sz w:val="22"/>
                <w:szCs w:val="20"/>
              </w:rPr>
              <w:t>Card on this task will be drafted at the next meeting.</w:t>
            </w:r>
          </w:p>
          <w:p w:rsidR="007A3AEB" w:rsidRPr="007A3AEB" w:rsidRDefault="007A3AEB" w:rsidP="007A3AEB">
            <w:pPr>
              <w:rPr>
                <w:sz w:val="22"/>
                <w:szCs w:val="20"/>
              </w:rPr>
            </w:pPr>
          </w:p>
          <w:p w:rsidR="007A3AEB" w:rsidRPr="007A3AEB" w:rsidRDefault="007A3AEB" w:rsidP="007A3AEB">
            <w:pPr>
              <w:rPr>
                <w:b/>
                <w:sz w:val="22"/>
                <w:szCs w:val="20"/>
              </w:rPr>
            </w:pPr>
            <w:r w:rsidRPr="007A3AEB">
              <w:rPr>
                <w:b/>
                <w:sz w:val="22"/>
                <w:szCs w:val="20"/>
              </w:rPr>
              <w:t>Electromagnetic Compatibility of Beidou with Mobile Satellite Service</w:t>
            </w:r>
          </w:p>
          <w:p w:rsidR="003E0E9A" w:rsidRPr="00013B5C" w:rsidRDefault="007A3AEB" w:rsidP="00013B5C">
            <w:pPr>
              <w:rPr>
                <w:sz w:val="22"/>
              </w:rPr>
            </w:pPr>
            <w:r w:rsidRPr="007A3AEB">
              <w:rPr>
                <w:sz w:val="22"/>
                <w:szCs w:val="20"/>
              </w:rPr>
              <w:t xml:space="preserve">In a response to an action item </w:t>
            </w:r>
            <w:r w:rsidR="00D631F7">
              <w:rPr>
                <w:sz w:val="22"/>
                <w:szCs w:val="20"/>
              </w:rPr>
              <w:t xml:space="preserve">from an earlier SWG meeting, </w:t>
            </w:r>
            <w:r w:rsidRPr="007A3AEB">
              <w:rPr>
                <w:sz w:val="22"/>
                <w:szCs w:val="20"/>
              </w:rPr>
              <w:t>Beidou-experts presented a paper analysing the Electromagnetic Compatibility of the Beidou B1I signal with the Mobile Satellite Service (MSS) in the band below (&lt;1559 MHz). The result was that emissions by the MSS could cause an increase of the range tracking error of the Beidou B1I signal above the value of 0.4 m which is contained as the tracking error limit in the draft SARPS for Beidou B1I. The SWG pointed out that, since MSS does comply with the conditions stipulated by ITU for the operation in it</w:t>
            </w:r>
            <w:r>
              <w:rPr>
                <w:sz w:val="22"/>
                <w:szCs w:val="20"/>
              </w:rPr>
              <w:t>s</w:t>
            </w:r>
            <w:r w:rsidRPr="007A3AEB">
              <w:rPr>
                <w:sz w:val="22"/>
                <w:szCs w:val="20"/>
              </w:rPr>
              <w:t xml:space="preserve"> dedicated band no further protection can be claimed. Therefore</w:t>
            </w:r>
            <w:r>
              <w:rPr>
                <w:sz w:val="22"/>
                <w:szCs w:val="20"/>
              </w:rPr>
              <w:t>,</w:t>
            </w:r>
            <w:r w:rsidRPr="007A3AEB">
              <w:rPr>
                <w:sz w:val="22"/>
                <w:szCs w:val="20"/>
              </w:rPr>
              <w:t xml:space="preserve"> the SWG recommended that the interference robustness of the receiver be increased to recognize the interference caused by MSS. This should be reflected in a change in the interference threshold mask.</w:t>
            </w:r>
          </w:p>
          <w:p w:rsidR="00013B5C" w:rsidRDefault="00013B5C" w:rsidP="00013B5C">
            <w:pPr>
              <w:pStyle w:val="Maintitle"/>
              <w:ind w:left="0"/>
              <w:jc w:val="left"/>
            </w:pPr>
          </w:p>
        </w:tc>
      </w:tr>
    </w:tbl>
    <w:p w:rsidR="00013B5C" w:rsidRPr="00013B5C" w:rsidRDefault="00013B5C" w:rsidP="00013B5C">
      <w:pPr>
        <w:pStyle w:val="Maintitle"/>
        <w:jc w:val="left"/>
      </w:pPr>
    </w:p>
    <w:p w:rsidR="00013B5C" w:rsidRDefault="00013B5C">
      <w:pPr>
        <w:pStyle w:val="Title"/>
        <w:rPr>
          <w:sz w:val="28"/>
        </w:rPr>
      </w:pPr>
    </w:p>
    <w:p w:rsidR="00013B5C" w:rsidRDefault="00013B5C">
      <w:pPr>
        <w:pStyle w:val="Title"/>
        <w:rPr>
          <w:sz w:val="28"/>
        </w:rPr>
      </w:pPr>
    </w:p>
    <w:p w:rsidR="00013B5C" w:rsidRDefault="00013B5C">
      <w:pPr>
        <w:rPr>
          <w:b/>
          <w:sz w:val="28"/>
          <w:szCs w:val="20"/>
          <w:lang w:eastAsia="en-US"/>
        </w:rPr>
      </w:pPr>
      <w:r>
        <w:rPr>
          <w:sz w:val="28"/>
        </w:rPr>
        <w:br w:type="page"/>
      </w:r>
    </w:p>
    <w:p w:rsidR="00074170" w:rsidRPr="00736E40" w:rsidRDefault="00074170">
      <w:pPr>
        <w:pStyle w:val="Title"/>
        <w:rPr>
          <w:sz w:val="28"/>
        </w:rPr>
      </w:pPr>
      <w:r w:rsidRPr="00736E40">
        <w:rPr>
          <w:sz w:val="28"/>
        </w:rPr>
        <w:lastRenderedPageBreak/>
        <w:t>REPORT</w:t>
      </w:r>
    </w:p>
    <w:p w:rsidR="00074170" w:rsidRPr="00736E40" w:rsidRDefault="00074170">
      <w:pPr>
        <w:pStyle w:val="Title"/>
        <w:rPr>
          <w:sz w:val="28"/>
        </w:rPr>
      </w:pPr>
      <w:r w:rsidRPr="00736E40">
        <w:rPr>
          <w:sz w:val="28"/>
        </w:rPr>
        <w:t>OF THE</w:t>
      </w:r>
    </w:p>
    <w:p w:rsidR="00074170" w:rsidRPr="00736E40" w:rsidRDefault="00074170">
      <w:pPr>
        <w:pStyle w:val="Title"/>
        <w:rPr>
          <w:sz w:val="28"/>
        </w:rPr>
      </w:pPr>
      <w:r w:rsidRPr="00736E40">
        <w:rPr>
          <w:sz w:val="28"/>
        </w:rPr>
        <w:t>ICAO NSP SPECTRUM WORKING GROUP MEETING</w:t>
      </w:r>
    </w:p>
    <w:p w:rsidR="00074170" w:rsidRPr="00736E40" w:rsidRDefault="00A03811">
      <w:pPr>
        <w:ind w:firstLine="142"/>
        <w:jc w:val="center"/>
        <w:rPr>
          <w:b/>
        </w:rPr>
      </w:pPr>
      <w:r>
        <w:rPr>
          <w:b/>
        </w:rPr>
        <w:t>30</w:t>
      </w:r>
      <w:r w:rsidR="00074170" w:rsidRPr="00736E40">
        <w:rPr>
          <w:b/>
          <w:vertAlign w:val="superscript"/>
        </w:rPr>
        <w:t>th</w:t>
      </w:r>
      <w:r w:rsidR="00074170" w:rsidRPr="00736E40">
        <w:rPr>
          <w:b/>
        </w:rPr>
        <w:t xml:space="preserve"> </w:t>
      </w:r>
      <w:r>
        <w:rPr>
          <w:b/>
        </w:rPr>
        <w:t xml:space="preserve">November </w:t>
      </w:r>
      <w:r w:rsidR="00074170" w:rsidRPr="00736E40">
        <w:rPr>
          <w:b/>
        </w:rPr>
        <w:t xml:space="preserve">to </w:t>
      </w:r>
      <w:r>
        <w:rPr>
          <w:b/>
        </w:rPr>
        <w:t>2</w:t>
      </w:r>
      <w:r>
        <w:rPr>
          <w:b/>
          <w:vertAlign w:val="superscript"/>
        </w:rPr>
        <w:t>nd</w:t>
      </w:r>
      <w:r w:rsidR="00074170" w:rsidRPr="00736E40">
        <w:rPr>
          <w:b/>
        </w:rPr>
        <w:t xml:space="preserve"> </w:t>
      </w:r>
      <w:r>
        <w:rPr>
          <w:b/>
        </w:rPr>
        <w:t xml:space="preserve">December </w:t>
      </w:r>
      <w:r w:rsidR="00074170" w:rsidRPr="00736E40">
        <w:rPr>
          <w:b/>
        </w:rPr>
        <w:t>2016, ICAO Headquarters, Montreal, Canada</w:t>
      </w:r>
    </w:p>
    <w:p w:rsidR="00074170" w:rsidRPr="00736E40" w:rsidRDefault="00074170">
      <w:pPr>
        <w:ind w:firstLine="142"/>
        <w:jc w:val="center"/>
      </w:pPr>
    </w:p>
    <w:p w:rsidR="00074170" w:rsidRPr="00736E40" w:rsidRDefault="00074170">
      <w:pPr>
        <w:pStyle w:val="1Heading"/>
        <w:numPr>
          <w:ilvl w:val="0"/>
          <w:numId w:val="0"/>
        </w:numPr>
      </w:pPr>
      <w:r w:rsidRPr="00736E40">
        <w:t>I. Introduction</w:t>
      </w:r>
    </w:p>
    <w:p w:rsidR="00074170" w:rsidRPr="00736E40" w:rsidRDefault="00074170"/>
    <w:p w:rsidR="00074170" w:rsidRPr="00736E40" w:rsidRDefault="00074170" w:rsidP="00930A50">
      <w:r w:rsidRPr="00736E40">
        <w:t xml:space="preserve">The meeting of the ICAO NSP Spectrum Working Group (SWG) was held at ICAO Headquarters, Montreal from </w:t>
      </w:r>
      <w:r w:rsidR="00A03811" w:rsidRPr="00A03811">
        <w:t>30</w:t>
      </w:r>
      <w:r w:rsidR="00A03811" w:rsidRPr="001B77B5">
        <w:rPr>
          <w:vertAlign w:val="superscript"/>
        </w:rPr>
        <w:t xml:space="preserve">th </w:t>
      </w:r>
      <w:r w:rsidR="00A03811" w:rsidRPr="00A03811">
        <w:t>November to 2</w:t>
      </w:r>
      <w:r w:rsidR="00A03811" w:rsidRPr="001B77B5">
        <w:rPr>
          <w:vertAlign w:val="superscript"/>
        </w:rPr>
        <w:t>nd</w:t>
      </w:r>
      <w:r w:rsidR="00A03811" w:rsidRPr="00A03811">
        <w:t xml:space="preserve"> December 2016</w:t>
      </w:r>
      <w:r w:rsidRPr="00736E40">
        <w:t xml:space="preserve">. Mr. Felix Butsch, the rapporteur of the SWG, chaired the meeting. </w:t>
      </w:r>
    </w:p>
    <w:p w:rsidR="00074170" w:rsidRPr="00736E40" w:rsidRDefault="00074170" w:rsidP="00930A50"/>
    <w:p w:rsidR="00074170" w:rsidRPr="00736E40" w:rsidRDefault="00074170" w:rsidP="00930A50">
      <w:r w:rsidRPr="00736E40">
        <w:t>Attachment A contains a list of action items and actionees. Attachment B provides a list of participants. The following table contains an overview of agenda items with corresponding working and infor</w:t>
      </w:r>
      <w:r w:rsidRPr="00736E40">
        <w:softHyphen/>
        <w:t xml:space="preserve">mation papers, which were discussed by the Spectrum </w:t>
      </w:r>
      <w:r w:rsidR="00D113A7">
        <w:t>Working Group</w:t>
      </w:r>
      <w:r w:rsidRPr="00736E40">
        <w:t>:</w:t>
      </w: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5084"/>
        <w:gridCol w:w="2351"/>
      </w:tblGrid>
      <w:tr w:rsidR="00074170" w:rsidRPr="00736E40" w:rsidTr="00162B97">
        <w:tc>
          <w:tcPr>
            <w:tcW w:w="1630" w:type="dxa"/>
          </w:tcPr>
          <w:p w:rsidR="00074170" w:rsidRPr="00736E40" w:rsidRDefault="00074170" w:rsidP="00AA3887">
            <w:pPr>
              <w:rPr>
                <w:b/>
                <w:bCs/>
                <w:sz w:val="20"/>
              </w:rPr>
            </w:pPr>
            <w:r w:rsidRPr="00736E40">
              <w:rPr>
                <w:b/>
                <w:bCs/>
                <w:sz w:val="20"/>
              </w:rPr>
              <w:t xml:space="preserve">WP/IP No. </w:t>
            </w:r>
          </w:p>
        </w:tc>
        <w:tc>
          <w:tcPr>
            <w:tcW w:w="5084" w:type="dxa"/>
          </w:tcPr>
          <w:p w:rsidR="00074170" w:rsidRPr="00736E40" w:rsidRDefault="00074170" w:rsidP="00AA3887">
            <w:pPr>
              <w:rPr>
                <w:b/>
                <w:bCs/>
                <w:sz w:val="20"/>
              </w:rPr>
            </w:pPr>
            <w:r w:rsidRPr="00736E40">
              <w:rPr>
                <w:b/>
                <w:bCs/>
                <w:sz w:val="20"/>
              </w:rPr>
              <w:t xml:space="preserve">Title </w:t>
            </w:r>
          </w:p>
        </w:tc>
        <w:tc>
          <w:tcPr>
            <w:tcW w:w="2351" w:type="dxa"/>
          </w:tcPr>
          <w:p w:rsidR="00074170" w:rsidRPr="00736E40" w:rsidRDefault="00074170" w:rsidP="005148D8">
            <w:pPr>
              <w:rPr>
                <w:b/>
                <w:bCs/>
                <w:sz w:val="20"/>
              </w:rPr>
            </w:pPr>
            <w:r w:rsidRPr="00736E40">
              <w:rPr>
                <w:b/>
                <w:bCs/>
                <w:sz w:val="20"/>
              </w:rPr>
              <w:t>Presented to NSP by (Presented to S</w:t>
            </w:r>
            <w:r w:rsidR="005148D8">
              <w:rPr>
                <w:b/>
                <w:bCs/>
                <w:sz w:val="20"/>
              </w:rPr>
              <w:t>W</w:t>
            </w:r>
            <w:r w:rsidRPr="00736E40">
              <w:rPr>
                <w:b/>
                <w:bCs/>
                <w:sz w:val="20"/>
              </w:rPr>
              <w:t>G by)</w:t>
            </w:r>
          </w:p>
        </w:tc>
      </w:tr>
      <w:tr w:rsidR="00074170" w:rsidRPr="00736E40" w:rsidTr="00162B97">
        <w:tc>
          <w:tcPr>
            <w:tcW w:w="9065" w:type="dxa"/>
            <w:gridSpan w:val="3"/>
          </w:tcPr>
          <w:p w:rsidR="00074170" w:rsidRPr="00736E40" w:rsidRDefault="00074170" w:rsidP="00064E3A">
            <w:pPr>
              <w:rPr>
                <w:b/>
                <w:szCs w:val="20"/>
              </w:rPr>
            </w:pPr>
            <w:r w:rsidRPr="00736E40">
              <w:rPr>
                <w:b/>
                <w:highlight w:val="green"/>
              </w:rPr>
              <w:t>Agenda Item 6a): Signal and compatibility issues in the band 108 to 117.975 MHz</w:t>
            </w:r>
          </w:p>
        </w:tc>
      </w:tr>
      <w:tr w:rsidR="00074170" w:rsidRPr="00736E40" w:rsidTr="00162B97">
        <w:tc>
          <w:tcPr>
            <w:tcW w:w="9065" w:type="dxa"/>
            <w:gridSpan w:val="3"/>
          </w:tcPr>
          <w:p w:rsidR="00074170" w:rsidRPr="00736E40" w:rsidRDefault="00074170" w:rsidP="00A03811">
            <w:pPr>
              <w:rPr>
                <w:b/>
                <w:highlight w:val="green"/>
              </w:rPr>
            </w:pPr>
          </w:p>
        </w:tc>
      </w:tr>
      <w:tr w:rsidR="00074170" w:rsidRPr="00B87CE8" w:rsidTr="00162B97">
        <w:tc>
          <w:tcPr>
            <w:tcW w:w="1630" w:type="dxa"/>
          </w:tcPr>
          <w:p w:rsidR="00074170" w:rsidRPr="00B60EFF" w:rsidRDefault="00D8283D" w:rsidP="00B81F69">
            <w:pPr>
              <w:rPr>
                <w:b/>
                <w:sz w:val="20"/>
                <w:szCs w:val="20"/>
              </w:rPr>
            </w:pPr>
            <w:r w:rsidRPr="00B60EFF">
              <w:rPr>
                <w:b/>
                <w:sz w:val="20"/>
                <w:szCs w:val="20"/>
              </w:rPr>
              <w:t>IP</w:t>
            </w:r>
            <w:r w:rsidR="00B36A06" w:rsidRPr="00B60EFF">
              <w:rPr>
                <w:b/>
                <w:sz w:val="20"/>
                <w:szCs w:val="20"/>
              </w:rPr>
              <w:t>21</w:t>
            </w:r>
            <w:r w:rsidR="00790098" w:rsidRPr="00B60EFF">
              <w:rPr>
                <w:b/>
                <w:sz w:val="20"/>
                <w:szCs w:val="20"/>
              </w:rPr>
              <w:t>,rev.</w:t>
            </w:r>
            <w:r w:rsidR="00B81F69" w:rsidRPr="00B60EFF">
              <w:rPr>
                <w:b/>
                <w:sz w:val="20"/>
                <w:szCs w:val="20"/>
              </w:rPr>
              <w:t>2</w:t>
            </w:r>
          </w:p>
        </w:tc>
        <w:tc>
          <w:tcPr>
            <w:tcW w:w="5084" w:type="dxa"/>
          </w:tcPr>
          <w:p w:rsidR="00074170" w:rsidRPr="00B60EFF" w:rsidRDefault="00D8283D" w:rsidP="00D8283D">
            <w:pPr>
              <w:rPr>
                <w:b/>
                <w:sz w:val="20"/>
                <w:szCs w:val="20"/>
              </w:rPr>
            </w:pPr>
            <w:r w:rsidRPr="00B60EFF">
              <w:rPr>
                <w:b/>
                <w:sz w:val="20"/>
                <w:szCs w:val="20"/>
              </w:rPr>
              <w:t>Status of the development of GBAS VDB coordination criteria</w:t>
            </w:r>
          </w:p>
        </w:tc>
        <w:tc>
          <w:tcPr>
            <w:tcW w:w="2351" w:type="dxa"/>
          </w:tcPr>
          <w:p w:rsidR="00074170" w:rsidRPr="00B60EFF" w:rsidRDefault="00D8283D" w:rsidP="00926E58">
            <w:pPr>
              <w:rPr>
                <w:sz w:val="20"/>
                <w:szCs w:val="20"/>
              </w:rPr>
            </w:pPr>
            <w:r w:rsidRPr="00B60EFF">
              <w:rPr>
                <w:sz w:val="20"/>
                <w:szCs w:val="20"/>
              </w:rPr>
              <w:t>SWG-</w:t>
            </w:r>
            <w:r w:rsidR="00FD6478" w:rsidRPr="00B60EFF">
              <w:rPr>
                <w:sz w:val="20"/>
                <w:szCs w:val="20"/>
              </w:rPr>
              <w:t>R</w:t>
            </w:r>
            <w:r w:rsidRPr="00B60EFF">
              <w:rPr>
                <w:sz w:val="20"/>
                <w:szCs w:val="20"/>
              </w:rPr>
              <w:t>apporteur</w:t>
            </w:r>
          </w:p>
          <w:p w:rsidR="003F0724" w:rsidRPr="00EC5CAF" w:rsidRDefault="003F0724" w:rsidP="00926E58">
            <w:pPr>
              <w:rPr>
                <w:sz w:val="20"/>
                <w:szCs w:val="20"/>
              </w:rPr>
            </w:pPr>
            <w:r w:rsidRPr="00B60EFF">
              <w:rPr>
                <w:sz w:val="20"/>
                <w:szCs w:val="20"/>
              </w:rPr>
              <w:t>(Felix Butsch)</w:t>
            </w:r>
          </w:p>
        </w:tc>
      </w:tr>
      <w:tr w:rsidR="006D37F3" w:rsidRPr="00B87CE8" w:rsidTr="00162B97">
        <w:tc>
          <w:tcPr>
            <w:tcW w:w="1630" w:type="dxa"/>
          </w:tcPr>
          <w:p w:rsidR="006D37F3" w:rsidRPr="00D113A7" w:rsidRDefault="006D37F3" w:rsidP="00790098">
            <w:pPr>
              <w:rPr>
                <w:b/>
                <w:sz w:val="20"/>
                <w:szCs w:val="20"/>
              </w:rPr>
            </w:pPr>
            <w:r w:rsidRPr="00D113A7">
              <w:rPr>
                <w:b/>
                <w:sz w:val="20"/>
                <w:szCs w:val="20"/>
              </w:rPr>
              <w:t>IP25</w:t>
            </w:r>
          </w:p>
        </w:tc>
        <w:tc>
          <w:tcPr>
            <w:tcW w:w="5084" w:type="dxa"/>
          </w:tcPr>
          <w:p w:rsidR="006D37F3" w:rsidRPr="00D113A7" w:rsidRDefault="006D37F3" w:rsidP="00D8283D">
            <w:pPr>
              <w:rPr>
                <w:b/>
                <w:sz w:val="20"/>
                <w:szCs w:val="20"/>
              </w:rPr>
            </w:pPr>
            <w:r w:rsidRPr="00D113A7">
              <w:rPr>
                <w:b/>
                <w:sz w:val="20"/>
                <w:szCs w:val="20"/>
              </w:rPr>
              <w:t>Status of Simulations for VHF Compatibility Assessment</w:t>
            </w:r>
          </w:p>
        </w:tc>
        <w:tc>
          <w:tcPr>
            <w:tcW w:w="2351" w:type="dxa"/>
          </w:tcPr>
          <w:p w:rsidR="006D37F3" w:rsidRPr="00EC5CAF" w:rsidRDefault="006D37F3" w:rsidP="00926E58">
            <w:pPr>
              <w:rPr>
                <w:sz w:val="20"/>
                <w:szCs w:val="20"/>
              </w:rPr>
            </w:pPr>
            <w:r w:rsidRPr="00EC5CAF">
              <w:rPr>
                <w:sz w:val="20"/>
                <w:szCs w:val="20"/>
              </w:rPr>
              <w:t>Tim Murphy</w:t>
            </w:r>
          </w:p>
          <w:p w:rsidR="006D37F3" w:rsidRPr="00EC5CAF" w:rsidRDefault="006D37F3" w:rsidP="00221B02">
            <w:pPr>
              <w:rPr>
                <w:sz w:val="20"/>
                <w:szCs w:val="20"/>
              </w:rPr>
            </w:pPr>
            <w:r w:rsidRPr="00EC5CAF">
              <w:rPr>
                <w:sz w:val="20"/>
                <w:szCs w:val="20"/>
              </w:rPr>
              <w:t>(</w:t>
            </w:r>
            <w:r w:rsidR="00221B02" w:rsidRPr="00EC5CAF">
              <w:rPr>
                <w:sz w:val="20"/>
                <w:szCs w:val="20"/>
              </w:rPr>
              <w:t>Matt Harris)</w:t>
            </w:r>
          </w:p>
        </w:tc>
      </w:tr>
      <w:tr w:rsidR="00D8283D" w:rsidRPr="00BD2194" w:rsidTr="00162B97">
        <w:tc>
          <w:tcPr>
            <w:tcW w:w="1630" w:type="dxa"/>
          </w:tcPr>
          <w:p w:rsidR="00D8283D" w:rsidRPr="00D113A7" w:rsidRDefault="00820E8C" w:rsidP="00870268">
            <w:pPr>
              <w:rPr>
                <w:b/>
                <w:sz w:val="20"/>
                <w:szCs w:val="20"/>
              </w:rPr>
            </w:pPr>
            <w:r w:rsidRPr="00D113A7">
              <w:rPr>
                <w:b/>
                <w:sz w:val="20"/>
                <w:szCs w:val="20"/>
              </w:rPr>
              <w:t>WP16,rev.1</w:t>
            </w:r>
          </w:p>
        </w:tc>
        <w:tc>
          <w:tcPr>
            <w:tcW w:w="5084" w:type="dxa"/>
          </w:tcPr>
          <w:p w:rsidR="00820E8C" w:rsidRPr="00D113A7" w:rsidRDefault="00820E8C" w:rsidP="00820E8C">
            <w:pPr>
              <w:rPr>
                <w:b/>
                <w:sz w:val="20"/>
                <w:szCs w:val="20"/>
              </w:rPr>
            </w:pPr>
            <w:r w:rsidRPr="00D113A7">
              <w:rPr>
                <w:b/>
                <w:sz w:val="20"/>
                <w:szCs w:val="20"/>
              </w:rPr>
              <w:t>GBAS VDB Desired-to-Undesired Signal Power Ratios</w:t>
            </w:r>
          </w:p>
          <w:p w:rsidR="00D8283D" w:rsidRPr="00D113A7" w:rsidRDefault="00820E8C" w:rsidP="00820E8C">
            <w:pPr>
              <w:rPr>
                <w:b/>
                <w:sz w:val="20"/>
                <w:szCs w:val="20"/>
              </w:rPr>
            </w:pPr>
            <w:r w:rsidRPr="00D113A7">
              <w:rPr>
                <w:b/>
                <w:sz w:val="20"/>
                <w:szCs w:val="20"/>
              </w:rPr>
              <w:t xml:space="preserve"> at Frankfurt Airport</w:t>
            </w:r>
          </w:p>
        </w:tc>
        <w:tc>
          <w:tcPr>
            <w:tcW w:w="2351" w:type="dxa"/>
          </w:tcPr>
          <w:p w:rsidR="00D8283D" w:rsidRPr="00EC5CAF" w:rsidRDefault="00820E8C" w:rsidP="00D8283D">
            <w:pPr>
              <w:rPr>
                <w:sz w:val="20"/>
                <w:szCs w:val="20"/>
              </w:rPr>
            </w:pPr>
            <w:r w:rsidRPr="00EC5CAF">
              <w:rPr>
                <w:sz w:val="20"/>
                <w:szCs w:val="20"/>
              </w:rPr>
              <w:t>Stefan Naerlich</w:t>
            </w:r>
          </w:p>
          <w:p w:rsidR="00820E8C" w:rsidRPr="00EC5CAF" w:rsidRDefault="00820E8C" w:rsidP="00D8283D">
            <w:pPr>
              <w:rPr>
                <w:sz w:val="20"/>
                <w:szCs w:val="20"/>
              </w:rPr>
            </w:pPr>
            <w:r w:rsidRPr="00EC5CAF">
              <w:rPr>
                <w:sz w:val="20"/>
                <w:szCs w:val="20"/>
              </w:rPr>
              <w:t>(Felix Butsch)</w:t>
            </w:r>
          </w:p>
        </w:tc>
      </w:tr>
      <w:tr w:rsidR="00820E8C" w:rsidRPr="001D420F" w:rsidTr="00162B97">
        <w:tc>
          <w:tcPr>
            <w:tcW w:w="1630" w:type="dxa"/>
          </w:tcPr>
          <w:p w:rsidR="00820E8C" w:rsidRPr="00D113A7" w:rsidRDefault="003851CE" w:rsidP="00926E58">
            <w:pPr>
              <w:rPr>
                <w:b/>
                <w:sz w:val="20"/>
                <w:szCs w:val="20"/>
              </w:rPr>
            </w:pPr>
            <w:r w:rsidRPr="00D113A7">
              <w:rPr>
                <w:b/>
                <w:sz w:val="20"/>
                <w:szCs w:val="20"/>
              </w:rPr>
              <w:t>WP11</w:t>
            </w:r>
          </w:p>
        </w:tc>
        <w:tc>
          <w:tcPr>
            <w:tcW w:w="5084" w:type="dxa"/>
          </w:tcPr>
          <w:p w:rsidR="003851CE" w:rsidRPr="00D113A7" w:rsidRDefault="003851CE" w:rsidP="003851CE">
            <w:pPr>
              <w:rPr>
                <w:b/>
                <w:sz w:val="20"/>
                <w:szCs w:val="20"/>
              </w:rPr>
            </w:pPr>
            <w:r w:rsidRPr="00D113A7">
              <w:rPr>
                <w:b/>
                <w:sz w:val="20"/>
                <w:szCs w:val="20"/>
              </w:rPr>
              <w:t xml:space="preserve">GBAS-VDB versus ILS-Localizer D/U-Calculation based </w:t>
            </w:r>
          </w:p>
          <w:p w:rsidR="00820E8C" w:rsidRPr="00D113A7" w:rsidRDefault="003851CE" w:rsidP="003851CE">
            <w:pPr>
              <w:rPr>
                <w:b/>
                <w:sz w:val="20"/>
                <w:szCs w:val="20"/>
              </w:rPr>
            </w:pPr>
            <w:r w:rsidRPr="00D113A7">
              <w:rPr>
                <w:b/>
                <w:sz w:val="20"/>
                <w:szCs w:val="20"/>
              </w:rPr>
              <w:t>on Flight Calibration Measurements at Toulouse airport</w:t>
            </w:r>
          </w:p>
        </w:tc>
        <w:tc>
          <w:tcPr>
            <w:tcW w:w="2351" w:type="dxa"/>
          </w:tcPr>
          <w:p w:rsidR="003851CE" w:rsidRPr="00EC5CAF" w:rsidRDefault="003851CE" w:rsidP="00820E8C">
            <w:pPr>
              <w:rPr>
                <w:sz w:val="20"/>
                <w:szCs w:val="20"/>
              </w:rPr>
            </w:pPr>
            <w:r w:rsidRPr="00EC5CAF">
              <w:rPr>
                <w:sz w:val="20"/>
                <w:szCs w:val="20"/>
              </w:rPr>
              <w:t>Benoît Roturier</w:t>
            </w:r>
          </w:p>
          <w:p w:rsidR="00820E8C" w:rsidRPr="00EC5CAF" w:rsidRDefault="003851CE" w:rsidP="00820E8C">
            <w:pPr>
              <w:rPr>
                <w:sz w:val="20"/>
                <w:szCs w:val="20"/>
              </w:rPr>
            </w:pPr>
            <w:r w:rsidRPr="00EC5CAF">
              <w:rPr>
                <w:sz w:val="20"/>
                <w:szCs w:val="20"/>
              </w:rPr>
              <w:t xml:space="preserve"> </w:t>
            </w:r>
            <w:r w:rsidR="00820E8C" w:rsidRPr="00EC5CAF">
              <w:rPr>
                <w:sz w:val="20"/>
                <w:szCs w:val="20"/>
              </w:rPr>
              <w:t>(Pierre Ladoux)</w:t>
            </w:r>
          </w:p>
        </w:tc>
      </w:tr>
      <w:tr w:rsidR="0087578C" w:rsidRPr="00736E40" w:rsidTr="00162B97">
        <w:tc>
          <w:tcPr>
            <w:tcW w:w="1630" w:type="dxa"/>
          </w:tcPr>
          <w:p w:rsidR="0087578C" w:rsidRPr="00D113A7" w:rsidRDefault="0087578C" w:rsidP="00926E58">
            <w:pPr>
              <w:rPr>
                <w:b/>
                <w:sz w:val="20"/>
                <w:szCs w:val="20"/>
              </w:rPr>
            </w:pPr>
            <w:r w:rsidRPr="00D113A7">
              <w:rPr>
                <w:b/>
                <w:sz w:val="20"/>
                <w:szCs w:val="20"/>
              </w:rPr>
              <w:t>IP22</w:t>
            </w:r>
          </w:p>
        </w:tc>
        <w:tc>
          <w:tcPr>
            <w:tcW w:w="5084" w:type="dxa"/>
          </w:tcPr>
          <w:p w:rsidR="0087578C" w:rsidRPr="00D113A7" w:rsidRDefault="0087578C" w:rsidP="00E0598A">
            <w:pPr>
              <w:rPr>
                <w:b/>
                <w:sz w:val="20"/>
                <w:szCs w:val="20"/>
              </w:rPr>
            </w:pPr>
            <w:r w:rsidRPr="00D113A7">
              <w:rPr>
                <w:b/>
                <w:sz w:val="20"/>
                <w:szCs w:val="20"/>
              </w:rPr>
              <w:t xml:space="preserve">GBAS </w:t>
            </w:r>
            <w:r w:rsidR="00E0598A" w:rsidRPr="00D113A7">
              <w:rPr>
                <w:b/>
                <w:sz w:val="20"/>
                <w:szCs w:val="20"/>
              </w:rPr>
              <w:t xml:space="preserve">Implementation with limited VDB ILS Frequency offset in </w:t>
            </w:r>
            <w:r w:rsidR="005620E4" w:rsidRPr="00D113A7">
              <w:rPr>
                <w:b/>
                <w:sz w:val="20"/>
                <w:szCs w:val="20"/>
              </w:rPr>
              <w:t xml:space="preserve">Anapa (Vityazevo) </w:t>
            </w:r>
            <w:r w:rsidR="00E0598A" w:rsidRPr="00D113A7">
              <w:rPr>
                <w:b/>
                <w:sz w:val="20"/>
                <w:szCs w:val="20"/>
              </w:rPr>
              <w:t xml:space="preserve">airport </w:t>
            </w:r>
          </w:p>
        </w:tc>
        <w:tc>
          <w:tcPr>
            <w:tcW w:w="2351" w:type="dxa"/>
          </w:tcPr>
          <w:p w:rsidR="0087578C" w:rsidRPr="00EC5CAF" w:rsidRDefault="0087578C" w:rsidP="00820E8C">
            <w:pPr>
              <w:rPr>
                <w:sz w:val="20"/>
                <w:szCs w:val="20"/>
              </w:rPr>
            </w:pPr>
            <w:r w:rsidRPr="00EC5CAF">
              <w:rPr>
                <w:sz w:val="20"/>
                <w:szCs w:val="20"/>
              </w:rPr>
              <w:t>Vladimir Korchagin</w:t>
            </w:r>
          </w:p>
          <w:p w:rsidR="0087578C" w:rsidRPr="00EC5CAF" w:rsidRDefault="0087578C" w:rsidP="00820E8C">
            <w:pPr>
              <w:rPr>
                <w:sz w:val="20"/>
                <w:szCs w:val="20"/>
              </w:rPr>
            </w:pPr>
            <w:r w:rsidRPr="00EC5CAF">
              <w:rPr>
                <w:sz w:val="20"/>
                <w:szCs w:val="20"/>
              </w:rPr>
              <w:t>(Mikhail Markelov)</w:t>
            </w:r>
          </w:p>
        </w:tc>
      </w:tr>
      <w:tr w:rsidR="00162B97" w:rsidRPr="00736E40" w:rsidTr="00162B97">
        <w:tc>
          <w:tcPr>
            <w:tcW w:w="9065" w:type="dxa"/>
            <w:gridSpan w:val="3"/>
          </w:tcPr>
          <w:p w:rsidR="00162B97" w:rsidRDefault="00162B97" w:rsidP="00162B97">
            <w:pPr>
              <w:rPr>
                <w:i/>
                <w:sz w:val="20"/>
              </w:rPr>
            </w:pPr>
            <w:r w:rsidRPr="00651B60">
              <w:rPr>
                <w:i/>
                <w:sz w:val="20"/>
              </w:rPr>
              <w:t xml:space="preserve">Note: The working and information papers </w:t>
            </w:r>
            <w:r>
              <w:rPr>
                <w:i/>
                <w:sz w:val="20"/>
              </w:rPr>
              <w:t xml:space="preserve">above </w:t>
            </w:r>
            <w:r w:rsidRPr="00651B60">
              <w:rPr>
                <w:i/>
                <w:sz w:val="20"/>
              </w:rPr>
              <w:t>were discussed by a joint meeting of GSWG and SWG.</w:t>
            </w:r>
            <w:r>
              <w:rPr>
                <w:i/>
                <w:sz w:val="20"/>
              </w:rPr>
              <w:t xml:space="preserve"> </w:t>
            </w:r>
          </w:p>
          <w:p w:rsidR="00162B97" w:rsidRPr="00737DCF" w:rsidRDefault="00162B97" w:rsidP="00162B97">
            <w:pPr>
              <w:rPr>
                <w:sz w:val="20"/>
                <w:szCs w:val="20"/>
              </w:rPr>
            </w:pPr>
            <w:r>
              <w:rPr>
                <w:i/>
                <w:sz w:val="20"/>
              </w:rPr>
              <w:t>The result of the discussion is covered by the report of the GWG meeting.</w:t>
            </w:r>
          </w:p>
        </w:tc>
      </w:tr>
      <w:tr w:rsidR="00740E3D" w:rsidRPr="00D674BE" w:rsidTr="00162B97">
        <w:tc>
          <w:tcPr>
            <w:tcW w:w="1630" w:type="dxa"/>
          </w:tcPr>
          <w:p w:rsidR="00740E3D" w:rsidRPr="0087705A" w:rsidRDefault="00740E3D" w:rsidP="00B8329E">
            <w:pPr>
              <w:rPr>
                <w:b/>
                <w:sz w:val="20"/>
                <w:szCs w:val="20"/>
              </w:rPr>
            </w:pPr>
            <w:r w:rsidRPr="0087705A">
              <w:rPr>
                <w:b/>
                <w:sz w:val="20"/>
                <w:szCs w:val="20"/>
              </w:rPr>
              <w:t xml:space="preserve">Flimsy </w:t>
            </w:r>
            <w:r w:rsidR="00B8329E" w:rsidRPr="0087705A">
              <w:rPr>
                <w:b/>
                <w:sz w:val="20"/>
                <w:szCs w:val="20"/>
              </w:rPr>
              <w:t>09, rev.1</w:t>
            </w:r>
          </w:p>
        </w:tc>
        <w:tc>
          <w:tcPr>
            <w:tcW w:w="5084" w:type="dxa"/>
          </w:tcPr>
          <w:p w:rsidR="00740E3D" w:rsidRPr="0087705A" w:rsidRDefault="00740E3D" w:rsidP="00740E3D">
            <w:pPr>
              <w:rPr>
                <w:b/>
                <w:sz w:val="20"/>
                <w:szCs w:val="20"/>
              </w:rPr>
            </w:pPr>
            <w:r w:rsidRPr="0087705A">
              <w:rPr>
                <w:b/>
                <w:sz w:val="20"/>
                <w:szCs w:val="20"/>
              </w:rPr>
              <w:t xml:space="preserve">ICAO NSP recommendations </w:t>
            </w:r>
          </w:p>
          <w:p w:rsidR="00740E3D" w:rsidRPr="0087705A" w:rsidRDefault="00740E3D" w:rsidP="00740E3D">
            <w:pPr>
              <w:rPr>
                <w:b/>
                <w:sz w:val="20"/>
                <w:szCs w:val="20"/>
              </w:rPr>
            </w:pPr>
            <w:r w:rsidRPr="0087705A">
              <w:rPr>
                <w:b/>
                <w:sz w:val="20"/>
                <w:szCs w:val="20"/>
              </w:rPr>
              <w:t>on necessary interference suppression improvement of the GBAS VDB receiver</w:t>
            </w:r>
          </w:p>
        </w:tc>
        <w:tc>
          <w:tcPr>
            <w:tcW w:w="2351" w:type="dxa"/>
          </w:tcPr>
          <w:p w:rsidR="00737DCF" w:rsidRPr="0087705A" w:rsidRDefault="00737DCF" w:rsidP="00737DCF">
            <w:pPr>
              <w:rPr>
                <w:sz w:val="20"/>
                <w:szCs w:val="20"/>
              </w:rPr>
            </w:pPr>
            <w:r w:rsidRPr="0087705A">
              <w:rPr>
                <w:sz w:val="20"/>
                <w:szCs w:val="20"/>
              </w:rPr>
              <w:t>SWG-Rapporteur</w:t>
            </w:r>
          </w:p>
          <w:p w:rsidR="00740E3D" w:rsidRPr="0087705A" w:rsidRDefault="00737DCF" w:rsidP="00737DCF">
            <w:pPr>
              <w:rPr>
                <w:sz w:val="20"/>
                <w:szCs w:val="20"/>
              </w:rPr>
            </w:pPr>
            <w:r w:rsidRPr="0087705A">
              <w:rPr>
                <w:sz w:val="20"/>
                <w:szCs w:val="20"/>
              </w:rPr>
              <w:t>(Felix Butsch)</w:t>
            </w:r>
          </w:p>
        </w:tc>
      </w:tr>
      <w:tr w:rsidR="00074170" w:rsidRPr="00736E40" w:rsidTr="00162B97">
        <w:tc>
          <w:tcPr>
            <w:tcW w:w="1630" w:type="dxa"/>
          </w:tcPr>
          <w:p w:rsidR="00074170" w:rsidRPr="00D113A7" w:rsidRDefault="002703C4" w:rsidP="00926E58">
            <w:pPr>
              <w:rPr>
                <w:b/>
                <w:sz w:val="20"/>
                <w:szCs w:val="20"/>
              </w:rPr>
            </w:pPr>
            <w:r w:rsidRPr="00D113A7">
              <w:rPr>
                <w:b/>
                <w:sz w:val="20"/>
                <w:szCs w:val="20"/>
              </w:rPr>
              <w:t>WP24</w:t>
            </w:r>
          </w:p>
        </w:tc>
        <w:tc>
          <w:tcPr>
            <w:tcW w:w="5084" w:type="dxa"/>
          </w:tcPr>
          <w:p w:rsidR="00074170" w:rsidRPr="00D113A7" w:rsidRDefault="00E74A70" w:rsidP="00926E58">
            <w:pPr>
              <w:rPr>
                <w:b/>
                <w:sz w:val="20"/>
                <w:szCs w:val="20"/>
              </w:rPr>
            </w:pPr>
            <w:r w:rsidRPr="00D113A7">
              <w:rPr>
                <w:b/>
                <w:sz w:val="20"/>
                <w:szCs w:val="20"/>
              </w:rPr>
              <w:t>GBAS VDB SARPs guidance on FM immunity</w:t>
            </w:r>
          </w:p>
        </w:tc>
        <w:tc>
          <w:tcPr>
            <w:tcW w:w="2351" w:type="dxa"/>
          </w:tcPr>
          <w:p w:rsidR="00E74A70" w:rsidRPr="00D674BE" w:rsidRDefault="00E74A70" w:rsidP="00926E58">
            <w:pPr>
              <w:rPr>
                <w:sz w:val="20"/>
                <w:szCs w:val="20"/>
              </w:rPr>
            </w:pPr>
          </w:p>
          <w:p w:rsidR="00074170" w:rsidRPr="00D674BE" w:rsidRDefault="00E74A70" w:rsidP="00926E58">
            <w:pPr>
              <w:rPr>
                <w:sz w:val="20"/>
                <w:szCs w:val="20"/>
              </w:rPr>
            </w:pPr>
            <w:r w:rsidRPr="00D674BE">
              <w:rPr>
                <w:sz w:val="20"/>
                <w:szCs w:val="20"/>
              </w:rPr>
              <w:t>(Daniel Domey)</w:t>
            </w:r>
          </w:p>
        </w:tc>
      </w:tr>
      <w:tr w:rsidR="008B5624" w:rsidRPr="00736E40" w:rsidTr="00162B97">
        <w:tc>
          <w:tcPr>
            <w:tcW w:w="1630" w:type="dxa"/>
          </w:tcPr>
          <w:p w:rsidR="008B5624" w:rsidRPr="00D113A7" w:rsidDel="002703C4" w:rsidRDefault="008B5624" w:rsidP="008B5624">
            <w:pPr>
              <w:rPr>
                <w:b/>
                <w:sz w:val="20"/>
                <w:szCs w:val="20"/>
                <w:highlight w:val="yellow"/>
              </w:rPr>
            </w:pPr>
            <w:r w:rsidRPr="00D113A7">
              <w:rPr>
                <w:b/>
                <w:sz w:val="20"/>
                <w:szCs w:val="20"/>
              </w:rPr>
              <w:t>IP29</w:t>
            </w:r>
          </w:p>
        </w:tc>
        <w:tc>
          <w:tcPr>
            <w:tcW w:w="5084" w:type="dxa"/>
          </w:tcPr>
          <w:p w:rsidR="008B5624" w:rsidRPr="00D113A7" w:rsidRDefault="008B5624" w:rsidP="008B5624">
            <w:pPr>
              <w:rPr>
                <w:b/>
                <w:sz w:val="20"/>
                <w:szCs w:val="20"/>
                <w:highlight w:val="yellow"/>
              </w:rPr>
            </w:pPr>
            <w:r w:rsidRPr="00D113A7">
              <w:rPr>
                <w:b/>
                <w:sz w:val="20"/>
                <w:szCs w:val="20"/>
              </w:rPr>
              <w:t>FMG 22, WP6, Revision of Planning Rules for ILS-VOR</w:t>
            </w:r>
          </w:p>
        </w:tc>
        <w:tc>
          <w:tcPr>
            <w:tcW w:w="2351" w:type="dxa"/>
          </w:tcPr>
          <w:p w:rsidR="008B5624" w:rsidRPr="00EC5CAF" w:rsidRDefault="008B5624" w:rsidP="008B5624">
            <w:pPr>
              <w:rPr>
                <w:sz w:val="20"/>
                <w:szCs w:val="20"/>
              </w:rPr>
            </w:pPr>
            <w:r w:rsidRPr="00EC5CAF">
              <w:rPr>
                <w:sz w:val="20"/>
                <w:szCs w:val="20"/>
              </w:rPr>
              <w:t>SWG-Rapporteur</w:t>
            </w:r>
          </w:p>
          <w:p w:rsidR="008B5624" w:rsidRPr="00EC5CAF" w:rsidRDefault="008B5624" w:rsidP="008B5624">
            <w:pPr>
              <w:rPr>
                <w:sz w:val="20"/>
                <w:szCs w:val="20"/>
                <w:highlight w:val="yellow"/>
              </w:rPr>
            </w:pPr>
            <w:r w:rsidRPr="00EC5CAF">
              <w:rPr>
                <w:sz w:val="20"/>
                <w:szCs w:val="20"/>
              </w:rPr>
              <w:t>(Felix Butsch)</w:t>
            </w:r>
          </w:p>
        </w:tc>
      </w:tr>
      <w:tr w:rsidR="008B5624" w:rsidRPr="00736E40" w:rsidTr="00162B97">
        <w:tc>
          <w:tcPr>
            <w:tcW w:w="1630" w:type="dxa"/>
          </w:tcPr>
          <w:p w:rsidR="008B5624" w:rsidRPr="00D113A7" w:rsidDel="002703C4" w:rsidRDefault="008B5624" w:rsidP="008B5624">
            <w:pPr>
              <w:rPr>
                <w:b/>
                <w:sz w:val="20"/>
                <w:szCs w:val="20"/>
                <w:highlight w:val="yellow"/>
              </w:rPr>
            </w:pPr>
            <w:r w:rsidRPr="00D113A7">
              <w:rPr>
                <w:b/>
                <w:sz w:val="20"/>
                <w:szCs w:val="20"/>
              </w:rPr>
              <w:t>IP28</w:t>
            </w:r>
          </w:p>
        </w:tc>
        <w:tc>
          <w:tcPr>
            <w:tcW w:w="5084" w:type="dxa"/>
          </w:tcPr>
          <w:p w:rsidR="008B5624" w:rsidRPr="00D113A7" w:rsidRDefault="008B5624" w:rsidP="008B5624">
            <w:pPr>
              <w:rPr>
                <w:b/>
                <w:sz w:val="20"/>
                <w:szCs w:val="20"/>
                <w:highlight w:val="yellow"/>
              </w:rPr>
            </w:pPr>
            <w:r w:rsidRPr="003E0E9A">
              <w:rPr>
                <w:b/>
                <w:sz w:val="20"/>
                <w:szCs w:val="20"/>
              </w:rPr>
              <w:t>ICAO FMG report to EANPG 58</w:t>
            </w:r>
          </w:p>
        </w:tc>
        <w:tc>
          <w:tcPr>
            <w:tcW w:w="2351" w:type="dxa"/>
          </w:tcPr>
          <w:p w:rsidR="008B5624" w:rsidRPr="00EC5CAF" w:rsidRDefault="008B5624" w:rsidP="008B5624">
            <w:pPr>
              <w:rPr>
                <w:sz w:val="20"/>
                <w:szCs w:val="20"/>
              </w:rPr>
            </w:pPr>
          </w:p>
          <w:p w:rsidR="008B5624" w:rsidRPr="00EC5CAF" w:rsidRDefault="008B5624" w:rsidP="008B5624">
            <w:pPr>
              <w:rPr>
                <w:sz w:val="20"/>
                <w:szCs w:val="20"/>
                <w:highlight w:val="yellow"/>
              </w:rPr>
            </w:pPr>
            <w:r w:rsidRPr="00EC5CAF">
              <w:rPr>
                <w:sz w:val="20"/>
                <w:szCs w:val="20"/>
              </w:rPr>
              <w:t>(Jules Hermens)</w:t>
            </w:r>
          </w:p>
        </w:tc>
      </w:tr>
      <w:tr w:rsidR="008B5624" w:rsidRPr="00736E40" w:rsidTr="00162B97">
        <w:trPr>
          <w:cantSplit/>
        </w:trPr>
        <w:tc>
          <w:tcPr>
            <w:tcW w:w="9065" w:type="dxa"/>
            <w:gridSpan w:val="3"/>
          </w:tcPr>
          <w:p w:rsidR="008B5624" w:rsidRPr="00736E40" w:rsidRDefault="008B5624" w:rsidP="008B5624">
            <w:pPr>
              <w:rPr>
                <w:sz w:val="20"/>
                <w:szCs w:val="20"/>
              </w:rPr>
            </w:pPr>
          </w:p>
        </w:tc>
      </w:tr>
      <w:tr w:rsidR="008B5624" w:rsidRPr="00736E40" w:rsidTr="00162B97">
        <w:tc>
          <w:tcPr>
            <w:tcW w:w="9065" w:type="dxa"/>
            <w:gridSpan w:val="3"/>
          </w:tcPr>
          <w:p w:rsidR="008B5624" w:rsidRPr="00736E40" w:rsidRDefault="008B5624" w:rsidP="008B5624">
            <w:pPr>
              <w:rPr>
                <w:sz w:val="20"/>
                <w:szCs w:val="20"/>
              </w:rPr>
            </w:pPr>
            <w:r w:rsidRPr="00736E40">
              <w:rPr>
                <w:b/>
                <w:highlight w:val="green"/>
              </w:rPr>
              <w:t>Agenda Item 6b): Signal and compatibility issues in the band 960 to 1215 MHz</w:t>
            </w:r>
          </w:p>
        </w:tc>
      </w:tr>
      <w:tr w:rsidR="008B5624" w:rsidRPr="00736E40" w:rsidTr="00162B97">
        <w:tc>
          <w:tcPr>
            <w:tcW w:w="1630" w:type="dxa"/>
          </w:tcPr>
          <w:p w:rsidR="008B5624" w:rsidRPr="00EC5CAF" w:rsidRDefault="008B5624" w:rsidP="008B5624">
            <w:pPr>
              <w:rPr>
                <w:sz w:val="20"/>
                <w:szCs w:val="20"/>
              </w:rPr>
            </w:pPr>
          </w:p>
        </w:tc>
        <w:tc>
          <w:tcPr>
            <w:tcW w:w="5084" w:type="dxa"/>
          </w:tcPr>
          <w:p w:rsidR="008B5624" w:rsidRPr="00EC5CAF" w:rsidRDefault="008B5624" w:rsidP="008B5624">
            <w:pPr>
              <w:rPr>
                <w:sz w:val="20"/>
                <w:szCs w:val="20"/>
              </w:rPr>
            </w:pPr>
          </w:p>
        </w:tc>
        <w:tc>
          <w:tcPr>
            <w:tcW w:w="2351" w:type="dxa"/>
          </w:tcPr>
          <w:p w:rsidR="008B5624" w:rsidRPr="00EC5CAF" w:rsidRDefault="008B5624" w:rsidP="008B5624">
            <w:pPr>
              <w:rPr>
                <w:sz w:val="20"/>
                <w:szCs w:val="20"/>
              </w:rPr>
            </w:pPr>
          </w:p>
        </w:tc>
      </w:tr>
      <w:tr w:rsidR="008B5624" w:rsidRPr="00736E40" w:rsidTr="00162B97">
        <w:tc>
          <w:tcPr>
            <w:tcW w:w="1630" w:type="dxa"/>
          </w:tcPr>
          <w:p w:rsidR="008B5624" w:rsidRPr="00D113A7" w:rsidRDefault="008B5624" w:rsidP="008B5624">
            <w:pPr>
              <w:rPr>
                <w:b/>
                <w:sz w:val="20"/>
                <w:szCs w:val="20"/>
              </w:rPr>
            </w:pPr>
            <w:r w:rsidRPr="00D113A7">
              <w:rPr>
                <w:b/>
                <w:sz w:val="20"/>
                <w:szCs w:val="20"/>
              </w:rPr>
              <w:t>IP13</w:t>
            </w:r>
          </w:p>
        </w:tc>
        <w:tc>
          <w:tcPr>
            <w:tcW w:w="5084" w:type="dxa"/>
          </w:tcPr>
          <w:p w:rsidR="008B5624" w:rsidRPr="00D113A7" w:rsidRDefault="008B5624" w:rsidP="008B5624">
            <w:pPr>
              <w:rPr>
                <w:b/>
                <w:sz w:val="20"/>
                <w:szCs w:val="20"/>
              </w:rPr>
            </w:pPr>
            <w:r w:rsidRPr="00D113A7">
              <w:rPr>
                <w:b/>
                <w:sz w:val="20"/>
                <w:szCs w:val="20"/>
              </w:rPr>
              <w:t>LDACS Programme Status</w:t>
            </w:r>
          </w:p>
        </w:tc>
        <w:tc>
          <w:tcPr>
            <w:tcW w:w="2351" w:type="dxa"/>
          </w:tcPr>
          <w:p w:rsidR="008B5624" w:rsidRPr="00EC5CAF" w:rsidRDefault="008B5624" w:rsidP="008B5624">
            <w:pPr>
              <w:rPr>
                <w:sz w:val="20"/>
                <w:szCs w:val="20"/>
              </w:rPr>
            </w:pPr>
            <w:r w:rsidRPr="00EC5CAF">
              <w:rPr>
                <w:sz w:val="20"/>
                <w:szCs w:val="20"/>
              </w:rPr>
              <w:t>Stefan Naerlich</w:t>
            </w:r>
          </w:p>
          <w:p w:rsidR="008B5624" w:rsidRPr="00EC5CAF" w:rsidRDefault="008B5624" w:rsidP="008B5624">
            <w:pPr>
              <w:rPr>
                <w:sz w:val="20"/>
                <w:szCs w:val="20"/>
              </w:rPr>
            </w:pPr>
            <w:r w:rsidRPr="00EC5CAF">
              <w:rPr>
                <w:sz w:val="20"/>
                <w:szCs w:val="20"/>
              </w:rPr>
              <w:t>(Felix Butsch, Gerhard Berz)</w:t>
            </w:r>
          </w:p>
        </w:tc>
      </w:tr>
      <w:tr w:rsidR="008B5624" w:rsidRPr="00736E40" w:rsidTr="00162B97">
        <w:trPr>
          <w:cantSplit/>
        </w:trPr>
        <w:tc>
          <w:tcPr>
            <w:tcW w:w="9065" w:type="dxa"/>
            <w:gridSpan w:val="3"/>
          </w:tcPr>
          <w:p w:rsidR="008B5624" w:rsidRPr="00736E40" w:rsidRDefault="008B5624" w:rsidP="008B5624">
            <w:pPr>
              <w:rPr>
                <w:sz w:val="20"/>
                <w:szCs w:val="20"/>
              </w:rPr>
            </w:pPr>
          </w:p>
        </w:tc>
      </w:tr>
      <w:tr w:rsidR="008B5624" w:rsidRPr="00736E40" w:rsidTr="00162B97">
        <w:tc>
          <w:tcPr>
            <w:tcW w:w="9065" w:type="dxa"/>
            <w:gridSpan w:val="3"/>
          </w:tcPr>
          <w:p w:rsidR="008B5624" w:rsidRPr="00736E40" w:rsidRDefault="008B5624" w:rsidP="008B5624">
            <w:pPr>
              <w:rPr>
                <w:sz w:val="20"/>
              </w:rPr>
            </w:pPr>
            <w:r w:rsidRPr="00736E40">
              <w:rPr>
                <w:b/>
                <w:highlight w:val="green"/>
              </w:rPr>
              <w:t>Agenda Item 6c): Signal and compatibility issues in the band 5000 to 5150 MHz</w:t>
            </w:r>
          </w:p>
        </w:tc>
      </w:tr>
      <w:tr w:rsidR="008B5624" w:rsidRPr="00736E40" w:rsidTr="00484908">
        <w:tc>
          <w:tcPr>
            <w:tcW w:w="9065" w:type="dxa"/>
            <w:gridSpan w:val="3"/>
          </w:tcPr>
          <w:p w:rsidR="008B5624" w:rsidRPr="00150C53" w:rsidRDefault="008B5624" w:rsidP="008B5624">
            <w:pPr>
              <w:rPr>
                <w:sz w:val="20"/>
                <w:szCs w:val="20"/>
                <w:highlight w:val="lightGray"/>
              </w:rPr>
            </w:pPr>
            <w:r w:rsidRPr="00736E40">
              <w:rPr>
                <w:i/>
                <w:iCs/>
                <w:sz w:val="20"/>
                <w:szCs w:val="20"/>
              </w:rPr>
              <w:t>Note: No papers have been presented under this agenda item.</w:t>
            </w:r>
          </w:p>
        </w:tc>
      </w:tr>
      <w:tr w:rsidR="008B5624" w:rsidRPr="00736E40" w:rsidTr="00162B97">
        <w:trPr>
          <w:cantSplit/>
        </w:trPr>
        <w:tc>
          <w:tcPr>
            <w:tcW w:w="9065" w:type="dxa"/>
            <w:gridSpan w:val="3"/>
          </w:tcPr>
          <w:p w:rsidR="008B5624" w:rsidRDefault="008B5624" w:rsidP="008B5624">
            <w:pPr>
              <w:rPr>
                <w:b/>
                <w:bCs/>
                <w:sz w:val="20"/>
              </w:rPr>
            </w:pPr>
          </w:p>
          <w:p w:rsidR="003E0E9A" w:rsidRDefault="003E0E9A" w:rsidP="008B5624">
            <w:pPr>
              <w:rPr>
                <w:b/>
                <w:bCs/>
                <w:sz w:val="20"/>
              </w:rPr>
            </w:pPr>
          </w:p>
          <w:p w:rsidR="00042FE6" w:rsidRDefault="00042FE6" w:rsidP="008B5624">
            <w:pPr>
              <w:rPr>
                <w:b/>
                <w:bCs/>
                <w:sz w:val="20"/>
              </w:rPr>
            </w:pPr>
          </w:p>
          <w:p w:rsidR="00042FE6" w:rsidRDefault="00042FE6" w:rsidP="008B5624">
            <w:pPr>
              <w:rPr>
                <w:b/>
                <w:bCs/>
                <w:sz w:val="20"/>
              </w:rPr>
            </w:pPr>
          </w:p>
          <w:p w:rsidR="00042FE6" w:rsidRDefault="00042FE6" w:rsidP="008B5624">
            <w:pPr>
              <w:rPr>
                <w:b/>
                <w:bCs/>
                <w:sz w:val="20"/>
              </w:rPr>
            </w:pPr>
          </w:p>
          <w:p w:rsidR="007A3AEB" w:rsidRPr="00736E40" w:rsidRDefault="007A3AEB" w:rsidP="008B5624">
            <w:pPr>
              <w:rPr>
                <w:b/>
                <w:bCs/>
                <w:sz w:val="20"/>
              </w:rPr>
            </w:pPr>
          </w:p>
        </w:tc>
      </w:tr>
      <w:tr w:rsidR="008B5624" w:rsidRPr="00736E40" w:rsidTr="00162B97">
        <w:tc>
          <w:tcPr>
            <w:tcW w:w="9065" w:type="dxa"/>
            <w:gridSpan w:val="3"/>
          </w:tcPr>
          <w:p w:rsidR="008B5624" w:rsidRPr="00736E40" w:rsidRDefault="008B5624" w:rsidP="008B5624">
            <w:pPr>
              <w:rPr>
                <w:sz w:val="20"/>
                <w:szCs w:val="20"/>
              </w:rPr>
            </w:pPr>
            <w:r w:rsidRPr="00736E40">
              <w:rPr>
                <w:b/>
                <w:highlight w:val="green"/>
              </w:rPr>
              <w:t>Agenda Item 6d): GNSS signal and interference issues</w:t>
            </w:r>
          </w:p>
        </w:tc>
      </w:tr>
      <w:tr w:rsidR="008B5624" w:rsidRPr="00736E40" w:rsidTr="00162B97">
        <w:tc>
          <w:tcPr>
            <w:tcW w:w="9065" w:type="dxa"/>
            <w:gridSpan w:val="3"/>
          </w:tcPr>
          <w:p w:rsidR="008B5624" w:rsidRPr="00711DF8" w:rsidRDefault="008B5624" w:rsidP="008B5624">
            <w:pPr>
              <w:rPr>
                <w:b/>
                <w:highlight w:val="green"/>
              </w:rPr>
            </w:pPr>
          </w:p>
        </w:tc>
      </w:tr>
      <w:tr w:rsidR="008B5624" w:rsidRPr="00BB1044" w:rsidTr="00162B97">
        <w:tc>
          <w:tcPr>
            <w:tcW w:w="1630" w:type="dxa"/>
          </w:tcPr>
          <w:p w:rsidR="008B5624" w:rsidRPr="00D113A7" w:rsidRDefault="008B5624" w:rsidP="00870268">
            <w:pPr>
              <w:rPr>
                <w:b/>
                <w:sz w:val="20"/>
                <w:szCs w:val="20"/>
              </w:rPr>
            </w:pPr>
            <w:r w:rsidRPr="00D113A7">
              <w:rPr>
                <w:b/>
                <w:sz w:val="20"/>
                <w:szCs w:val="20"/>
              </w:rPr>
              <w:t>WP20,rev.1</w:t>
            </w:r>
          </w:p>
        </w:tc>
        <w:tc>
          <w:tcPr>
            <w:tcW w:w="5084" w:type="dxa"/>
          </w:tcPr>
          <w:p w:rsidR="008B5624" w:rsidRPr="00D113A7" w:rsidRDefault="008B5624" w:rsidP="008B5624">
            <w:pPr>
              <w:rPr>
                <w:b/>
                <w:sz w:val="20"/>
                <w:szCs w:val="20"/>
              </w:rPr>
            </w:pPr>
            <w:r w:rsidRPr="00D113A7">
              <w:rPr>
                <w:b/>
                <w:sz w:val="20"/>
                <w:szCs w:val="20"/>
              </w:rPr>
              <w:t>Insertion of RFI Mitigation Plan into GNSS Manual</w:t>
            </w:r>
          </w:p>
        </w:tc>
        <w:tc>
          <w:tcPr>
            <w:tcW w:w="2351" w:type="dxa"/>
          </w:tcPr>
          <w:p w:rsidR="008B5624" w:rsidRPr="008A2C56" w:rsidRDefault="008B5624" w:rsidP="008B5624">
            <w:pPr>
              <w:rPr>
                <w:sz w:val="20"/>
                <w:szCs w:val="20"/>
              </w:rPr>
            </w:pPr>
            <w:r w:rsidRPr="008A2C56">
              <w:rPr>
                <w:sz w:val="20"/>
                <w:szCs w:val="20"/>
              </w:rPr>
              <w:t>Francisco Salabert</w:t>
            </w:r>
          </w:p>
          <w:p w:rsidR="008B5624" w:rsidRPr="008A2C56" w:rsidRDefault="008B5624" w:rsidP="008B5624">
            <w:pPr>
              <w:rPr>
                <w:sz w:val="20"/>
                <w:szCs w:val="20"/>
              </w:rPr>
            </w:pPr>
            <w:r w:rsidRPr="008A2C56">
              <w:rPr>
                <w:sz w:val="20"/>
                <w:szCs w:val="20"/>
              </w:rPr>
              <w:t>(Gerhard Berz)</w:t>
            </w:r>
          </w:p>
        </w:tc>
      </w:tr>
      <w:tr w:rsidR="008B5624" w:rsidRPr="00BB1044" w:rsidTr="00162B97">
        <w:tc>
          <w:tcPr>
            <w:tcW w:w="1630" w:type="dxa"/>
          </w:tcPr>
          <w:p w:rsidR="008B5624" w:rsidRPr="00D113A7" w:rsidRDefault="008B5624" w:rsidP="00870268">
            <w:pPr>
              <w:rPr>
                <w:b/>
                <w:sz w:val="20"/>
                <w:szCs w:val="20"/>
              </w:rPr>
            </w:pPr>
            <w:r w:rsidRPr="00D113A7">
              <w:rPr>
                <w:b/>
                <w:sz w:val="20"/>
                <w:szCs w:val="20"/>
              </w:rPr>
              <w:t>Flimsy 04,rev.1</w:t>
            </w:r>
          </w:p>
        </w:tc>
        <w:tc>
          <w:tcPr>
            <w:tcW w:w="5084" w:type="dxa"/>
          </w:tcPr>
          <w:p w:rsidR="008B5624" w:rsidRPr="00D113A7" w:rsidRDefault="008B5624" w:rsidP="008B5624">
            <w:pPr>
              <w:rPr>
                <w:b/>
                <w:sz w:val="20"/>
                <w:szCs w:val="20"/>
              </w:rPr>
            </w:pPr>
            <w:r w:rsidRPr="00D113A7">
              <w:rPr>
                <w:b/>
                <w:sz w:val="20"/>
                <w:szCs w:val="20"/>
              </w:rPr>
              <w:t>Proposed improvements for the GNSS Manual dealing with GNSS repeaters</w:t>
            </w:r>
          </w:p>
        </w:tc>
        <w:tc>
          <w:tcPr>
            <w:tcW w:w="2351" w:type="dxa"/>
          </w:tcPr>
          <w:p w:rsidR="008B5624" w:rsidRPr="008A2C56" w:rsidRDefault="008B5624" w:rsidP="008B5624">
            <w:pPr>
              <w:rPr>
                <w:sz w:val="20"/>
                <w:szCs w:val="20"/>
              </w:rPr>
            </w:pPr>
            <w:r w:rsidRPr="008A2C56">
              <w:rPr>
                <w:sz w:val="20"/>
                <w:szCs w:val="20"/>
              </w:rPr>
              <w:t>Stefan Naerlich</w:t>
            </w:r>
          </w:p>
          <w:p w:rsidR="008B5624" w:rsidRPr="008A2C56" w:rsidRDefault="008B5624" w:rsidP="008B5624">
            <w:pPr>
              <w:rPr>
                <w:sz w:val="20"/>
                <w:szCs w:val="20"/>
              </w:rPr>
            </w:pPr>
            <w:r w:rsidRPr="008A2C56">
              <w:rPr>
                <w:sz w:val="20"/>
                <w:szCs w:val="20"/>
              </w:rPr>
              <w:t>(Winfried Dunkel)</w:t>
            </w:r>
          </w:p>
        </w:tc>
      </w:tr>
      <w:tr w:rsidR="003E176B" w:rsidRPr="00BB1044" w:rsidTr="00162B97">
        <w:tc>
          <w:tcPr>
            <w:tcW w:w="1630" w:type="dxa"/>
          </w:tcPr>
          <w:p w:rsidR="003E176B" w:rsidRPr="00D113A7" w:rsidRDefault="003E176B" w:rsidP="008B5624">
            <w:pPr>
              <w:rPr>
                <w:b/>
                <w:sz w:val="20"/>
                <w:szCs w:val="20"/>
              </w:rPr>
            </w:pPr>
            <w:r>
              <w:rPr>
                <w:b/>
                <w:sz w:val="20"/>
                <w:szCs w:val="20"/>
              </w:rPr>
              <w:t>Flimsy 12</w:t>
            </w:r>
          </w:p>
        </w:tc>
        <w:tc>
          <w:tcPr>
            <w:tcW w:w="5084" w:type="dxa"/>
          </w:tcPr>
          <w:p w:rsidR="003E176B" w:rsidRPr="00D113A7" w:rsidRDefault="003E176B" w:rsidP="008B5624">
            <w:pPr>
              <w:rPr>
                <w:b/>
                <w:sz w:val="20"/>
                <w:szCs w:val="20"/>
              </w:rPr>
            </w:pPr>
            <w:r w:rsidRPr="003E176B">
              <w:rPr>
                <w:b/>
                <w:sz w:val="20"/>
                <w:szCs w:val="20"/>
              </w:rPr>
              <w:t>GNSS RFI Mitigation Plan: GNSS Manual Update Proposal</w:t>
            </w:r>
          </w:p>
        </w:tc>
        <w:tc>
          <w:tcPr>
            <w:tcW w:w="2351" w:type="dxa"/>
          </w:tcPr>
          <w:p w:rsidR="003E176B" w:rsidRPr="008A2C56" w:rsidRDefault="003E176B" w:rsidP="003E176B">
            <w:pPr>
              <w:rPr>
                <w:sz w:val="20"/>
                <w:szCs w:val="20"/>
              </w:rPr>
            </w:pPr>
            <w:r w:rsidRPr="008A2C56">
              <w:rPr>
                <w:sz w:val="20"/>
                <w:szCs w:val="20"/>
              </w:rPr>
              <w:t>Francisco Salabert</w:t>
            </w:r>
          </w:p>
          <w:p w:rsidR="003E176B" w:rsidRPr="008A2C56" w:rsidRDefault="003E176B" w:rsidP="003E176B">
            <w:pPr>
              <w:rPr>
                <w:sz w:val="20"/>
                <w:szCs w:val="20"/>
              </w:rPr>
            </w:pPr>
            <w:r w:rsidRPr="008A2C56">
              <w:rPr>
                <w:sz w:val="20"/>
                <w:szCs w:val="20"/>
              </w:rPr>
              <w:t>(Gerhard Berz)</w:t>
            </w:r>
          </w:p>
        </w:tc>
      </w:tr>
      <w:tr w:rsidR="008B5624" w:rsidRPr="00736E40" w:rsidTr="00162B97">
        <w:trPr>
          <w:trHeight w:val="427"/>
        </w:trPr>
        <w:tc>
          <w:tcPr>
            <w:tcW w:w="1630" w:type="dxa"/>
          </w:tcPr>
          <w:p w:rsidR="008B5624" w:rsidRPr="00D113A7" w:rsidRDefault="008B5624" w:rsidP="008B5624">
            <w:pPr>
              <w:rPr>
                <w:b/>
                <w:sz w:val="20"/>
                <w:szCs w:val="20"/>
              </w:rPr>
            </w:pPr>
            <w:r w:rsidRPr="00D113A7">
              <w:rPr>
                <w:b/>
                <w:sz w:val="20"/>
                <w:szCs w:val="20"/>
              </w:rPr>
              <w:t>IP04,rev. 2</w:t>
            </w:r>
          </w:p>
        </w:tc>
        <w:tc>
          <w:tcPr>
            <w:tcW w:w="5084" w:type="dxa"/>
          </w:tcPr>
          <w:p w:rsidR="008B5624" w:rsidRPr="00D113A7" w:rsidRDefault="008B5624" w:rsidP="008B5624">
            <w:pPr>
              <w:rPr>
                <w:b/>
                <w:sz w:val="20"/>
                <w:szCs w:val="20"/>
              </w:rPr>
            </w:pPr>
            <w:r w:rsidRPr="00D113A7">
              <w:rPr>
                <w:b/>
                <w:sz w:val="20"/>
                <w:szCs w:val="20"/>
              </w:rPr>
              <w:t>BDS B1I Anti-Interference Test Progress</w:t>
            </w:r>
          </w:p>
        </w:tc>
        <w:tc>
          <w:tcPr>
            <w:tcW w:w="2351" w:type="dxa"/>
          </w:tcPr>
          <w:p w:rsidR="008B5624" w:rsidRPr="00EC5CAF" w:rsidRDefault="008B5624" w:rsidP="008B5624">
            <w:pPr>
              <w:rPr>
                <w:sz w:val="20"/>
                <w:szCs w:val="20"/>
              </w:rPr>
            </w:pPr>
            <w:r w:rsidRPr="00EC5CAF">
              <w:rPr>
                <w:sz w:val="20"/>
                <w:szCs w:val="20"/>
              </w:rPr>
              <w:t xml:space="preserve">Qin </w:t>
            </w:r>
            <w:proofErr w:type="spellStart"/>
            <w:r w:rsidRPr="00EC5CAF">
              <w:rPr>
                <w:sz w:val="20"/>
                <w:szCs w:val="20"/>
              </w:rPr>
              <w:t>Zhi</w:t>
            </w:r>
            <w:proofErr w:type="spellEnd"/>
            <w:r w:rsidRPr="00EC5CAF">
              <w:rPr>
                <w:sz w:val="20"/>
                <w:szCs w:val="20"/>
              </w:rPr>
              <w:t xml:space="preserve"> </w:t>
            </w:r>
          </w:p>
          <w:p w:rsidR="008B5624" w:rsidRPr="00EC5CAF" w:rsidRDefault="008B5624" w:rsidP="008B5624">
            <w:pPr>
              <w:rPr>
                <w:sz w:val="20"/>
                <w:szCs w:val="20"/>
              </w:rPr>
            </w:pPr>
            <w:r w:rsidRPr="00EC5CAF">
              <w:rPr>
                <w:sz w:val="20"/>
                <w:szCs w:val="20"/>
              </w:rPr>
              <w:t>(Wang Zhipeng)</w:t>
            </w:r>
          </w:p>
        </w:tc>
      </w:tr>
      <w:tr w:rsidR="008B5624" w:rsidRPr="00736E40" w:rsidTr="00162B97">
        <w:trPr>
          <w:cantSplit/>
        </w:trPr>
        <w:tc>
          <w:tcPr>
            <w:tcW w:w="9065" w:type="dxa"/>
            <w:gridSpan w:val="3"/>
          </w:tcPr>
          <w:p w:rsidR="008B5624" w:rsidRPr="00736E40" w:rsidRDefault="008B5624" w:rsidP="008B5624">
            <w:pPr>
              <w:rPr>
                <w:sz w:val="20"/>
              </w:rPr>
            </w:pPr>
          </w:p>
        </w:tc>
      </w:tr>
      <w:tr w:rsidR="008B5624" w:rsidRPr="00736E40" w:rsidTr="00162B97">
        <w:tc>
          <w:tcPr>
            <w:tcW w:w="9065" w:type="dxa"/>
            <w:gridSpan w:val="3"/>
          </w:tcPr>
          <w:p w:rsidR="008B5624" w:rsidRPr="00736E40" w:rsidRDefault="008B5624" w:rsidP="008B5624">
            <w:pPr>
              <w:rPr>
                <w:sz w:val="20"/>
                <w:szCs w:val="20"/>
              </w:rPr>
            </w:pPr>
            <w:r w:rsidRPr="00736E40">
              <w:rPr>
                <w:b/>
                <w:highlight w:val="green"/>
              </w:rPr>
              <w:t>Agenda Item 6e): Open actions for the S</w:t>
            </w:r>
            <w:r>
              <w:rPr>
                <w:b/>
                <w:highlight w:val="green"/>
              </w:rPr>
              <w:t>W</w:t>
            </w:r>
            <w:r w:rsidRPr="00736E40">
              <w:rPr>
                <w:b/>
                <w:highlight w:val="green"/>
              </w:rPr>
              <w:t xml:space="preserve">G from the ICAO NSP </w:t>
            </w:r>
            <w:r>
              <w:rPr>
                <w:b/>
                <w:highlight w:val="green"/>
              </w:rPr>
              <w:t xml:space="preserve">Panel </w:t>
            </w:r>
            <w:r w:rsidRPr="00736E40">
              <w:rPr>
                <w:b/>
                <w:highlight w:val="green"/>
              </w:rPr>
              <w:t>meetings</w:t>
            </w:r>
          </w:p>
        </w:tc>
      </w:tr>
      <w:tr w:rsidR="008B5624" w:rsidRPr="00736E40" w:rsidTr="00484908">
        <w:tc>
          <w:tcPr>
            <w:tcW w:w="9065" w:type="dxa"/>
            <w:gridSpan w:val="3"/>
          </w:tcPr>
          <w:p w:rsidR="008B5624" w:rsidRDefault="008B5624" w:rsidP="008B5624">
            <w:pPr>
              <w:rPr>
                <w:i/>
                <w:iCs/>
                <w:sz w:val="20"/>
                <w:szCs w:val="20"/>
              </w:rPr>
            </w:pPr>
            <w:r w:rsidRPr="00736E40">
              <w:rPr>
                <w:i/>
                <w:iCs/>
                <w:sz w:val="20"/>
                <w:szCs w:val="20"/>
              </w:rPr>
              <w:t>Note: No papers have been presented under this agenda item.</w:t>
            </w:r>
          </w:p>
          <w:p w:rsidR="008B5624" w:rsidRPr="00736E40" w:rsidRDefault="008B5624" w:rsidP="008B5624">
            <w:pPr>
              <w:rPr>
                <w:sz w:val="20"/>
                <w:szCs w:val="20"/>
              </w:rPr>
            </w:pPr>
          </w:p>
        </w:tc>
      </w:tr>
      <w:tr w:rsidR="008B5624" w:rsidRPr="00736E40" w:rsidTr="00162B97">
        <w:trPr>
          <w:cantSplit/>
        </w:trPr>
        <w:tc>
          <w:tcPr>
            <w:tcW w:w="9065" w:type="dxa"/>
            <w:gridSpan w:val="3"/>
          </w:tcPr>
          <w:p w:rsidR="008B5624" w:rsidRPr="00736E40" w:rsidRDefault="008B5624" w:rsidP="008B5624">
            <w:pPr>
              <w:rPr>
                <w:sz w:val="20"/>
                <w:szCs w:val="20"/>
              </w:rPr>
            </w:pPr>
          </w:p>
        </w:tc>
      </w:tr>
      <w:tr w:rsidR="008B5624" w:rsidRPr="00736E40" w:rsidTr="00162B97">
        <w:tc>
          <w:tcPr>
            <w:tcW w:w="9065" w:type="dxa"/>
            <w:gridSpan w:val="3"/>
          </w:tcPr>
          <w:p w:rsidR="008B5624" w:rsidRPr="00736E40" w:rsidRDefault="008B5624" w:rsidP="008B5624">
            <w:pPr>
              <w:rPr>
                <w:sz w:val="20"/>
                <w:szCs w:val="20"/>
              </w:rPr>
            </w:pPr>
            <w:r w:rsidRPr="00736E40">
              <w:rPr>
                <w:b/>
                <w:highlight w:val="green"/>
              </w:rPr>
              <w:t>Agenda Item 6f): Spectrum – any other business</w:t>
            </w:r>
          </w:p>
        </w:tc>
      </w:tr>
      <w:tr w:rsidR="008B5624" w:rsidRPr="00137358" w:rsidTr="00484908">
        <w:tc>
          <w:tcPr>
            <w:tcW w:w="9065" w:type="dxa"/>
            <w:gridSpan w:val="3"/>
          </w:tcPr>
          <w:p w:rsidR="008B5624" w:rsidRPr="00EC5CAF" w:rsidRDefault="008B5624" w:rsidP="008B5624">
            <w:pPr>
              <w:rPr>
                <w:sz w:val="20"/>
                <w:szCs w:val="20"/>
              </w:rPr>
            </w:pPr>
          </w:p>
        </w:tc>
      </w:tr>
      <w:tr w:rsidR="008B5624" w:rsidRPr="00FE7DCD" w:rsidTr="00162B97">
        <w:tc>
          <w:tcPr>
            <w:tcW w:w="1630" w:type="dxa"/>
          </w:tcPr>
          <w:p w:rsidR="008B5624" w:rsidRPr="00D113A7" w:rsidRDefault="008B5624" w:rsidP="008B5624">
            <w:pPr>
              <w:rPr>
                <w:b/>
                <w:sz w:val="20"/>
                <w:szCs w:val="20"/>
              </w:rPr>
            </w:pPr>
            <w:r w:rsidRPr="00D113A7">
              <w:rPr>
                <w:b/>
                <w:sz w:val="20"/>
                <w:szCs w:val="20"/>
              </w:rPr>
              <w:t>IP27</w:t>
            </w:r>
          </w:p>
        </w:tc>
        <w:tc>
          <w:tcPr>
            <w:tcW w:w="5084" w:type="dxa"/>
          </w:tcPr>
          <w:p w:rsidR="008B5624" w:rsidRPr="00D113A7" w:rsidRDefault="008B5624" w:rsidP="008B5624">
            <w:pPr>
              <w:rPr>
                <w:b/>
                <w:sz w:val="20"/>
                <w:szCs w:val="20"/>
              </w:rPr>
            </w:pPr>
            <w:r w:rsidRPr="00D113A7">
              <w:rPr>
                <w:b/>
                <w:sz w:val="20"/>
                <w:szCs w:val="20"/>
              </w:rPr>
              <w:t>Report of the ICAO FSMP WG/3</w:t>
            </w:r>
          </w:p>
        </w:tc>
        <w:tc>
          <w:tcPr>
            <w:tcW w:w="2351" w:type="dxa"/>
          </w:tcPr>
          <w:p w:rsidR="008B5624" w:rsidRPr="00EC5CAF" w:rsidRDefault="008B5624" w:rsidP="00CA2FD5">
            <w:pPr>
              <w:rPr>
                <w:sz w:val="20"/>
                <w:szCs w:val="20"/>
              </w:rPr>
            </w:pPr>
            <w:r w:rsidRPr="00EC5CAF">
              <w:rPr>
                <w:sz w:val="20"/>
                <w:szCs w:val="20"/>
              </w:rPr>
              <w:t>ICAO FSMP rapporteur, Mike Biggs</w:t>
            </w:r>
          </w:p>
        </w:tc>
      </w:tr>
      <w:tr w:rsidR="008B5624" w:rsidRPr="00FE7DCD" w:rsidTr="00162B97">
        <w:tc>
          <w:tcPr>
            <w:tcW w:w="1630" w:type="dxa"/>
          </w:tcPr>
          <w:p w:rsidR="008B5624" w:rsidRPr="00D113A7" w:rsidRDefault="008B5624" w:rsidP="008B5624">
            <w:pPr>
              <w:rPr>
                <w:b/>
                <w:sz w:val="20"/>
                <w:szCs w:val="20"/>
              </w:rPr>
            </w:pPr>
            <w:r w:rsidRPr="00D113A7">
              <w:rPr>
                <w:b/>
                <w:sz w:val="20"/>
                <w:szCs w:val="20"/>
              </w:rPr>
              <w:t>WP15</w:t>
            </w:r>
          </w:p>
        </w:tc>
        <w:tc>
          <w:tcPr>
            <w:tcW w:w="5084" w:type="dxa"/>
          </w:tcPr>
          <w:p w:rsidR="008B5624" w:rsidRPr="00D113A7" w:rsidRDefault="008B5624" w:rsidP="008B5624">
            <w:pPr>
              <w:rPr>
                <w:b/>
                <w:sz w:val="20"/>
                <w:szCs w:val="20"/>
              </w:rPr>
            </w:pPr>
            <w:r w:rsidRPr="00D113A7">
              <w:rPr>
                <w:b/>
                <w:sz w:val="20"/>
                <w:szCs w:val="20"/>
              </w:rPr>
              <w:t>Modifications to ICAO Doc 9718, Vol. I,</w:t>
            </w:r>
            <w:r w:rsidR="00870268">
              <w:rPr>
                <w:b/>
                <w:sz w:val="20"/>
                <w:szCs w:val="20"/>
              </w:rPr>
              <w:t xml:space="preserve"> </w:t>
            </w:r>
          </w:p>
          <w:p w:rsidR="008B5624" w:rsidRPr="00D113A7" w:rsidRDefault="008B5624" w:rsidP="008B5624">
            <w:pPr>
              <w:rPr>
                <w:b/>
                <w:sz w:val="20"/>
                <w:szCs w:val="20"/>
              </w:rPr>
            </w:pPr>
            <w:r w:rsidRPr="00D113A7">
              <w:rPr>
                <w:b/>
                <w:sz w:val="20"/>
                <w:szCs w:val="20"/>
              </w:rPr>
              <w:t>-proposed by ICAO FSMP WG/3</w:t>
            </w:r>
          </w:p>
        </w:tc>
        <w:tc>
          <w:tcPr>
            <w:tcW w:w="2351" w:type="dxa"/>
          </w:tcPr>
          <w:p w:rsidR="008B5624" w:rsidRPr="00EC5CAF" w:rsidRDefault="008B5624" w:rsidP="008B5624">
            <w:pPr>
              <w:rPr>
                <w:sz w:val="20"/>
                <w:szCs w:val="20"/>
              </w:rPr>
            </w:pPr>
            <w:r w:rsidRPr="00EC5CAF">
              <w:rPr>
                <w:sz w:val="20"/>
                <w:szCs w:val="20"/>
              </w:rPr>
              <w:t>SWG-Rapporteur</w:t>
            </w:r>
          </w:p>
          <w:p w:rsidR="008B5624" w:rsidRPr="00EC5CAF" w:rsidRDefault="008B5624" w:rsidP="008B5624">
            <w:pPr>
              <w:rPr>
                <w:sz w:val="20"/>
                <w:szCs w:val="20"/>
              </w:rPr>
            </w:pPr>
            <w:r w:rsidRPr="00EC5CAF">
              <w:rPr>
                <w:sz w:val="20"/>
                <w:szCs w:val="20"/>
              </w:rPr>
              <w:t>(Felix Butsch)</w:t>
            </w:r>
          </w:p>
        </w:tc>
      </w:tr>
    </w:tbl>
    <w:p w:rsidR="00074170" w:rsidRPr="00736E40" w:rsidRDefault="00074170">
      <w:pPr>
        <w:pStyle w:val="1Heading"/>
        <w:numPr>
          <w:ilvl w:val="0"/>
          <w:numId w:val="0"/>
        </w:numPr>
      </w:pPr>
      <w:r w:rsidRPr="00736E40">
        <w:br w:type="page"/>
      </w:r>
      <w:r w:rsidRPr="00736E40">
        <w:lastRenderedPageBreak/>
        <w:t>II. Results of the Discussions</w:t>
      </w:r>
    </w:p>
    <w:p w:rsidR="00074170" w:rsidRPr="00736E40" w:rsidRDefault="00074170">
      <w:pPr>
        <w:ind w:left="426" w:hanging="426"/>
      </w:pPr>
    </w:p>
    <w:p w:rsidR="00074170" w:rsidRPr="00736E40" w:rsidRDefault="00074170" w:rsidP="00BB1225">
      <w:pPr>
        <w:rPr>
          <w:b/>
          <w:highlight w:val="green"/>
        </w:rPr>
      </w:pPr>
      <w:r w:rsidRPr="00736E40">
        <w:rPr>
          <w:b/>
          <w:highlight w:val="green"/>
        </w:rPr>
        <w:t>Agenda Item 6a): Signal and compatibility issues in the band 108 to 117.975 MHz</w:t>
      </w:r>
    </w:p>
    <w:p w:rsidR="00074170" w:rsidRDefault="007A3AEB" w:rsidP="007A3AEB">
      <w:pPr>
        <w:tabs>
          <w:tab w:val="left" w:pos="2396"/>
        </w:tabs>
        <w:rPr>
          <w:b/>
          <w:highlight w:val="green"/>
        </w:rPr>
      </w:pPr>
      <w:r>
        <w:rPr>
          <w:b/>
          <w:highlight w:val="green"/>
        </w:rPr>
        <w:tab/>
      </w:r>
    </w:p>
    <w:p w:rsidR="00CD2B05" w:rsidRDefault="00D674BE" w:rsidP="00CD2B05">
      <w:pPr>
        <w:ind w:left="426" w:hanging="426"/>
      </w:pPr>
      <w:r>
        <w:t xml:space="preserve">6a1) </w:t>
      </w:r>
      <w:r w:rsidR="00CD2B05">
        <w:t xml:space="preserve">The following working </w:t>
      </w:r>
      <w:r w:rsidR="00EC5CAF">
        <w:t xml:space="preserve">and information </w:t>
      </w:r>
      <w:r w:rsidR="00CD2B05">
        <w:t>papers were presented under this agenda item to</w:t>
      </w:r>
      <w:r w:rsidR="00EC5CAF">
        <w:t xml:space="preserve"> a joint meeting of GWG and SWG:</w:t>
      </w:r>
      <w:r w:rsidR="00CD2B05">
        <w:t xml:space="preserve"> </w:t>
      </w:r>
    </w:p>
    <w:p w:rsidR="00CD2B05" w:rsidRPr="00543A29" w:rsidRDefault="00CD2B05" w:rsidP="008F230F">
      <w:pPr>
        <w:pStyle w:val="ListParagraph"/>
        <w:numPr>
          <w:ilvl w:val="0"/>
          <w:numId w:val="9"/>
        </w:numPr>
        <w:rPr>
          <w:highlight w:val="cyan"/>
        </w:rPr>
      </w:pPr>
      <w:r w:rsidRPr="00543A29">
        <w:rPr>
          <w:highlight w:val="cyan"/>
        </w:rPr>
        <w:t>IP21,</w:t>
      </w:r>
      <w:r w:rsidR="000A6192">
        <w:rPr>
          <w:highlight w:val="cyan"/>
        </w:rPr>
        <w:t xml:space="preserve"> </w:t>
      </w:r>
      <w:r w:rsidRPr="00543A29">
        <w:rPr>
          <w:highlight w:val="cyan"/>
        </w:rPr>
        <w:t>rev.2</w:t>
      </w:r>
      <w:r w:rsidR="00543A29" w:rsidRPr="00543A29">
        <w:rPr>
          <w:highlight w:val="cyan"/>
        </w:rPr>
        <w:t xml:space="preserve">, </w:t>
      </w:r>
      <w:r w:rsidRPr="00543A29">
        <w:rPr>
          <w:highlight w:val="cyan"/>
        </w:rPr>
        <w:t>Status of the development of GBAS VDB coordination criteria</w:t>
      </w:r>
      <w:r w:rsidR="00870268">
        <w:rPr>
          <w:highlight w:val="cyan"/>
        </w:rPr>
        <w:t>.</w:t>
      </w:r>
    </w:p>
    <w:p w:rsidR="00CD2B05" w:rsidRPr="00543A29" w:rsidRDefault="00CD2B05" w:rsidP="008F230F">
      <w:pPr>
        <w:pStyle w:val="ListParagraph"/>
        <w:numPr>
          <w:ilvl w:val="0"/>
          <w:numId w:val="9"/>
        </w:numPr>
        <w:rPr>
          <w:highlight w:val="cyan"/>
        </w:rPr>
      </w:pPr>
      <w:r w:rsidRPr="00543A29">
        <w:rPr>
          <w:highlight w:val="cyan"/>
        </w:rPr>
        <w:t>IP25</w:t>
      </w:r>
      <w:r w:rsidR="00543A29">
        <w:rPr>
          <w:highlight w:val="cyan"/>
        </w:rPr>
        <w:t xml:space="preserve">, </w:t>
      </w:r>
      <w:r w:rsidRPr="00543A29">
        <w:rPr>
          <w:highlight w:val="cyan"/>
        </w:rPr>
        <w:t>Status of Simulations for VHF Compatibility Assessment</w:t>
      </w:r>
      <w:r w:rsidR="00870268">
        <w:rPr>
          <w:highlight w:val="cyan"/>
        </w:rPr>
        <w:t>.</w:t>
      </w:r>
    </w:p>
    <w:p w:rsidR="00CD2B05" w:rsidRPr="00EC5CAF" w:rsidRDefault="00CD2B05" w:rsidP="008F230F">
      <w:pPr>
        <w:pStyle w:val="ListParagraph"/>
        <w:numPr>
          <w:ilvl w:val="0"/>
          <w:numId w:val="9"/>
        </w:numPr>
        <w:rPr>
          <w:highlight w:val="cyan"/>
        </w:rPr>
      </w:pPr>
      <w:r w:rsidRPr="00EC5CAF">
        <w:rPr>
          <w:highlight w:val="cyan"/>
        </w:rPr>
        <w:t>WP16, rev.1</w:t>
      </w:r>
      <w:r w:rsidR="00543A29" w:rsidRPr="00EC5CAF">
        <w:rPr>
          <w:highlight w:val="cyan"/>
        </w:rPr>
        <w:t xml:space="preserve">, </w:t>
      </w:r>
      <w:r w:rsidRPr="00EC5CAF">
        <w:rPr>
          <w:highlight w:val="cyan"/>
        </w:rPr>
        <w:t>GBAS VDB Desired-to-Undesired Signal Power Ratios</w:t>
      </w:r>
      <w:r w:rsidR="00EC5CAF">
        <w:rPr>
          <w:highlight w:val="cyan"/>
        </w:rPr>
        <w:t xml:space="preserve"> </w:t>
      </w:r>
      <w:r w:rsidRPr="00EC5CAF">
        <w:rPr>
          <w:highlight w:val="cyan"/>
        </w:rPr>
        <w:t>at Frankfurt Airport</w:t>
      </w:r>
    </w:p>
    <w:p w:rsidR="00CD2B05" w:rsidRPr="00870268" w:rsidRDefault="00CD2B05" w:rsidP="00091FE2">
      <w:pPr>
        <w:pStyle w:val="ListParagraph"/>
        <w:numPr>
          <w:ilvl w:val="0"/>
          <w:numId w:val="9"/>
        </w:numPr>
        <w:rPr>
          <w:highlight w:val="cyan"/>
        </w:rPr>
      </w:pPr>
      <w:r w:rsidRPr="00870268">
        <w:rPr>
          <w:highlight w:val="cyan"/>
        </w:rPr>
        <w:t>WP11</w:t>
      </w:r>
      <w:r w:rsidR="00543A29" w:rsidRPr="00870268">
        <w:rPr>
          <w:highlight w:val="cyan"/>
        </w:rPr>
        <w:t xml:space="preserve">, </w:t>
      </w:r>
      <w:r w:rsidRPr="00870268">
        <w:rPr>
          <w:highlight w:val="cyan"/>
        </w:rPr>
        <w:t>GBAS-VDB versus ILS-Localizer D/U-Calculation based</w:t>
      </w:r>
      <w:r w:rsidR="00870268">
        <w:rPr>
          <w:highlight w:val="cyan"/>
        </w:rPr>
        <w:t xml:space="preserve"> </w:t>
      </w:r>
      <w:r w:rsidRPr="00870268">
        <w:rPr>
          <w:highlight w:val="cyan"/>
        </w:rPr>
        <w:t>on Flight Calibration Measurements at Toulouse airport</w:t>
      </w:r>
      <w:r w:rsidR="00870268">
        <w:rPr>
          <w:highlight w:val="cyan"/>
        </w:rPr>
        <w:t>.</w:t>
      </w:r>
    </w:p>
    <w:p w:rsidR="00074170" w:rsidRPr="00543A29" w:rsidRDefault="00CD2B05" w:rsidP="008F230F">
      <w:pPr>
        <w:pStyle w:val="ListParagraph"/>
        <w:numPr>
          <w:ilvl w:val="0"/>
          <w:numId w:val="9"/>
        </w:numPr>
        <w:rPr>
          <w:highlight w:val="cyan"/>
        </w:rPr>
      </w:pPr>
      <w:r w:rsidRPr="00543A29">
        <w:rPr>
          <w:highlight w:val="cyan"/>
        </w:rPr>
        <w:t>IP22</w:t>
      </w:r>
      <w:r w:rsidR="00543A29" w:rsidRPr="00543A29">
        <w:rPr>
          <w:highlight w:val="cyan"/>
        </w:rPr>
        <w:t>,</w:t>
      </w:r>
      <w:r w:rsidR="00543A29">
        <w:rPr>
          <w:highlight w:val="cyan"/>
        </w:rPr>
        <w:t xml:space="preserve"> </w:t>
      </w:r>
      <w:r w:rsidRPr="00543A29">
        <w:rPr>
          <w:highlight w:val="cyan"/>
        </w:rPr>
        <w:t xml:space="preserve">GBAS Implementation with limited VDB ILS Frequency offset in </w:t>
      </w:r>
      <w:r w:rsidR="005620E4" w:rsidRPr="003C483B">
        <w:rPr>
          <w:highlight w:val="cyan"/>
        </w:rPr>
        <w:t xml:space="preserve">Anapa (Vityazevo) </w:t>
      </w:r>
      <w:r w:rsidRPr="00543A29">
        <w:rPr>
          <w:highlight w:val="cyan"/>
        </w:rPr>
        <w:t>airport</w:t>
      </w:r>
      <w:r w:rsidR="00870268">
        <w:rPr>
          <w:highlight w:val="cyan"/>
        </w:rPr>
        <w:t>.</w:t>
      </w:r>
    </w:p>
    <w:p w:rsidR="00CD2B05" w:rsidRDefault="00543A29" w:rsidP="00870268">
      <w:pPr>
        <w:pStyle w:val="Header"/>
        <w:tabs>
          <w:tab w:val="clear" w:pos="4536"/>
          <w:tab w:val="clear" w:pos="9072"/>
        </w:tabs>
        <w:ind w:left="360"/>
      </w:pPr>
      <w:r>
        <w:t>The report of the discussion of these papers</w:t>
      </w:r>
      <w:r w:rsidR="005148D8">
        <w:t xml:space="preserve"> by the joint meeting of GWG and SWG</w:t>
      </w:r>
      <w:r>
        <w:t xml:space="preserve"> is contained in the GWG report</w:t>
      </w:r>
      <w:r w:rsidR="005644D6">
        <w:t>.</w:t>
      </w:r>
    </w:p>
    <w:p w:rsidR="005644D6" w:rsidRDefault="005644D6" w:rsidP="00870268">
      <w:pPr>
        <w:pStyle w:val="Header"/>
        <w:tabs>
          <w:tab w:val="clear" w:pos="4536"/>
          <w:tab w:val="clear" w:pos="9072"/>
        </w:tabs>
        <w:ind w:left="360"/>
      </w:pPr>
    </w:p>
    <w:p w:rsidR="005644D6" w:rsidRPr="005644D6" w:rsidRDefault="005644D6" w:rsidP="00870268">
      <w:pPr>
        <w:pStyle w:val="Header"/>
        <w:tabs>
          <w:tab w:val="clear" w:pos="4536"/>
          <w:tab w:val="clear" w:pos="9072"/>
        </w:tabs>
        <w:ind w:left="360"/>
        <w:rPr>
          <w:b/>
          <w:i/>
        </w:rPr>
      </w:pPr>
      <w:r w:rsidRPr="005644D6">
        <w:rPr>
          <w:b/>
          <w:i/>
        </w:rPr>
        <w:t xml:space="preserve">Note: An excerpt from that </w:t>
      </w:r>
      <w:r>
        <w:rPr>
          <w:b/>
          <w:i/>
        </w:rPr>
        <w:t xml:space="preserve">GWG </w:t>
      </w:r>
      <w:r w:rsidRPr="005644D6">
        <w:rPr>
          <w:b/>
          <w:i/>
        </w:rPr>
        <w:t xml:space="preserve">report follows </w:t>
      </w:r>
      <w:r>
        <w:rPr>
          <w:b/>
          <w:i/>
        </w:rPr>
        <w:t>in the box stating at</w:t>
      </w:r>
      <w:r w:rsidRPr="005644D6">
        <w:rPr>
          <w:b/>
          <w:i/>
        </w:rPr>
        <w:t xml:space="preserve"> the next page.</w:t>
      </w: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Default="005644D6" w:rsidP="00870268">
      <w:pPr>
        <w:pStyle w:val="Header"/>
        <w:tabs>
          <w:tab w:val="clear" w:pos="4536"/>
          <w:tab w:val="clear" w:pos="9072"/>
        </w:tabs>
        <w:ind w:left="360"/>
      </w:pPr>
    </w:p>
    <w:p w:rsidR="005644D6" w:rsidRPr="005644D6" w:rsidRDefault="005644D6" w:rsidP="005644D6">
      <w:pPr>
        <w:pStyle w:val="Header"/>
        <w:tabs>
          <w:tab w:val="clear" w:pos="4536"/>
          <w:tab w:val="clear" w:pos="9072"/>
        </w:tabs>
        <w:ind w:left="708"/>
        <w:rPr>
          <w:b/>
          <w:i/>
        </w:rPr>
      </w:pPr>
    </w:p>
    <w:tbl>
      <w:tblPr>
        <w:tblStyle w:val="TableGrid"/>
        <w:tblW w:w="0" w:type="auto"/>
        <w:tblLook w:val="04A0" w:firstRow="1" w:lastRow="0" w:firstColumn="1" w:lastColumn="0" w:noHBand="0" w:noVBand="1"/>
      </w:tblPr>
      <w:tblGrid>
        <w:gridCol w:w="9060"/>
      </w:tblGrid>
      <w:tr w:rsidR="005644D6" w:rsidTr="005644D6">
        <w:tc>
          <w:tcPr>
            <w:tcW w:w="9060" w:type="dxa"/>
          </w:tcPr>
          <w:p w:rsidR="005644D6" w:rsidRPr="005644D6" w:rsidRDefault="005644D6" w:rsidP="005644D6">
            <w:pPr>
              <w:pStyle w:val="Heading2"/>
              <w:numPr>
                <w:ilvl w:val="1"/>
                <w:numId w:val="0"/>
              </w:numPr>
              <w:tabs>
                <w:tab w:val="num" w:pos="0"/>
              </w:tabs>
              <w:spacing w:before="240" w:after="60"/>
              <w:outlineLvl w:val="1"/>
              <w:rPr>
                <w:b/>
                <w:i/>
                <w:sz w:val="22"/>
              </w:rPr>
            </w:pPr>
            <w:r w:rsidRPr="005644D6">
              <w:rPr>
                <w:b/>
                <w:i/>
                <w:sz w:val="22"/>
              </w:rPr>
              <w:lastRenderedPageBreak/>
              <w:t>&lt;Excerpt from the GWG report on the joint meeting of GWG and SWG:&gt;</w:t>
            </w:r>
          </w:p>
          <w:p w:rsidR="005644D6" w:rsidRDefault="005644D6" w:rsidP="005644D6">
            <w:r>
              <w:t>A joint meeting of GWG and the Spectrum Working Group (SWG) was held to review papers WP 11, WP 16, IP 21, IP 22, and IP 25 which concern VDB compatibility with ILS and VOR.   A synopsis of each paper is given below.  The review of these papers resulted in a lengthy discussion.  The general points of consensus reached are as follows:</w:t>
            </w:r>
          </w:p>
          <w:p w:rsidR="005644D6" w:rsidRDefault="005644D6" w:rsidP="005644D6"/>
          <w:p w:rsidR="005644D6" w:rsidRDefault="005644D6" w:rsidP="005644D6">
            <w:pPr>
              <w:pStyle w:val="ListParagraph"/>
              <w:numPr>
                <w:ilvl w:val="0"/>
                <w:numId w:val="18"/>
              </w:numPr>
            </w:pPr>
            <w:r>
              <w:t xml:space="preserve">GWG/SWG are not in </w:t>
            </w:r>
            <w:r w:rsidR="00091FE2">
              <w:t>favour</w:t>
            </w:r>
            <w:r>
              <w:t xml:space="preserve"> of delaying the MOPS change.  </w:t>
            </w:r>
          </w:p>
          <w:p w:rsidR="008265DC" w:rsidRDefault="005644D6" w:rsidP="005644D6">
            <w:pPr>
              <w:pStyle w:val="ListParagraph"/>
              <w:numPr>
                <w:ilvl w:val="0"/>
                <w:numId w:val="18"/>
              </w:numPr>
            </w:pPr>
            <w:r>
              <w:t xml:space="preserve">The VDB compatibility with ILS and VOR doesn’t work on paper when all minimum performances are stacked up.  </w:t>
            </w:r>
          </w:p>
          <w:p w:rsidR="005644D6" w:rsidRDefault="005644D6" w:rsidP="00EB0080">
            <w:pPr>
              <w:pStyle w:val="ListParagraph"/>
              <w:numPr>
                <w:ilvl w:val="0"/>
                <w:numId w:val="18"/>
              </w:numPr>
            </w:pPr>
            <w:r>
              <w:t xml:space="preserve">However, </w:t>
            </w:r>
            <w:r w:rsidR="008265DC">
              <w:t>t</w:t>
            </w:r>
            <w:r>
              <w:t xml:space="preserve">he problem cannot be addressed only through an increase in the receiver D/U performance.  Some combination of increased specified performance, </w:t>
            </w:r>
          </w:p>
          <w:p w:rsidR="005644D6" w:rsidRDefault="005644D6" w:rsidP="005644D6">
            <w:pPr>
              <w:pStyle w:val="ListParagraph"/>
              <w:numPr>
                <w:ilvl w:val="0"/>
                <w:numId w:val="18"/>
              </w:numPr>
            </w:pPr>
            <w:r>
              <w:t>Want to propose something like -67 D</w:t>
            </w:r>
            <w:r w:rsidR="00091FE2">
              <w:t>-to-</w:t>
            </w:r>
            <w:r>
              <w:t>U for 40</w:t>
            </w:r>
            <w:r w:rsidRPr="00D85943">
              <w:rPr>
                <w:vertAlign w:val="superscript"/>
              </w:rPr>
              <w:t>th</w:t>
            </w:r>
            <w:r>
              <w:t xml:space="preserve"> adjacent and beyond.  Then look at an allocation over all mitigations to address all the cases.</w:t>
            </w:r>
          </w:p>
          <w:p w:rsidR="005644D6" w:rsidRDefault="005644D6" w:rsidP="005644D6"/>
          <w:p w:rsidR="005644D6" w:rsidRDefault="005644D6" w:rsidP="005644D6">
            <w:r>
              <w:t>GWG and SWG agreed that some recommendations would be made to RTCA concerning improvements in receiver performance.  Towards that end it was agreed that SWG will develop a set of requirements and rationale to give to RTCA as a starting point.  Things to include in the consideration;</w:t>
            </w:r>
          </w:p>
          <w:p w:rsidR="005644D6" w:rsidRDefault="005644D6" w:rsidP="005644D6">
            <w:pPr>
              <w:pStyle w:val="ListParagraph"/>
              <w:numPr>
                <w:ilvl w:val="0"/>
                <w:numId w:val="17"/>
              </w:numPr>
            </w:pPr>
            <w:r>
              <w:t>D/U of -67 dB for frequency separation of 1 MHz or greater (i.e. 40</w:t>
            </w:r>
            <w:r w:rsidRPr="00C53A8B">
              <w:rPr>
                <w:vertAlign w:val="superscript"/>
              </w:rPr>
              <w:t>th</w:t>
            </w:r>
            <w:r>
              <w:t xml:space="preserve"> channel and beyond)</w:t>
            </w:r>
          </w:p>
          <w:p w:rsidR="005644D6" w:rsidRDefault="005644D6" w:rsidP="005644D6">
            <w:pPr>
              <w:pStyle w:val="ListParagraph"/>
              <w:numPr>
                <w:ilvl w:val="0"/>
                <w:numId w:val="17"/>
              </w:numPr>
            </w:pPr>
            <w:r>
              <w:t xml:space="preserve">Some guidance on the maximum VOR signal strength that the receiver must be able to tolerate (i.e. </w:t>
            </w:r>
            <w:proofErr w:type="spellStart"/>
            <w:r>
              <w:t>S</w:t>
            </w:r>
            <w:r w:rsidRPr="008265DC">
              <w:rPr>
                <w:sz w:val="18"/>
              </w:rPr>
              <w:t>max</w:t>
            </w:r>
            <w:proofErr w:type="spellEnd"/>
            <w:r w:rsidR="008265DC">
              <w:t>-</w:t>
            </w:r>
            <w:r>
              <w:t>limit).  Report on what we know about it and highlight that we need to obtain data as soon as possible.</w:t>
            </w:r>
          </w:p>
          <w:p w:rsidR="005644D6" w:rsidRDefault="005644D6" w:rsidP="005644D6"/>
          <w:p w:rsidR="005644D6" w:rsidRDefault="005644D6" w:rsidP="005644D6">
            <w:r>
              <w:t>SWG accepted the action to develop a flimsy (see Flimsy 9).  A second joint GWG/SWG session was held to review (and improve) Flimsy 9.  The improved flimsy was released as Flimsy 9 rev 1.  It was agreed that this final version of the flimsy would be communicated to RTCA SC-159 WG 4 by giving it directly to a co-chair of that committee (Matt Harris) at this meeting.</w:t>
            </w:r>
          </w:p>
          <w:p w:rsidR="005644D6" w:rsidRDefault="005644D6" w:rsidP="005644D6"/>
          <w:p w:rsidR="005644D6" w:rsidRDefault="005644D6" w:rsidP="005644D6">
            <w:pPr>
              <w:pStyle w:val="Heading2"/>
              <w:numPr>
                <w:ilvl w:val="1"/>
                <w:numId w:val="0"/>
              </w:numPr>
              <w:tabs>
                <w:tab w:val="num" w:pos="0"/>
              </w:tabs>
              <w:spacing w:before="240" w:after="60"/>
              <w:outlineLvl w:val="1"/>
            </w:pPr>
            <w:r>
              <w:t>WP 11 – GBAS-VDB versus ILS-Localizer D/U-Calculation based on Flight Calibration Measurements at Toulouse airport</w:t>
            </w:r>
          </w:p>
          <w:p w:rsidR="005644D6" w:rsidRDefault="005644D6" w:rsidP="005644D6">
            <w:r>
              <w:t xml:space="preserve">As per action </w:t>
            </w:r>
            <w:r w:rsidRPr="00F252C7">
              <w:t>SWG02/8</w:t>
            </w:r>
            <w:r>
              <w:t xml:space="preserve"> of the</w:t>
            </w:r>
            <w:r w:rsidRPr="00BC6D69">
              <w:t xml:space="preserve"> ICAO </w:t>
            </w:r>
            <w:r>
              <w:t>NSP SWG meeting in June 2016, t</w:t>
            </w:r>
            <w:r w:rsidRPr="00702376">
              <w:t xml:space="preserve">his </w:t>
            </w:r>
            <w:r>
              <w:t>working</w:t>
            </w:r>
            <w:r w:rsidRPr="00702376">
              <w:t xml:space="preserve"> paper </w:t>
            </w:r>
            <w:r>
              <w:t>present</w:t>
            </w:r>
            <w:r w:rsidRPr="00702376">
              <w:t xml:space="preserve">s </w:t>
            </w:r>
            <w:r>
              <w:t>results about GBAS versus ILS-LOC D/U calculation based on flight calibration measurements performed at Toulouse airport.</w:t>
            </w:r>
          </w:p>
          <w:p w:rsidR="005644D6" w:rsidRDefault="005644D6" w:rsidP="005644D6"/>
          <w:p w:rsidR="005644D6" w:rsidRDefault="005644D6" w:rsidP="005644D6">
            <w:r>
              <w:t xml:space="preserve">At the ICAO NSP2 meeting in December 2015, a Joint ICAO NSP-RTCA-Group on GBAS VDB was formed to tackle the GBAS VDB frequency coordination issues. This group has met several times by teleconference since </w:t>
            </w:r>
            <w:r w:rsidR="008265DC">
              <w:t xml:space="preserve">ICAO </w:t>
            </w:r>
            <w:r>
              <w:t>NSP2 with the objective to progress on the determination of appropriate frequency coordination criteria for GBAS VDB.</w:t>
            </w:r>
          </w:p>
          <w:p w:rsidR="005644D6" w:rsidRDefault="005644D6" w:rsidP="005644D6"/>
          <w:p w:rsidR="005644D6" w:rsidRDefault="005644D6" w:rsidP="005644D6">
            <w:r>
              <w:t>At the ICAO Spectrum Working Group (SWG) meeting in June 2016, an action was assigned to all members to “provide typical ILS and VOR field strength on the approach path to allow to realistically model the undesired signal strength into the GBAS VDB receiver (typical data from deployed systems, in particular for airports with existing GBAS)”.</w:t>
            </w:r>
          </w:p>
          <w:p w:rsidR="005644D6" w:rsidRDefault="005644D6" w:rsidP="005644D6"/>
          <w:p w:rsidR="005644D6" w:rsidRDefault="005644D6" w:rsidP="005644D6">
            <w:r>
              <w:t xml:space="preserve">At the Joint ICAO NSP-RTCA-Group on September 27th 2016, Germany made a presentation about GBAS-VDB versus ILS-Localizer D/U-Calculation based on Flight Calibration-Measurements at Frankfurt airport. </w:t>
            </w:r>
          </w:p>
          <w:p w:rsidR="005644D6" w:rsidRDefault="005644D6" w:rsidP="005644D6"/>
          <w:p w:rsidR="005644D6" w:rsidRDefault="005644D6" w:rsidP="005644D6">
            <w:r>
              <w:t>This working paper herein presents results of similar measurements about GBAS and ILS-LOC signals power levels as made during calibration flights performed at Toulouse airport. Those results allow to calculate GBAS versus ILS-LOC D/U.</w:t>
            </w:r>
          </w:p>
          <w:p w:rsidR="005644D6" w:rsidRDefault="005644D6" w:rsidP="005644D6"/>
          <w:p w:rsidR="007A3AEB" w:rsidRDefault="007A3AEB" w:rsidP="005644D6"/>
          <w:p w:rsidR="00042FE6" w:rsidRDefault="00042FE6" w:rsidP="005644D6"/>
          <w:p w:rsidR="00042FE6" w:rsidRDefault="00042FE6" w:rsidP="005644D6"/>
          <w:p w:rsidR="00042FE6" w:rsidRDefault="00042FE6" w:rsidP="005644D6"/>
          <w:p w:rsidR="007A3AEB" w:rsidRDefault="007A3AEB" w:rsidP="005644D6"/>
          <w:p w:rsidR="005644D6" w:rsidRDefault="005644D6" w:rsidP="005644D6">
            <w:r>
              <w:t>The NSP is invited to:</w:t>
            </w:r>
          </w:p>
          <w:p w:rsidR="005644D6" w:rsidRDefault="005644D6" w:rsidP="005644D6">
            <w:pPr>
              <w:pStyle w:val="ListParagraph"/>
              <w:numPr>
                <w:ilvl w:val="0"/>
                <w:numId w:val="16"/>
              </w:numPr>
            </w:pPr>
            <w:r>
              <w:lastRenderedPageBreak/>
              <w:t>Note the information provided in this working paper</w:t>
            </w:r>
          </w:p>
          <w:p w:rsidR="005644D6" w:rsidRDefault="005644D6" w:rsidP="005644D6">
            <w:pPr>
              <w:pStyle w:val="ListParagraph"/>
              <w:numPr>
                <w:ilvl w:val="0"/>
                <w:numId w:val="16"/>
              </w:numPr>
            </w:pPr>
            <w:r>
              <w:t>Progress with the development of GBAS VDB frequency compatibility criteria</w:t>
            </w:r>
          </w:p>
          <w:p w:rsidR="005644D6" w:rsidRDefault="005644D6" w:rsidP="005644D6">
            <w:pPr>
              <w:pStyle w:val="ListParagraph"/>
              <w:numPr>
                <w:ilvl w:val="0"/>
                <w:numId w:val="16"/>
              </w:numPr>
            </w:pPr>
            <w:r>
              <w:t>Consider to apply an operational restriction to switch off the ILS serving the opposite runway in use during GBAS operations (as typically done today for ILS)</w:t>
            </w:r>
          </w:p>
          <w:p w:rsidR="005644D6" w:rsidRDefault="005644D6" w:rsidP="005644D6"/>
          <w:p w:rsidR="005644D6" w:rsidRPr="009729F4" w:rsidRDefault="005644D6" w:rsidP="005644D6">
            <w:r>
              <w:t>GWG/SWG agreed in principle with the recommendations.  Joint work between GWG/SWG and RTCA</w:t>
            </w:r>
            <w:r w:rsidR="008265DC">
              <w:t xml:space="preserve"> SC</w:t>
            </w:r>
            <w:r w:rsidR="008265DC">
              <w:noBreakHyphen/>
              <w:t>159</w:t>
            </w:r>
            <w:r>
              <w:t xml:space="preserve"> WG4 will continue.  As a result of the discussion GWG/SWG agreed that multiple mitigation factors should be considered in addition to the operational restriction mentioned.   </w:t>
            </w:r>
          </w:p>
          <w:p w:rsidR="005644D6" w:rsidRDefault="005644D6" w:rsidP="005644D6">
            <w:pPr>
              <w:pStyle w:val="Heading2"/>
              <w:numPr>
                <w:ilvl w:val="1"/>
                <w:numId w:val="0"/>
              </w:numPr>
              <w:tabs>
                <w:tab w:val="num" w:pos="0"/>
              </w:tabs>
              <w:spacing w:before="240" w:after="60"/>
              <w:outlineLvl w:val="1"/>
            </w:pPr>
            <w:r>
              <w:t>WP 16 – GBAS VDB Desired-to-Undesired Signal Power Ratios at Frankfurt Airport</w:t>
            </w:r>
          </w:p>
          <w:p w:rsidR="005644D6" w:rsidRPr="003D7556" w:rsidRDefault="005644D6" w:rsidP="005644D6">
            <w:r w:rsidRPr="003D7556">
              <w:t xml:space="preserve">The goal of this paper is to contribute to answer the question what Desired-to-Undesired (D/U) </w:t>
            </w:r>
            <w:r>
              <w:t xml:space="preserve">signal power </w:t>
            </w:r>
            <w:r w:rsidRPr="003D7556">
              <w:t>criteria in adjacent channels are necessary to allow successful coordination of a GBAS VDB frequency a major airport with existing ILS Localizer</w:t>
            </w:r>
            <w:r>
              <w:t>s</w:t>
            </w:r>
            <w:r w:rsidRPr="003D7556">
              <w:t>. For this purpose, typical D/U values during approach, level overflights over the runway and departure for Frankfurt airport (Germany) are derived by evaluating flight inspection results.</w:t>
            </w:r>
          </w:p>
          <w:p w:rsidR="005644D6" w:rsidRPr="003D7556" w:rsidRDefault="005644D6" w:rsidP="005644D6"/>
          <w:p w:rsidR="005644D6" w:rsidRPr="003D7556" w:rsidRDefault="005644D6" w:rsidP="005644D6">
            <w:r w:rsidRPr="003D7556">
              <w:t xml:space="preserve">D/U values encountered </w:t>
            </w:r>
            <w:r>
              <w:t xml:space="preserve">at </w:t>
            </w:r>
            <w:r w:rsidRPr="003D7556">
              <w:t xml:space="preserve">Frankfurt airport did for some scenarios reach values, which are not protected by the current adjacent channel suppression requirements of the GBAS on-board receiver according to the current draft RTCA/DO-253D airborne MOPS. </w:t>
            </w:r>
            <w:r>
              <w:t xml:space="preserve"> </w:t>
            </w:r>
            <w:r w:rsidRPr="003D7556">
              <w:t xml:space="preserve">Problems may arise in particular for the following scenarios: </w:t>
            </w:r>
          </w:p>
          <w:p w:rsidR="005644D6" w:rsidRDefault="005644D6" w:rsidP="005644D6">
            <w:pPr>
              <w:pStyle w:val="2Para"/>
              <w:numPr>
                <w:ilvl w:val="0"/>
                <w:numId w:val="14"/>
              </w:numPr>
            </w:pPr>
            <w:r>
              <w:t>Scenario 1: During the roll-out phase on the runway close to the runway stop-end near an ILS Localizer antenna, when the Localizer antenna is close to the runway stop-end (Applicable to ‘GAST-C autoland’ and GAST-D).</w:t>
            </w:r>
          </w:p>
          <w:p w:rsidR="005644D6" w:rsidRDefault="005644D6" w:rsidP="005644D6">
            <w:pPr>
              <w:pStyle w:val="2Para"/>
              <w:numPr>
                <w:ilvl w:val="0"/>
                <w:numId w:val="14"/>
              </w:numPr>
            </w:pPr>
            <w:r>
              <w:t>Scenario 2: During overflight of a transmitting opposite ILS-Localizer. (Applicable tor GBAS CAT-I approaches to runway-ends where ILS Localizer is at a location before aircraft reaches CAT I decision point. Opposite ILS Localizer is switched-on during CAT-I and better weather conditions).</w:t>
            </w:r>
          </w:p>
          <w:p w:rsidR="005644D6" w:rsidRDefault="005644D6" w:rsidP="005644D6">
            <w:r>
              <w:t>Scenario 3: During overflight of an active ILS-Localizer at a guided take-off.</w:t>
            </w:r>
          </w:p>
          <w:p w:rsidR="005644D6" w:rsidRDefault="005644D6" w:rsidP="005644D6"/>
          <w:p w:rsidR="005644D6" w:rsidRDefault="005644D6" w:rsidP="005644D6">
            <w:r>
              <w:t>T</w:t>
            </w:r>
            <w:r w:rsidRPr="003D7556">
              <w:t xml:space="preserve">he NSP </w:t>
            </w:r>
            <w:r>
              <w:t>was</w:t>
            </w:r>
            <w:r w:rsidRPr="003D7556">
              <w:t xml:space="preserve"> invited</w:t>
            </w:r>
            <w:r>
              <w:t>:</w:t>
            </w:r>
          </w:p>
          <w:p w:rsidR="005644D6" w:rsidRDefault="005644D6" w:rsidP="005644D6">
            <w:pPr>
              <w:pStyle w:val="2Para"/>
              <w:numPr>
                <w:ilvl w:val="0"/>
                <w:numId w:val="15"/>
              </w:numPr>
              <w:tabs>
                <w:tab w:val="num" w:pos="709"/>
              </w:tabs>
            </w:pPr>
            <w:r w:rsidRPr="003D7556">
              <w:t>to</w:t>
            </w:r>
            <w:r>
              <w:t xml:space="preserve"> recommend to RTCA SC-159 WG4</w:t>
            </w:r>
            <w:r w:rsidRPr="003D7556">
              <w:t xml:space="preserve"> </w:t>
            </w:r>
            <w:r>
              <w:t xml:space="preserve">to </w:t>
            </w:r>
            <w:r w:rsidRPr="003D7556">
              <w:t xml:space="preserve">increase the stringency of “Adjacent channel rejection D/U requirements </w:t>
            </w:r>
            <w:r>
              <w:t xml:space="preserve">in the </w:t>
            </w:r>
            <w:r w:rsidRPr="003D7556">
              <w:t>RTCA/DO-253</w:t>
            </w:r>
            <w:r>
              <w:t>()</w:t>
            </w:r>
            <w:r w:rsidRPr="003D7556">
              <w:t xml:space="preserve"> airborne MOPS</w:t>
            </w:r>
            <w:r>
              <w:t xml:space="preserve"> to a degree that </w:t>
            </w:r>
            <w:r w:rsidRPr="003D7556">
              <w:t>allow</w:t>
            </w:r>
            <w:r>
              <w:t>s</w:t>
            </w:r>
            <w:r w:rsidRPr="003D7556">
              <w:t xml:space="preserve"> ICAO NSP to derive frequency coordination criteria for GBAS VDB that are</w:t>
            </w:r>
            <w:r w:rsidRPr="006C22D0">
              <w:rPr>
                <w:u w:val="single"/>
              </w:rPr>
              <w:t xml:space="preserve"> practicable </w:t>
            </w:r>
            <w:r w:rsidRPr="003D7556">
              <w:t>for deploying GBAS at airports with existing ILS Localizers</w:t>
            </w:r>
            <w:r>
              <w:t xml:space="preserve">. </w:t>
            </w:r>
          </w:p>
          <w:p w:rsidR="005644D6" w:rsidRPr="003D7556" w:rsidRDefault="005644D6" w:rsidP="005644D6">
            <w:pPr>
              <w:pStyle w:val="2Para"/>
              <w:numPr>
                <w:ilvl w:val="0"/>
                <w:numId w:val="15"/>
              </w:numPr>
              <w:tabs>
                <w:tab w:val="num" w:pos="709"/>
              </w:tabs>
            </w:pPr>
            <w:r>
              <w:t xml:space="preserve">to forward to RTCA SC-159 WG4 the necessary evidence to determine the right </w:t>
            </w:r>
            <w:r w:rsidRPr="003D7556">
              <w:t>“Adjacent channel rejection D/U requirements</w:t>
            </w:r>
            <w:r>
              <w:t xml:space="preserve"> like the GBAS VDB D/U values encountered at Frankfurt airport which are documented in this paper.</w:t>
            </w:r>
          </w:p>
          <w:p w:rsidR="005644D6" w:rsidRPr="009729F4" w:rsidRDefault="005644D6" w:rsidP="005644D6">
            <w:r>
              <w:t xml:space="preserve">GWG agreed in principle to the first recommendation.  See the section above on the joint meeting for the resolution of the second recommendation. </w:t>
            </w:r>
          </w:p>
          <w:p w:rsidR="005644D6" w:rsidRDefault="005644D6" w:rsidP="005644D6">
            <w:pPr>
              <w:pStyle w:val="Heading2"/>
              <w:numPr>
                <w:ilvl w:val="1"/>
                <w:numId w:val="0"/>
              </w:numPr>
              <w:tabs>
                <w:tab w:val="num" w:pos="0"/>
              </w:tabs>
              <w:spacing w:before="240" w:after="60"/>
              <w:outlineLvl w:val="1"/>
            </w:pPr>
            <w:r>
              <w:t>IP 21 – Status of the development of GBAS VDB coordination criteria (rev 1)</w:t>
            </w:r>
          </w:p>
          <w:p w:rsidR="005644D6" w:rsidRDefault="005644D6" w:rsidP="005644D6">
            <w:r>
              <w:t xml:space="preserve">This paper provides information on current status of the development frequency coordination criteria for GBAS VDB: </w:t>
            </w:r>
          </w:p>
          <w:p w:rsidR="005644D6" w:rsidRDefault="005644D6" w:rsidP="005644D6"/>
          <w:p w:rsidR="005644D6" w:rsidRDefault="005644D6" w:rsidP="005644D6">
            <w:r>
              <w:t>Today ICAO Annex 10, Vol. I, Attachment D contains frequency coordination criteria between GBAS and GBAS (section 7.1.4) as well as between GBAS and VOR (section 7.1.6). Furthermore, it contains preliminary guidance for the compatibility between GBAS and ILS (Attachment D section 7.2.3) as well as between GBAS and VHF communications (Attachment D section 7.2.4).</w:t>
            </w:r>
          </w:p>
          <w:p w:rsidR="005644D6" w:rsidRDefault="005644D6" w:rsidP="005644D6"/>
          <w:p w:rsidR="00042FE6" w:rsidRDefault="00042FE6" w:rsidP="005644D6"/>
          <w:p w:rsidR="005644D6" w:rsidRDefault="005644D6" w:rsidP="005644D6">
            <w:r>
              <w:t xml:space="preserve">Since 2011 a lot of efforts have been undertaken to derive the missing detailed frequency coordination requirements between GBAS VDB and ILS as well as between GBAS VDB and VOR. However, ensuring consistency between frequency coordination criteria for the GBAS VDB with the adjacent channel </w:t>
            </w:r>
            <w:r>
              <w:lastRenderedPageBreak/>
              <w:t>suppression requirements for GBAS on-board receivers of the RTCA/DO-253() airborne MOPS turned out to be challenging.</w:t>
            </w:r>
          </w:p>
          <w:p w:rsidR="005644D6" w:rsidRDefault="005644D6" w:rsidP="005644D6"/>
          <w:p w:rsidR="005644D6" w:rsidRDefault="005644D6" w:rsidP="005644D6">
            <w:r>
              <w:t xml:space="preserve">In the context of revising to ICAO Annex 10, Vol I., Attachment D, sections 7.2.3 and 7.2.4 in order to allow aircraft to get closer to the VDB transmit antenna (80 m vs. 200 m) also compatibility guidance for the compatibility of GBAS VDB with ILS contained in the same sections have been improved. This material has afterwards been adopted by ICAO NSP/2, December 2015. It is now part of the “Proposed amendments to Annex 10: Ground-Based Augmentation System (GBAS) provisions” (WP3 of ICAO NSP/3, Montreal, December 2016). It provides the best interim guidance available. Further work regarding frequency coordination criteria for GBAS VDB by the SWG is ongoing. </w:t>
            </w:r>
          </w:p>
          <w:p w:rsidR="005644D6" w:rsidRDefault="005644D6" w:rsidP="005644D6"/>
          <w:p w:rsidR="005644D6" w:rsidRDefault="005644D6" w:rsidP="005644D6"/>
          <w:p w:rsidR="005644D6" w:rsidRDefault="005644D6" w:rsidP="005644D6">
            <w:r>
              <w:t xml:space="preserve">After a lengthy discussion about the scope of the requirements, it was agreed that the goal for </w:t>
            </w:r>
          </w:p>
          <w:p w:rsidR="005644D6" w:rsidRDefault="005644D6" w:rsidP="005644D6">
            <w:r>
              <w:t xml:space="preserve">A final frequency coordination criteria proposal is SARPs amendment cycle resulting in applicability in 2020.  Therefore the criteria needs to be finalized and validated by NSP by fall of 2018.  </w:t>
            </w:r>
          </w:p>
          <w:p w:rsidR="005644D6" w:rsidRPr="009B1544" w:rsidRDefault="005644D6" w:rsidP="005644D6">
            <w:pPr>
              <w:pStyle w:val="Heading2"/>
              <w:numPr>
                <w:ilvl w:val="1"/>
                <w:numId w:val="0"/>
              </w:numPr>
              <w:tabs>
                <w:tab w:val="num" w:pos="0"/>
              </w:tabs>
              <w:spacing w:before="240" w:after="60"/>
              <w:outlineLvl w:val="1"/>
            </w:pPr>
            <w:r w:rsidRPr="009B1544">
              <w:t xml:space="preserve">IP 22 – GBAS </w:t>
            </w:r>
            <w:r>
              <w:t>I</w:t>
            </w:r>
            <w:r w:rsidRPr="009B1544">
              <w:t xml:space="preserve">mplementation with </w:t>
            </w:r>
            <w:r>
              <w:t>L</w:t>
            </w:r>
            <w:r w:rsidRPr="009B1544">
              <w:t xml:space="preserve">imited VDB – ILS Frequency </w:t>
            </w:r>
            <w:r>
              <w:t>O</w:t>
            </w:r>
            <w:r w:rsidRPr="009B1544">
              <w:t xml:space="preserve">ffset in ANAPA (VITYAZEVO) </w:t>
            </w:r>
            <w:r>
              <w:t>A</w:t>
            </w:r>
            <w:r w:rsidRPr="009B1544">
              <w:t>irport</w:t>
            </w:r>
          </w:p>
          <w:p w:rsidR="005644D6" w:rsidRDefault="005644D6" w:rsidP="005644D6">
            <w:r w:rsidRPr="009B1544">
              <w:t>This paper provides information regarding distribution of frequency channels assigned for GBAS VDB stations deployed in Russia and minimum channel spacing between VDB and ILS/VOR facilities located at the same airport found to be sufficient for operation without mutual interference.</w:t>
            </w:r>
          </w:p>
          <w:p w:rsidR="005644D6" w:rsidRDefault="005644D6" w:rsidP="005644D6"/>
          <w:p w:rsidR="005644D6" w:rsidRDefault="005644D6" w:rsidP="005644D6">
            <w:r>
              <w:t xml:space="preserve">This paper shows an example where a GBAS installation apparently works well in spite of the fact that a worst case analysis would predict that there would be interference. </w:t>
            </w:r>
          </w:p>
          <w:p w:rsidR="005644D6" w:rsidRDefault="005644D6" w:rsidP="005644D6"/>
          <w:p w:rsidR="005644D6" w:rsidRDefault="005644D6" w:rsidP="005644D6">
            <w:r w:rsidRPr="009A330E">
              <w:t xml:space="preserve">The total number of </w:t>
            </w:r>
            <w:r>
              <w:t>international and domestic airports in Russia equipped with GBAS</w:t>
            </w:r>
            <w:r w:rsidRPr="009A330E">
              <w:t xml:space="preserve"> </w:t>
            </w:r>
            <w:r>
              <w:t>stations</w:t>
            </w:r>
            <w:r w:rsidRPr="009A330E">
              <w:t xml:space="preserve"> as of November 1, 2016 is 93.</w:t>
            </w:r>
            <w:r>
              <w:t xml:space="preserve"> Among all these airports 25 have no other instrument approach aids, at 32 airports GBAS stations coexist with one ILS facility, 29 airports are equipped with two ILS facilities, and remaining 7 airports have three or more ILS facilities.  A significant number of VDB transmitters have frequency assignments below 112 MHz.  These assignments were mostly made for VDB stations deployed at airports where no ILS facilities are installed</w:t>
            </w:r>
            <w:r w:rsidRPr="00603427">
              <w:t xml:space="preserve"> but </w:t>
            </w:r>
            <w:r>
              <w:t>some of the assignments were made at ILS equipped airports. Such assignments in some of these airports result in rather small channel spacing between the VDB and ILS.  The paper gives technical details about a specific example, Anapa (</w:t>
            </w:r>
            <w:r w:rsidRPr="008E6944">
              <w:t>V</w:t>
            </w:r>
            <w:r>
              <w:t>ityazevo)</w:t>
            </w:r>
            <w:r w:rsidRPr="008E6944">
              <w:t xml:space="preserve"> airport</w:t>
            </w:r>
            <w:r>
              <w:t xml:space="preserve">, </w:t>
            </w:r>
            <w:r w:rsidRPr="008E6944">
              <w:t xml:space="preserve">where </w:t>
            </w:r>
            <w:r>
              <w:t>the</w:t>
            </w:r>
            <w:r w:rsidR="008265DC">
              <w:t xml:space="preserve"> </w:t>
            </w:r>
            <w:r w:rsidRPr="008E6944">
              <w:t>VDB station transmits signal</w:t>
            </w:r>
            <w:r>
              <w:t>s</w:t>
            </w:r>
            <w:r w:rsidRPr="008E6944">
              <w:t xml:space="preserve"> at 108.</w:t>
            </w:r>
            <w:r>
              <w:t>4</w:t>
            </w:r>
            <w:r w:rsidRPr="008E6944">
              <w:t>5 MHz and ILS facilit</w:t>
            </w:r>
            <w:r>
              <w:t>y</w:t>
            </w:r>
            <w:r w:rsidRPr="008E6944">
              <w:t xml:space="preserve"> (RWY 0</w:t>
            </w:r>
            <w:r>
              <w:t>4</w:t>
            </w:r>
            <w:r w:rsidRPr="008E6944">
              <w:t xml:space="preserve">) operates </w:t>
            </w:r>
            <w:r>
              <w:t xml:space="preserve">less than 1 MHz away </w:t>
            </w:r>
            <w:r w:rsidRPr="008E6944">
              <w:t>at 10</w:t>
            </w:r>
            <w:r>
              <w:t>9</w:t>
            </w:r>
            <w:r w:rsidRPr="008E6944">
              <w:t>.</w:t>
            </w:r>
            <w:r>
              <w:t>1</w:t>
            </w:r>
            <w:r w:rsidRPr="008E6944">
              <w:t xml:space="preserve"> MHz.</w:t>
            </w:r>
            <w:r>
              <w:t xml:space="preserve">  </w:t>
            </w:r>
          </w:p>
          <w:p w:rsidR="005644D6" w:rsidRDefault="005644D6" w:rsidP="005644D6"/>
          <w:p w:rsidR="005644D6" w:rsidRPr="005644D6" w:rsidRDefault="005644D6" w:rsidP="005644D6">
            <w:r w:rsidRPr="005644D6">
              <w:t xml:space="preserve">Flight inspections of the Anapa GBAS station were carried out.  ILS-like GLS approaches were performed up to the runway threshold. No harmful interference from ILS facilities to airborne VDB receiver was detected during these inspection flights. The GBAS station compliance with applicable requirements was confirmed, and it was put into continuous operation. Cat I ILS approaches routinely conducted at Anapa airport by Russian carriers did not reveal any harmful interference to on-board ILS receivers from the VDB transmitter.  </w:t>
            </w:r>
          </w:p>
          <w:p w:rsidR="005644D6" w:rsidRDefault="005644D6" w:rsidP="005644D6"/>
          <w:p w:rsidR="005644D6" w:rsidRDefault="005644D6" w:rsidP="005644D6">
            <w:r>
              <w:t xml:space="preserve">The NSP was invited </w:t>
            </w:r>
            <w:r w:rsidRPr="00FA6EFC">
              <w:t>to not</w:t>
            </w:r>
            <w:r>
              <w:t>e</w:t>
            </w:r>
            <w:r w:rsidRPr="00FA6EFC">
              <w:t xml:space="preserve"> the information regarding successful implementation of </w:t>
            </w:r>
            <w:r>
              <w:t xml:space="preserve">the </w:t>
            </w:r>
            <w:r w:rsidRPr="00FA6EFC">
              <w:t xml:space="preserve">GBAS station with VDB – ILS frequency </w:t>
            </w:r>
            <w:r>
              <w:t>spacing as small as 650 kHz</w:t>
            </w:r>
            <w:r w:rsidRPr="00FA6EFC">
              <w:t>.</w:t>
            </w:r>
          </w:p>
          <w:p w:rsidR="005644D6" w:rsidRDefault="005644D6" w:rsidP="005644D6"/>
          <w:p w:rsidR="00091FE2" w:rsidRDefault="00091FE2" w:rsidP="005644D6"/>
          <w:p w:rsidR="00091FE2" w:rsidRDefault="00091FE2" w:rsidP="005644D6"/>
          <w:p w:rsidR="00091FE2" w:rsidRDefault="00091FE2" w:rsidP="005644D6"/>
          <w:p w:rsidR="00091FE2" w:rsidRDefault="00091FE2" w:rsidP="005644D6"/>
          <w:p w:rsidR="00091FE2" w:rsidRDefault="00091FE2" w:rsidP="005644D6"/>
          <w:p w:rsidR="00042FE6" w:rsidRDefault="00042FE6" w:rsidP="005644D6"/>
          <w:p w:rsidR="00042FE6" w:rsidRDefault="00042FE6" w:rsidP="005644D6"/>
          <w:p w:rsidR="005644D6" w:rsidRDefault="005644D6" w:rsidP="005644D6">
            <w:pPr>
              <w:pStyle w:val="Heading2"/>
              <w:numPr>
                <w:ilvl w:val="1"/>
                <w:numId w:val="0"/>
              </w:numPr>
              <w:tabs>
                <w:tab w:val="num" w:pos="0"/>
              </w:tabs>
              <w:spacing w:before="240" w:after="60"/>
              <w:outlineLvl w:val="1"/>
            </w:pPr>
            <w:r>
              <w:t xml:space="preserve">IP 25 – </w:t>
            </w:r>
            <w:r w:rsidRPr="00A70E4F">
              <w:t>Status of Simulations for VHF Compatibility Assessment</w:t>
            </w:r>
          </w:p>
          <w:p w:rsidR="005644D6" w:rsidRPr="00331912" w:rsidRDefault="005644D6" w:rsidP="005644D6">
            <w:r w:rsidRPr="00331912">
              <w:t>The motivation for the work described in this paper is to support the development of VDB frequency coordination criteria and potentially updated VDB receiver requirements. This work is ongoing and is being reviewed by the ICAO NSP Spectrum Working Group and RTCA SC-159 Working Group 4 VDB ad-hoc team.</w:t>
            </w:r>
          </w:p>
          <w:p w:rsidR="005644D6" w:rsidRPr="00331912" w:rsidRDefault="005644D6" w:rsidP="005644D6"/>
          <w:p w:rsidR="005644D6" w:rsidRPr="00331912" w:rsidRDefault="005644D6" w:rsidP="005644D6">
            <w:r w:rsidRPr="00331912">
              <w:lastRenderedPageBreak/>
              <w:t xml:space="preserve">Frequency compatibility analyses presented in NSP/2-WP17 indicated a need for more stringent adjacent channel rejection requirements for VDB receiver equipment. That analysis also showed a significant dependence on assumptions about aircraft antenna gain variation and transmission loss variation, as well as the relative locations of desired and undesired transmitters relative to the user.  </w:t>
            </w:r>
          </w:p>
          <w:p w:rsidR="005644D6" w:rsidRPr="00331912" w:rsidRDefault="005644D6" w:rsidP="005644D6"/>
          <w:p w:rsidR="005644D6" w:rsidRPr="00331912" w:rsidRDefault="005644D6" w:rsidP="005644D6">
            <w:r w:rsidRPr="00331912">
              <w:t xml:space="preserve">This paper describes the method and status for analysis of frequency compatibility scenarios for VHF navigation aids during the final phases of an approach, taking into account some actual installed aircraft nose and tail VHF antenna patterns, for aircraft on final approach paths, and for a range of desired and undesired transmitter locations.  The purpose for this analysis method was to help identify realistic assumptions for antenna gain variation and desired-to-undesired power levels for frequency compatibility analysis. </w:t>
            </w:r>
          </w:p>
          <w:p w:rsidR="005644D6" w:rsidRPr="00331912" w:rsidRDefault="005644D6" w:rsidP="005644D6"/>
          <w:p w:rsidR="005644D6" w:rsidRDefault="005644D6" w:rsidP="005644D6">
            <w:r w:rsidRPr="00331912">
              <w:t>Initial results from this work indicate that for some scenarios the worst antenna gain variation may not need to be considered</w:t>
            </w:r>
            <w:r>
              <w:t>.</w:t>
            </w:r>
            <w:r w:rsidRPr="00331912">
              <w:t xml:space="preserve"> </w:t>
            </w:r>
            <w:r>
              <w:t>E</w:t>
            </w:r>
            <w:r w:rsidRPr="00331912">
              <w:t>ven so, results indicate that new VDB receiver requirements may still be needed for undesired signals beyond 3</w:t>
            </w:r>
            <w:r w:rsidRPr="00331912">
              <w:rPr>
                <w:vertAlign w:val="superscript"/>
              </w:rPr>
              <w:t>rd</w:t>
            </w:r>
            <w:r w:rsidRPr="00331912">
              <w:t xml:space="preserve"> adjacent channel with </w:t>
            </w:r>
            <w:r>
              <w:t>more stringent</w:t>
            </w:r>
            <w:r w:rsidRPr="00331912">
              <w:t xml:space="preserve"> desired-to-undesired </w:t>
            </w:r>
            <w:r w:rsidRPr="00383F09">
              <w:t>adjacent channel rejection requirements</w:t>
            </w:r>
            <w:r w:rsidRPr="00331912">
              <w:t xml:space="preserve"> than the current </w:t>
            </w:r>
            <w:r w:rsidRPr="00331912">
              <w:noBreakHyphen/>
              <w:t>46dB.  Additionally, or alternatively, VDB field strength requirements may be needed that provide for levels higher than the minimum for GBAS operations very near the desired VDB and near undesired VOR, ILS, and VDB sources for cases where the required rejection may not be achievable.</w:t>
            </w:r>
          </w:p>
          <w:p w:rsidR="005644D6" w:rsidRDefault="005644D6" w:rsidP="005644D6"/>
          <w:p w:rsidR="005644D6" w:rsidRPr="00696166" w:rsidRDefault="005644D6" w:rsidP="005644D6">
            <w:pPr>
              <w:pStyle w:val="Heading2"/>
              <w:numPr>
                <w:ilvl w:val="1"/>
                <w:numId w:val="0"/>
              </w:numPr>
              <w:tabs>
                <w:tab w:val="num" w:pos="0"/>
              </w:tabs>
              <w:spacing w:before="240" w:after="60"/>
              <w:outlineLvl w:val="1"/>
              <w:rPr>
                <w:szCs w:val="22"/>
              </w:rPr>
            </w:pPr>
            <w:r w:rsidRPr="00696166">
              <w:rPr>
                <w:szCs w:val="22"/>
              </w:rPr>
              <w:t xml:space="preserve">Flimsy 9 - </w:t>
            </w:r>
            <w:r>
              <w:rPr>
                <w:szCs w:val="22"/>
              </w:rPr>
              <w:t xml:space="preserve">ICAO NSP recommendations </w:t>
            </w:r>
            <w:r w:rsidRPr="00696166">
              <w:rPr>
                <w:szCs w:val="22"/>
              </w:rPr>
              <w:t>on necessary interference suppression improvement of the GBAS VDB receiver</w:t>
            </w:r>
          </w:p>
          <w:p w:rsidR="005644D6" w:rsidRDefault="005644D6" w:rsidP="005644D6">
            <w:r>
              <w:t>Several papers were presented to ICAO NSP/2 and NSP/3 which demonstrated that ILS and VOR Undesired signal sources exceed the adjacent channel suppression performance (D/U) and maximum received signal power specified by the GBAS MOPS, RTCA DO-253(). Test-results of GBAS VDB receivers presented to ICAO NSP indicate that today’s receivers are exceeding what is specified in the MOPS.  Therefor a more stringent specification of the on-board GBAS VDB interference suppression performance should be possible. That would lead to more practicable frequency coordination criteria. The goal of this document is to provide RTCA basic recommendations on how to revise the GBAS VDB interference suppression specifications.</w:t>
            </w:r>
          </w:p>
          <w:p w:rsidR="005644D6" w:rsidRDefault="005644D6" w:rsidP="005644D6"/>
          <w:p w:rsidR="005644D6" w:rsidRDefault="005644D6" w:rsidP="005644D6">
            <w:r>
              <w:t>This flimsy was drafted by the Spectrum Working Group (SWG) and reviewed in a joint GWG/SWG session.</w:t>
            </w:r>
          </w:p>
          <w:p w:rsidR="005644D6" w:rsidRDefault="005644D6" w:rsidP="005644D6"/>
          <w:p w:rsidR="005644D6" w:rsidRPr="005644D6" w:rsidRDefault="005644D6" w:rsidP="00091FE2">
            <w:pPr>
              <w:pStyle w:val="Header"/>
              <w:tabs>
                <w:tab w:val="clear" w:pos="4536"/>
                <w:tab w:val="clear" w:pos="9072"/>
              </w:tabs>
              <w:ind w:left="708" w:hanging="681"/>
              <w:rPr>
                <w:b/>
                <w:i/>
                <w:sz w:val="22"/>
              </w:rPr>
            </w:pPr>
            <w:r w:rsidRPr="005644D6">
              <w:rPr>
                <w:b/>
                <w:i/>
                <w:sz w:val="22"/>
              </w:rPr>
              <w:t>&lt;End of excerpt from the GWG report on the joint meeting of GWG and SWG &gt;</w:t>
            </w:r>
          </w:p>
          <w:p w:rsidR="005644D6" w:rsidRDefault="005644D6" w:rsidP="00BB1225">
            <w:pPr>
              <w:pStyle w:val="Header"/>
              <w:tabs>
                <w:tab w:val="clear" w:pos="4536"/>
                <w:tab w:val="clear" w:pos="9072"/>
              </w:tabs>
            </w:pPr>
          </w:p>
        </w:tc>
      </w:tr>
    </w:tbl>
    <w:p w:rsidR="005644D6" w:rsidRDefault="005644D6" w:rsidP="00BB1225">
      <w:pPr>
        <w:pStyle w:val="Header"/>
        <w:tabs>
          <w:tab w:val="clear" w:pos="4536"/>
          <w:tab w:val="clear" w:pos="9072"/>
        </w:tabs>
      </w:pPr>
    </w:p>
    <w:p w:rsidR="00EC5CAF" w:rsidRDefault="00EC5CAF" w:rsidP="0042069D">
      <w:pPr>
        <w:rPr>
          <w:b/>
          <w:highlight w:val="cyan"/>
        </w:rPr>
      </w:pPr>
    </w:p>
    <w:p w:rsidR="00AA628F" w:rsidRPr="0042069D" w:rsidRDefault="00AC7770" w:rsidP="0042069D">
      <w:pPr>
        <w:rPr>
          <w:b/>
          <w:highlight w:val="cyan"/>
        </w:rPr>
      </w:pPr>
      <w:r w:rsidRPr="00D674BE">
        <w:rPr>
          <w:b/>
          <w:highlight w:val="cyan"/>
        </w:rPr>
        <w:t xml:space="preserve">Flimsy </w:t>
      </w:r>
      <w:r w:rsidR="00B8329E" w:rsidRPr="00D674BE">
        <w:rPr>
          <w:b/>
          <w:highlight w:val="cyan"/>
        </w:rPr>
        <w:t>09</w:t>
      </w:r>
      <w:r w:rsidR="00064E3A" w:rsidRPr="00D674BE">
        <w:rPr>
          <w:b/>
          <w:highlight w:val="cyan"/>
        </w:rPr>
        <w:t>, rev.1</w:t>
      </w:r>
      <w:r w:rsidRPr="00D674BE">
        <w:rPr>
          <w:b/>
          <w:highlight w:val="cyan"/>
        </w:rPr>
        <w:t>:</w:t>
      </w:r>
      <w:r w:rsidR="00AA628F" w:rsidRPr="00D674BE">
        <w:rPr>
          <w:b/>
          <w:highlight w:val="cyan"/>
        </w:rPr>
        <w:t xml:space="preserve"> </w:t>
      </w:r>
      <w:r w:rsidR="00AA628F" w:rsidRPr="0042069D">
        <w:rPr>
          <w:b/>
          <w:highlight w:val="cyan"/>
        </w:rPr>
        <w:t>ICAO NSP recommendations on necessary interference suppression improvement of the GBAS VDB receiver</w:t>
      </w:r>
    </w:p>
    <w:p w:rsidR="001D1240" w:rsidRDefault="00D674BE" w:rsidP="00D674BE">
      <w:pPr>
        <w:ind w:left="426" w:hanging="426"/>
      </w:pPr>
      <w:r>
        <w:t xml:space="preserve">6a2) </w:t>
      </w:r>
      <w:r w:rsidR="00AA628F" w:rsidRPr="00D674BE">
        <w:t xml:space="preserve">This flimsy was </w:t>
      </w:r>
      <w:r w:rsidR="002703C4" w:rsidRPr="00D674BE">
        <w:t xml:space="preserve">drafted </w:t>
      </w:r>
      <w:r w:rsidR="00AA628F" w:rsidRPr="00D674BE">
        <w:t xml:space="preserve">by SWG on request by the </w:t>
      </w:r>
      <w:r w:rsidR="00AC7770" w:rsidRPr="00D674BE">
        <w:t xml:space="preserve">joint meeting of GWG and SWG </w:t>
      </w:r>
      <w:r w:rsidR="00AA628F" w:rsidRPr="00D674BE">
        <w:t xml:space="preserve">in the context of </w:t>
      </w:r>
      <w:r w:rsidR="00AC7770" w:rsidRPr="00D674BE">
        <w:t>discussing GBAS VDB-related papers</w:t>
      </w:r>
      <w:r w:rsidR="00AA628F" w:rsidRPr="00D674BE">
        <w:t>. The purpose of this paper is to give RTCA SC</w:t>
      </w:r>
      <w:r w:rsidR="00D113A7">
        <w:noBreakHyphen/>
      </w:r>
      <w:r w:rsidR="00AA628F" w:rsidRPr="00D674BE">
        <w:t>159 WG4 guidance on the</w:t>
      </w:r>
      <w:r w:rsidR="00BB4BD2" w:rsidRPr="00D674BE">
        <w:t xml:space="preserve"> ICAO NSP perspective for the further evolvement </w:t>
      </w:r>
      <w:r w:rsidR="00064E3A" w:rsidRPr="00D674BE">
        <w:t xml:space="preserve">of </w:t>
      </w:r>
      <w:r w:rsidR="001D1240" w:rsidRPr="00D674BE">
        <w:t>GBAS VDB interference robustness specifications.</w:t>
      </w:r>
      <w:r w:rsidR="00870268">
        <w:t xml:space="preserve"> </w:t>
      </w:r>
      <w:r w:rsidR="002703C4" w:rsidRPr="00D674BE">
        <w:t xml:space="preserve">The document was further </w:t>
      </w:r>
      <w:r w:rsidR="00F65E26">
        <w:t xml:space="preserve">revised </w:t>
      </w:r>
      <w:r w:rsidR="002703C4" w:rsidRPr="00D674BE">
        <w:t xml:space="preserve">by </w:t>
      </w:r>
      <w:r w:rsidR="00F65E26">
        <w:t xml:space="preserve">the </w:t>
      </w:r>
      <w:r w:rsidR="002703C4" w:rsidRPr="00D674BE">
        <w:t>joint meeting of GWG and SWG. Revision 1 o</w:t>
      </w:r>
      <w:r w:rsidR="00064E3A" w:rsidRPr="00D674BE">
        <w:t>f</w:t>
      </w:r>
      <w:r w:rsidR="002703C4" w:rsidRPr="00D674BE">
        <w:t xml:space="preserve"> flimsy 09 contains the final version taking into account the change requests by the joint meeting. The co-chair of RTCA SC-159 WG4, who was attending the ICAO NSP/3 meeting will present it to the next meeting of WG4 at the 12th </w:t>
      </w:r>
      <w:r w:rsidR="002703C4" w:rsidRPr="00064E3A">
        <w:t>of December 2016.</w:t>
      </w:r>
    </w:p>
    <w:p w:rsidR="00753622" w:rsidRDefault="00753622" w:rsidP="00D674BE">
      <w:pPr>
        <w:ind w:left="426" w:hanging="426"/>
        <w:rPr>
          <w:i/>
        </w:rPr>
      </w:pPr>
    </w:p>
    <w:p w:rsidR="00753622" w:rsidRPr="00753622" w:rsidRDefault="00753622" w:rsidP="00D674BE">
      <w:pPr>
        <w:ind w:left="426" w:hanging="426"/>
        <w:rPr>
          <w:i/>
        </w:rPr>
      </w:pPr>
      <w:r w:rsidRPr="00753622">
        <w:rPr>
          <w:i/>
        </w:rPr>
        <w:t>Note: Flimsy 09, rev.1 is contained in Attachment C of this</w:t>
      </w:r>
      <w:r w:rsidR="008265DC">
        <w:rPr>
          <w:i/>
        </w:rPr>
        <w:t xml:space="preserve"> IP</w:t>
      </w:r>
      <w:r w:rsidRPr="00753622">
        <w:rPr>
          <w:i/>
        </w:rPr>
        <w:t>.</w:t>
      </w:r>
    </w:p>
    <w:p w:rsidR="00EC5CAF" w:rsidRPr="00EC5CAF" w:rsidRDefault="00064E3A" w:rsidP="00EC5CAF">
      <w:pPr>
        <w:rPr>
          <w:b/>
          <w:highlight w:val="cyan"/>
        </w:rPr>
      </w:pPr>
      <w:r w:rsidRPr="00D674BE">
        <w:rPr>
          <w:b/>
          <w:highlight w:val="cyan"/>
        </w:rPr>
        <w:t>WP24</w:t>
      </w:r>
      <w:r w:rsidR="00EC5CAF" w:rsidRPr="00D674BE">
        <w:rPr>
          <w:b/>
          <w:highlight w:val="cyan"/>
        </w:rPr>
        <w:t>,</w:t>
      </w:r>
      <w:r w:rsidR="00EC5CAF" w:rsidRPr="00EC5CAF">
        <w:rPr>
          <w:b/>
          <w:highlight w:val="cyan"/>
        </w:rPr>
        <w:tab/>
        <w:t>GBAS VDB SARPs guidance on FM immunity</w:t>
      </w:r>
    </w:p>
    <w:p w:rsidR="00484908" w:rsidRPr="00125FC1" w:rsidRDefault="00D674BE" w:rsidP="00D674BE">
      <w:pPr>
        <w:ind w:left="426" w:hanging="426"/>
      </w:pPr>
      <w:r>
        <w:t xml:space="preserve">6a3) </w:t>
      </w:r>
      <w:r w:rsidR="00484908" w:rsidRPr="00125FC1">
        <w:t>This paper proposes changes to the guidance on FM immunity of GBAS VDB in ICAO Annex</w:t>
      </w:r>
      <w:r w:rsidR="00E86F07">
        <w:t> </w:t>
      </w:r>
      <w:r w:rsidR="00484908" w:rsidRPr="00125FC1">
        <w:t>10, Vol. I, Section D.7.2.1.2 to mitigate the observed issues with the FM desensitisation.</w:t>
      </w:r>
      <w:r w:rsidR="000B4AEB">
        <w:t xml:space="preserve"> </w:t>
      </w:r>
    </w:p>
    <w:p w:rsidR="00CE14D1" w:rsidRDefault="00CE14D1" w:rsidP="00D674BE">
      <w:pPr>
        <w:ind w:left="426" w:hanging="426"/>
      </w:pPr>
    </w:p>
    <w:p w:rsidR="000B4AEB" w:rsidRDefault="000B4AEB" w:rsidP="00695919">
      <w:pPr>
        <w:ind w:left="426" w:hanging="426"/>
      </w:pPr>
      <w:r>
        <w:t xml:space="preserve">6a3) Although at the meeting the SWG had temporarily agreed on the proposed change, during a later review of the draft SWG report </w:t>
      </w:r>
      <w:r w:rsidR="0087705A">
        <w:t xml:space="preserve">via correspondence </w:t>
      </w:r>
      <w:r>
        <w:t>issues with this change were raised. Therefore, it was decided to discard this change allowing a more thorough discussion at a future SWG meeting.</w:t>
      </w:r>
    </w:p>
    <w:p w:rsidR="00895097" w:rsidRPr="00895097" w:rsidRDefault="00895097" w:rsidP="00895097">
      <w:pPr>
        <w:rPr>
          <w:lang w:val="en-US" w:eastAsia="zh-CN"/>
        </w:rPr>
      </w:pPr>
      <w:r w:rsidRPr="00895097">
        <w:rPr>
          <w:lang w:val="en-US" w:eastAsia="zh-CN"/>
        </w:rPr>
        <w:lastRenderedPageBreak/>
        <w:tab/>
      </w:r>
    </w:p>
    <w:p w:rsidR="00895097" w:rsidRPr="00895097" w:rsidRDefault="00895097" w:rsidP="00895097">
      <w:pPr>
        <w:rPr>
          <w:b/>
          <w:highlight w:val="cyan"/>
        </w:rPr>
      </w:pPr>
      <w:r w:rsidRPr="00895097">
        <w:rPr>
          <w:b/>
          <w:highlight w:val="cyan"/>
        </w:rPr>
        <w:t>IP29,</w:t>
      </w:r>
      <w:r w:rsidR="00870268">
        <w:rPr>
          <w:b/>
          <w:highlight w:val="cyan"/>
        </w:rPr>
        <w:t xml:space="preserve"> </w:t>
      </w:r>
      <w:r w:rsidR="00F76390">
        <w:rPr>
          <w:b/>
          <w:highlight w:val="cyan"/>
        </w:rPr>
        <w:t>‘</w:t>
      </w:r>
      <w:r w:rsidRPr="00895097">
        <w:rPr>
          <w:b/>
          <w:highlight w:val="cyan"/>
        </w:rPr>
        <w:t>FMG 22, WP6, Revision of Planning Rules for ILS-VOR</w:t>
      </w:r>
      <w:r w:rsidR="00F76390">
        <w:rPr>
          <w:b/>
          <w:highlight w:val="cyan"/>
        </w:rPr>
        <w:t>’</w:t>
      </w:r>
    </w:p>
    <w:p w:rsidR="00FA0248" w:rsidRPr="00FA0248" w:rsidRDefault="000A6192" w:rsidP="003C6F59">
      <w:pPr>
        <w:ind w:left="426" w:hanging="426"/>
        <w:rPr>
          <w:szCs w:val="22"/>
        </w:rPr>
      </w:pPr>
      <w:r>
        <w:t>6</w:t>
      </w:r>
      <w:r w:rsidR="00D674BE">
        <w:t>a</w:t>
      </w:r>
      <w:r w:rsidR="000B4AEB">
        <w:t>4</w:t>
      </w:r>
      <w:r>
        <w:t xml:space="preserve">) </w:t>
      </w:r>
      <w:r w:rsidR="00FE5758" w:rsidRPr="00FA0248">
        <w:t xml:space="preserve">This paper reviews the existing material regarding planning rules for </w:t>
      </w:r>
      <w:r w:rsidR="00FA0248" w:rsidRPr="00FA0248">
        <w:t>ILS/VOR and</w:t>
      </w:r>
      <w:r w:rsidR="00FE5758" w:rsidRPr="00FA0248">
        <w:t xml:space="preserve"> identifies the cases where there is insufficient information provided </w:t>
      </w:r>
      <w:r w:rsidR="00FA0248" w:rsidRPr="00FA0248">
        <w:t>in Annex 10, Volume</w:t>
      </w:r>
      <w:r w:rsidR="003C6F59">
        <w:t xml:space="preserve"> I. </w:t>
      </w:r>
      <w:r w:rsidR="00FA0248" w:rsidRPr="00FA0248">
        <w:rPr>
          <w:szCs w:val="22"/>
        </w:rPr>
        <w:t xml:space="preserve">Annex 10, Vol 1, </w:t>
      </w:r>
      <w:r w:rsidR="003C6F59" w:rsidRPr="000A6192">
        <w:t>Attachment</w:t>
      </w:r>
      <w:r w:rsidR="003C6F59" w:rsidRPr="00FA0248">
        <w:rPr>
          <w:szCs w:val="22"/>
        </w:rPr>
        <w:t xml:space="preserve"> </w:t>
      </w:r>
      <w:r w:rsidR="00FA0248" w:rsidRPr="00FA0248">
        <w:rPr>
          <w:szCs w:val="22"/>
        </w:rPr>
        <w:t xml:space="preserve">C, </w:t>
      </w:r>
      <w:r w:rsidR="00B8552D">
        <w:rPr>
          <w:szCs w:val="22"/>
        </w:rPr>
        <w:t>section</w:t>
      </w:r>
      <w:r w:rsidR="00FA0248" w:rsidRPr="00FA0248">
        <w:rPr>
          <w:szCs w:val="22"/>
        </w:rPr>
        <w:t xml:space="preserve">3.5.3.1 provides some guidance for the cases where an international VOR is planned, on a temporary basis, on the same frequency as a national ILS: </w:t>
      </w:r>
    </w:p>
    <w:p w:rsidR="00FA0248" w:rsidRPr="00FA0248" w:rsidRDefault="00FA0248" w:rsidP="008F230F">
      <w:pPr>
        <w:pStyle w:val="ListParagraph"/>
        <w:numPr>
          <w:ilvl w:val="0"/>
          <w:numId w:val="7"/>
        </w:numPr>
        <w:ind w:left="426" w:firstLine="0"/>
        <w:rPr>
          <w:i/>
          <w:iCs/>
          <w:szCs w:val="22"/>
        </w:rPr>
      </w:pPr>
      <w:r w:rsidRPr="00FA0248">
        <w:rPr>
          <w:i/>
          <w:iCs/>
          <w:szCs w:val="22"/>
        </w:rPr>
        <w:t>Protection of the ILS system requires that a VOR having an ERP of 17 dBW (50 W) be at least 148 km (80 NM) from the ILS protection point.</w:t>
      </w:r>
    </w:p>
    <w:p w:rsidR="00F76390" w:rsidRDefault="00F76390" w:rsidP="000A6192">
      <w:pPr>
        <w:pStyle w:val="Default"/>
        <w:ind w:left="426"/>
        <w:rPr>
          <w:sz w:val="22"/>
          <w:szCs w:val="22"/>
          <w:lang w:val="en-GB"/>
        </w:rPr>
      </w:pPr>
    </w:p>
    <w:p w:rsidR="00FA0248" w:rsidRPr="000A6192" w:rsidRDefault="000A6192" w:rsidP="000A6192">
      <w:pPr>
        <w:ind w:left="426" w:hanging="426"/>
      </w:pPr>
      <w:r w:rsidRPr="000A6192">
        <w:t>6</w:t>
      </w:r>
      <w:r w:rsidR="00D674BE">
        <w:t>a</w:t>
      </w:r>
      <w:r w:rsidR="000B4AEB">
        <w:t>5</w:t>
      </w:r>
      <w:r w:rsidRPr="000A6192">
        <w:t xml:space="preserve">) </w:t>
      </w:r>
      <w:r w:rsidR="00FA0248" w:rsidRPr="000A6192">
        <w:t>For the adjacent channel case in areas where assignments are spaced at 50 kHz, Annex 10, Volume I</w:t>
      </w:r>
      <w:r w:rsidR="003C6F59">
        <w:t>,</w:t>
      </w:r>
      <w:r w:rsidR="00FA0248" w:rsidRPr="000A6192">
        <w:t xml:space="preserve"> Attachment C, para 3.5.3.2, states: </w:t>
      </w:r>
    </w:p>
    <w:p w:rsidR="00FA0248" w:rsidRPr="00FA0248" w:rsidRDefault="00FA0248" w:rsidP="000A6192">
      <w:pPr>
        <w:pStyle w:val="Default"/>
        <w:ind w:left="426"/>
        <w:rPr>
          <w:sz w:val="22"/>
          <w:szCs w:val="22"/>
          <w:lang w:val="en-GB"/>
        </w:rPr>
      </w:pPr>
      <w:r w:rsidRPr="00FA0248">
        <w:rPr>
          <w:i/>
          <w:iCs/>
          <w:sz w:val="22"/>
          <w:szCs w:val="22"/>
          <w:lang w:val="en-GB"/>
        </w:rPr>
        <w:t xml:space="preserve">Protection of the VOR system is effectively obtained without geographical separation of the facilities. However, in the case of: </w:t>
      </w:r>
    </w:p>
    <w:p w:rsidR="00FA0248" w:rsidRPr="00FA0248" w:rsidRDefault="00FA0248" w:rsidP="008F230F">
      <w:pPr>
        <w:pStyle w:val="ListParagraph"/>
        <w:numPr>
          <w:ilvl w:val="0"/>
          <w:numId w:val="8"/>
        </w:numPr>
        <w:ind w:left="426" w:firstLine="0"/>
        <w:rPr>
          <w:lang w:eastAsia="zh-CN"/>
        </w:rPr>
      </w:pPr>
      <w:r w:rsidRPr="00FA0248">
        <w:rPr>
          <w:i/>
          <w:iCs/>
          <w:szCs w:val="22"/>
        </w:rPr>
        <w:t>b) a localizer receiver designed for 100 kHz channel spacing and used in an area where assignments are spaced at 50 kHz, the protection of the ILS system requires that a VOR having an ERP of 17 dBW (50 W) be at least 79.6 km</w:t>
      </w:r>
      <w:r w:rsidR="00BF24AA">
        <w:rPr>
          <w:i/>
          <w:iCs/>
          <w:szCs w:val="22"/>
        </w:rPr>
        <w:t xml:space="preserve"> </w:t>
      </w:r>
      <w:r w:rsidRPr="00FA0248">
        <w:rPr>
          <w:i/>
          <w:iCs/>
          <w:szCs w:val="22"/>
        </w:rPr>
        <w:t>(43 NM) from the ILS protection point.</w:t>
      </w:r>
    </w:p>
    <w:p w:rsidR="00FE5758" w:rsidRDefault="00FE5758" w:rsidP="00895097">
      <w:pPr>
        <w:rPr>
          <w:lang w:eastAsia="zh-CN"/>
        </w:rPr>
      </w:pPr>
    </w:p>
    <w:p w:rsidR="00F76390" w:rsidRDefault="000B4AEB" w:rsidP="000A6192">
      <w:pPr>
        <w:ind w:left="426" w:hanging="426"/>
      </w:pPr>
      <w:r>
        <w:t>6a6</w:t>
      </w:r>
      <w:r w:rsidR="000A6192">
        <w:t xml:space="preserve">) </w:t>
      </w:r>
      <w:r w:rsidR="00BF24AA">
        <w:t>The SWG agreed that s</w:t>
      </w:r>
      <w:r w:rsidR="00B32AD6">
        <w:t xml:space="preserve">ince </w:t>
      </w:r>
      <w:r w:rsidR="00B32AD6" w:rsidRPr="00B32AD6">
        <w:t>localizer receiver designed for 100 kHz channel spacing</w:t>
      </w:r>
      <w:r w:rsidR="00B32AD6">
        <w:t xml:space="preserve"> would exhibit regarding an undesired VOR signal on an adjacent channel the same suppression like to a VOR signal on the same channel</w:t>
      </w:r>
      <w:r w:rsidR="000A6192">
        <w:t xml:space="preserve"> </w:t>
      </w:r>
      <w:r w:rsidR="00B32AD6">
        <w:t>having two different separation rules (43 NM versus 80 NM) is a contradiction</w:t>
      </w:r>
      <w:r w:rsidR="00F76390">
        <w:t>.</w:t>
      </w:r>
    </w:p>
    <w:p w:rsidR="00F76390" w:rsidRPr="00BF24AA" w:rsidRDefault="00BF24AA" w:rsidP="00895097">
      <w:pPr>
        <w:rPr>
          <w:i/>
          <w:lang w:eastAsia="zh-CN"/>
        </w:rPr>
      </w:pPr>
      <w:r w:rsidRPr="00BF24AA">
        <w:rPr>
          <w:i/>
          <w:lang w:eastAsia="zh-CN"/>
        </w:rPr>
        <w:t>Note</w:t>
      </w:r>
      <w:r>
        <w:rPr>
          <w:i/>
          <w:lang w:eastAsia="zh-CN"/>
        </w:rPr>
        <w:t>: T</w:t>
      </w:r>
      <w:r w:rsidRPr="00BF24AA">
        <w:rPr>
          <w:i/>
          <w:lang w:eastAsia="zh-CN"/>
        </w:rPr>
        <w:t xml:space="preserve">his topic </w:t>
      </w:r>
      <w:r>
        <w:rPr>
          <w:i/>
          <w:lang w:eastAsia="zh-CN"/>
        </w:rPr>
        <w:t xml:space="preserve">was further discussed </w:t>
      </w:r>
      <w:r w:rsidRPr="00BF24AA">
        <w:rPr>
          <w:i/>
          <w:lang w:eastAsia="zh-CN"/>
        </w:rPr>
        <w:t xml:space="preserve">in conjunction with the </w:t>
      </w:r>
      <w:r>
        <w:rPr>
          <w:i/>
          <w:lang w:eastAsia="zh-CN"/>
        </w:rPr>
        <w:t>presentation</w:t>
      </w:r>
      <w:r w:rsidRPr="00BF24AA">
        <w:rPr>
          <w:i/>
          <w:lang w:eastAsia="zh-CN"/>
        </w:rPr>
        <w:t xml:space="preserve"> of IP28.</w:t>
      </w:r>
    </w:p>
    <w:p w:rsidR="00F76390" w:rsidRDefault="00F76390" w:rsidP="00895097">
      <w:pPr>
        <w:rPr>
          <w:lang w:eastAsia="zh-CN"/>
        </w:rPr>
      </w:pPr>
    </w:p>
    <w:p w:rsidR="00D113A7" w:rsidRDefault="00D113A7" w:rsidP="00895097">
      <w:pPr>
        <w:rPr>
          <w:lang w:eastAsia="zh-CN"/>
        </w:rPr>
      </w:pPr>
    </w:p>
    <w:p w:rsidR="00F76390" w:rsidRPr="00895097" w:rsidRDefault="00F76390" w:rsidP="00F76390">
      <w:pPr>
        <w:rPr>
          <w:b/>
          <w:highlight w:val="cyan"/>
        </w:rPr>
      </w:pPr>
      <w:r w:rsidRPr="00895097">
        <w:rPr>
          <w:b/>
          <w:highlight w:val="cyan"/>
        </w:rPr>
        <w:t>IP28,</w:t>
      </w:r>
      <w:r w:rsidRPr="00895097">
        <w:rPr>
          <w:b/>
          <w:highlight w:val="cyan"/>
        </w:rPr>
        <w:tab/>
      </w:r>
      <w:r>
        <w:rPr>
          <w:b/>
          <w:highlight w:val="cyan"/>
        </w:rPr>
        <w:t xml:space="preserve">ICAO FMG report to </w:t>
      </w:r>
      <w:r w:rsidRPr="00895097">
        <w:rPr>
          <w:b/>
          <w:highlight w:val="cyan"/>
        </w:rPr>
        <w:t xml:space="preserve">EANPG 58 </w:t>
      </w:r>
    </w:p>
    <w:p w:rsidR="00933E74" w:rsidRDefault="000A6192" w:rsidP="000A6192">
      <w:pPr>
        <w:ind w:left="426" w:hanging="426"/>
      </w:pPr>
      <w:r w:rsidRPr="000A6192">
        <w:t>6</w:t>
      </w:r>
      <w:r w:rsidR="00D674BE">
        <w:t>a11</w:t>
      </w:r>
      <w:r w:rsidRPr="000A6192">
        <w:t xml:space="preserve">) </w:t>
      </w:r>
      <w:r w:rsidR="00F76390" w:rsidRPr="000A6192">
        <w:t>This document contains the report on the November 2016 meeting of ICAO EANPG Frequency Management G</w:t>
      </w:r>
      <w:r w:rsidR="00BF24AA">
        <w:t>r</w:t>
      </w:r>
      <w:r w:rsidR="00F76390" w:rsidRPr="000A6192">
        <w:t>oup (FMG)</w:t>
      </w:r>
      <w:r w:rsidR="00BF24AA">
        <w:t xml:space="preserve"> to illustrate the FMG discussion of the observed</w:t>
      </w:r>
      <w:r w:rsidR="00F76390">
        <w:t xml:space="preserve"> contradiction in the </w:t>
      </w:r>
      <w:r w:rsidR="00BF24AA">
        <w:t>ICAO Annex 10 frequency planning r</w:t>
      </w:r>
      <w:r w:rsidR="00F76390" w:rsidRPr="00F76390">
        <w:t>ules for ILS-VOR</w:t>
      </w:r>
      <w:r w:rsidR="00F76390">
        <w:t xml:space="preserve"> addressed in IP29</w:t>
      </w:r>
      <w:r w:rsidR="00BF24AA">
        <w:t xml:space="preserve">. </w:t>
      </w:r>
      <w:r w:rsidR="007914E5">
        <w:t>To rule out that no interference will be cause</w:t>
      </w:r>
      <w:r w:rsidR="00933E74">
        <w:t>d</w:t>
      </w:r>
      <w:r w:rsidR="007914E5">
        <w:t xml:space="preserve"> due to an incorrect frequency planning rule the FMG decided t </w:t>
      </w:r>
      <w:r w:rsidR="00933E74">
        <w:t>to add the following note after paragraph 3.1.1 of Part III of the European ICAO Frequency Management Manual, ICAO EUR-DOC011: „</w:t>
      </w:r>
      <w:r w:rsidR="00933E74" w:rsidRPr="00933E74">
        <w:rPr>
          <w:i/>
        </w:rPr>
        <w:t>In the EUR region, for the avoidance of harmful interference, it is not permitted for a VOR facility to operate, even on a temporary basis, on a frequency allotted to ILS localizers.</w:t>
      </w:r>
      <w:r w:rsidR="00933E74">
        <w:t>“.</w:t>
      </w:r>
    </w:p>
    <w:p w:rsidR="00933E74" w:rsidRDefault="00933E74" w:rsidP="000A6192">
      <w:pPr>
        <w:ind w:left="426" w:hanging="426"/>
      </w:pPr>
    </w:p>
    <w:p w:rsidR="00FA0248" w:rsidRPr="00FA0248" w:rsidRDefault="00933E74" w:rsidP="000A6192">
      <w:pPr>
        <w:ind w:left="426" w:hanging="426"/>
      </w:pPr>
      <w:r>
        <w:t>6</w:t>
      </w:r>
      <w:r w:rsidR="00D674BE">
        <w:t>a12</w:t>
      </w:r>
      <w:r>
        <w:t xml:space="preserve">) Moreover, the </w:t>
      </w:r>
      <w:r w:rsidR="00F76390">
        <w:t xml:space="preserve">FMG formulated the </w:t>
      </w:r>
      <w:r w:rsidR="00FA0248" w:rsidRPr="00FA0248">
        <w:t xml:space="preserve">following recommendations to ICAO NSP </w:t>
      </w:r>
      <w:r w:rsidR="005B2C49">
        <w:t xml:space="preserve">(contained in </w:t>
      </w:r>
      <w:r w:rsidR="005B2C49" w:rsidRPr="000A6192">
        <w:t>section 2.16 of the FMG report</w:t>
      </w:r>
      <w:r w:rsidR="005B2C49">
        <w:t>)</w:t>
      </w:r>
      <w:r w:rsidR="005B2C49" w:rsidRPr="00FA0248" w:rsidDel="005B2C49">
        <w:t xml:space="preserve"> </w:t>
      </w:r>
      <w:r w:rsidR="00FA0248" w:rsidRPr="00FA0248">
        <w:t>to resolve the aforementioned issues:</w:t>
      </w:r>
    </w:p>
    <w:p w:rsidR="00FA0248" w:rsidRPr="00FA0248" w:rsidRDefault="00FA0248" w:rsidP="008F230F">
      <w:pPr>
        <w:pStyle w:val="Default"/>
        <w:numPr>
          <w:ilvl w:val="0"/>
          <w:numId w:val="12"/>
        </w:numPr>
        <w:spacing w:after="261"/>
        <w:rPr>
          <w:sz w:val="22"/>
          <w:szCs w:val="22"/>
          <w:lang w:val="en-GB"/>
        </w:rPr>
      </w:pPr>
      <w:r w:rsidRPr="00FA0248">
        <w:rPr>
          <w:sz w:val="22"/>
          <w:szCs w:val="22"/>
          <w:lang w:val="en-GB"/>
        </w:rPr>
        <w:t xml:space="preserve">a request for compatibility studies should be made to the ICAO NSP, not least because the available documentation does not provide supporting material to justify the use of the current 43 NM value; </w:t>
      </w:r>
    </w:p>
    <w:p w:rsidR="00FA0248" w:rsidRPr="00FA0248" w:rsidRDefault="00FA0248" w:rsidP="008F230F">
      <w:pPr>
        <w:pStyle w:val="Default"/>
        <w:numPr>
          <w:ilvl w:val="0"/>
          <w:numId w:val="12"/>
        </w:numPr>
        <w:spacing w:after="261"/>
        <w:rPr>
          <w:sz w:val="22"/>
          <w:szCs w:val="22"/>
          <w:lang w:val="en-GB"/>
        </w:rPr>
      </w:pPr>
      <w:r w:rsidRPr="00FA0248">
        <w:rPr>
          <w:sz w:val="22"/>
          <w:szCs w:val="22"/>
          <w:lang w:val="en-GB"/>
        </w:rPr>
        <w:t xml:space="preserve">compatibility studies by ICAO NSP should be based on the D/U values proposed in Annex 10 Volume I, Attachment C to protect ILS localizer receivers designed for 50 kHz channel spacing from an undesired signal at 50 kHz, and; </w:t>
      </w:r>
    </w:p>
    <w:p w:rsidR="00FA0248" w:rsidRDefault="00FA0248" w:rsidP="008F230F">
      <w:pPr>
        <w:pStyle w:val="Default"/>
        <w:numPr>
          <w:ilvl w:val="0"/>
          <w:numId w:val="12"/>
        </w:numPr>
        <w:rPr>
          <w:sz w:val="22"/>
          <w:szCs w:val="22"/>
          <w:lang w:val="en-GB"/>
        </w:rPr>
      </w:pPr>
      <w:r w:rsidRPr="00FA0248">
        <w:rPr>
          <w:sz w:val="22"/>
          <w:szCs w:val="22"/>
          <w:lang w:val="en-GB"/>
        </w:rPr>
        <w:t xml:space="preserve">considering that the proposed geographical separation values for VOR/ILS are only valid under the assumptions in Annex 10, compatibility studies by ICAO NSP should develop a method to calculate the required separation distance for any power and DOC values of VOR systems. </w:t>
      </w:r>
    </w:p>
    <w:p w:rsidR="00042FE6" w:rsidRPr="00FA0248" w:rsidRDefault="00042FE6" w:rsidP="00042FE6">
      <w:pPr>
        <w:pStyle w:val="Default"/>
        <w:rPr>
          <w:sz w:val="22"/>
          <w:szCs w:val="22"/>
          <w:lang w:val="en-GB"/>
        </w:rPr>
      </w:pPr>
    </w:p>
    <w:p w:rsidR="00FA0248" w:rsidRDefault="00FA0248" w:rsidP="00895097">
      <w:pPr>
        <w:rPr>
          <w:lang w:val="en-US" w:eastAsia="zh-CN"/>
        </w:rPr>
      </w:pPr>
    </w:p>
    <w:p w:rsidR="00F76390" w:rsidRPr="000A6192" w:rsidRDefault="00933E74" w:rsidP="000A6192">
      <w:pPr>
        <w:ind w:left="426" w:hanging="426"/>
      </w:pPr>
      <w:r>
        <w:t>6</w:t>
      </w:r>
      <w:r w:rsidR="00D674BE">
        <w:t>a13</w:t>
      </w:r>
      <w:r w:rsidR="000A6192">
        <w:t xml:space="preserve">) </w:t>
      </w:r>
      <w:r w:rsidR="00F76390" w:rsidRPr="000A6192">
        <w:t>In the discussion of IP29 and IP28, the SWG agreed that there seem</w:t>
      </w:r>
      <w:r w:rsidR="005B2C49">
        <w:t>s</w:t>
      </w:r>
      <w:r w:rsidR="00F76390" w:rsidRPr="000A6192">
        <w:t xml:space="preserve"> to be contradiction in the geographical separation rules between ILS Localizers and VO</w:t>
      </w:r>
      <w:r w:rsidR="002542DC" w:rsidRPr="000A6192">
        <w:t>R</w:t>
      </w:r>
      <w:r w:rsidR="00F76390" w:rsidRPr="000A6192">
        <w:t xml:space="preserve"> in ICAO Annex 10, Vol. I, Att</w:t>
      </w:r>
      <w:r>
        <w:t>achment</w:t>
      </w:r>
      <w:r w:rsidR="00F76390" w:rsidRPr="000A6192">
        <w:t xml:space="preserve"> C, section 3.5. The </w:t>
      </w:r>
      <w:r>
        <w:t xml:space="preserve">ICAO </w:t>
      </w:r>
      <w:r w:rsidR="00F76390" w:rsidRPr="000A6192">
        <w:t xml:space="preserve">NSP secretary explained the ICAO NSP would need an </w:t>
      </w:r>
      <w:r w:rsidR="00F76390" w:rsidRPr="000A6192">
        <w:lastRenderedPageBreak/>
        <w:t>official request by ICAO EANPG to dedicate work on this issue, which have not yet been received by the ICAO office.</w:t>
      </w:r>
      <w:r w:rsidR="002542DC" w:rsidRPr="000A6192">
        <w:t xml:space="preserve"> If this task will be taken on-board and the task was considered </w:t>
      </w:r>
      <w:r w:rsidR="005B2C49">
        <w:t>to require</w:t>
      </w:r>
      <w:r w:rsidR="005B2C49" w:rsidRPr="000A6192">
        <w:t xml:space="preserve"> </w:t>
      </w:r>
      <w:r w:rsidR="002542DC" w:rsidRPr="000A6192">
        <w:t>major activities, a Job card dedicated to this task needed to be developed. The SWG decided to formulate an action item to further explore the necessity of such work until its next meeting.</w:t>
      </w:r>
    </w:p>
    <w:p w:rsidR="002542DC" w:rsidRDefault="002542DC" w:rsidP="00895097">
      <w:pPr>
        <w:rPr>
          <w:szCs w:val="22"/>
        </w:rPr>
      </w:pPr>
    </w:p>
    <w:p w:rsidR="002542DC" w:rsidRDefault="00602DCD" w:rsidP="002542DC">
      <w:pPr>
        <w:rPr>
          <w:lang w:val="en-US" w:eastAsia="zh-CN"/>
        </w:rPr>
      </w:pPr>
      <w:r>
        <w:rPr>
          <w:b/>
          <w:szCs w:val="22"/>
        </w:rPr>
        <w:t>Action S</w:t>
      </w:r>
      <w:r w:rsidR="00870268">
        <w:rPr>
          <w:b/>
          <w:szCs w:val="22"/>
        </w:rPr>
        <w:t>W</w:t>
      </w:r>
      <w:r>
        <w:rPr>
          <w:b/>
          <w:szCs w:val="22"/>
        </w:rPr>
        <w:t>G03</w:t>
      </w:r>
      <w:r w:rsidR="002542DC" w:rsidRPr="002542DC">
        <w:rPr>
          <w:b/>
          <w:szCs w:val="22"/>
        </w:rPr>
        <w:t>/</w:t>
      </w:r>
      <w:r w:rsidR="00B07EF9">
        <w:rPr>
          <w:b/>
          <w:szCs w:val="22"/>
        </w:rPr>
        <w:t>01</w:t>
      </w:r>
      <w:r w:rsidR="002542DC" w:rsidRPr="002542DC">
        <w:rPr>
          <w:b/>
          <w:szCs w:val="22"/>
        </w:rPr>
        <w:t>:</w:t>
      </w:r>
      <w:r w:rsidR="002542DC">
        <w:rPr>
          <w:szCs w:val="22"/>
        </w:rPr>
        <w:t xml:space="preserve"> G. Berz and J. Hermens to explore the necessity to revise the </w:t>
      </w:r>
      <w:r w:rsidR="002542DC">
        <w:rPr>
          <w:lang w:val="en-US" w:eastAsia="zh-CN"/>
        </w:rPr>
        <w:t xml:space="preserve">geographical separation rules between ILS Localizers and VOR in ICAO Annex 10, Vol. I, </w:t>
      </w:r>
      <w:r w:rsidR="002542DC">
        <w:rPr>
          <w:szCs w:val="22"/>
        </w:rPr>
        <w:t>Att</w:t>
      </w:r>
      <w:r w:rsidR="00933E74">
        <w:rPr>
          <w:szCs w:val="22"/>
        </w:rPr>
        <w:t>.</w:t>
      </w:r>
      <w:r w:rsidR="002542DC">
        <w:rPr>
          <w:szCs w:val="22"/>
        </w:rPr>
        <w:t xml:space="preserve"> C, section 3.5.</w:t>
      </w:r>
    </w:p>
    <w:p w:rsidR="00E86F07" w:rsidRDefault="00E86F07">
      <w:pPr>
        <w:rPr>
          <w:lang w:val="en-US" w:eastAsia="zh-CN"/>
        </w:rPr>
      </w:pPr>
    </w:p>
    <w:p w:rsidR="007A3AEB" w:rsidRDefault="007A3AEB">
      <w:pPr>
        <w:rPr>
          <w:lang w:val="en-US" w:eastAsia="zh-CN"/>
        </w:rPr>
      </w:pPr>
    </w:p>
    <w:p w:rsidR="00B8552D" w:rsidRPr="00736E40" w:rsidRDefault="00B8552D" w:rsidP="00B8552D">
      <w:pPr>
        <w:rPr>
          <w:b/>
          <w:highlight w:val="green"/>
        </w:rPr>
      </w:pPr>
      <w:r w:rsidRPr="00736E40">
        <w:rPr>
          <w:b/>
          <w:highlight w:val="green"/>
        </w:rPr>
        <w:t>Agenda Item 6b): Signal and compatibility issues in the band 960 to 1215 MHz</w:t>
      </w:r>
    </w:p>
    <w:p w:rsidR="00B8552D" w:rsidRPr="00895097" w:rsidRDefault="00B8552D" w:rsidP="00895097">
      <w:pPr>
        <w:rPr>
          <w:lang w:val="en-US" w:eastAsia="zh-CN"/>
        </w:rPr>
      </w:pPr>
    </w:p>
    <w:p w:rsidR="00895097" w:rsidRDefault="00895097" w:rsidP="00895097">
      <w:pPr>
        <w:rPr>
          <w:lang w:val="en-US" w:eastAsia="zh-CN"/>
        </w:rPr>
      </w:pPr>
    </w:p>
    <w:p w:rsidR="00074170" w:rsidRDefault="00895097" w:rsidP="00895097">
      <w:pPr>
        <w:rPr>
          <w:b/>
          <w:highlight w:val="cyan"/>
        </w:rPr>
      </w:pPr>
      <w:r w:rsidRPr="00895097">
        <w:rPr>
          <w:b/>
          <w:highlight w:val="cyan"/>
        </w:rPr>
        <w:t>IP13,</w:t>
      </w:r>
      <w:r w:rsidRPr="00895097">
        <w:rPr>
          <w:b/>
          <w:highlight w:val="cyan"/>
        </w:rPr>
        <w:tab/>
        <w:t>LDACS Programme Status</w:t>
      </w:r>
    </w:p>
    <w:p w:rsidR="002667CD" w:rsidRDefault="002667CD" w:rsidP="00787097">
      <w:pPr>
        <w:rPr>
          <w:i/>
          <w:szCs w:val="22"/>
        </w:rPr>
      </w:pPr>
      <w:r w:rsidRPr="002667CD">
        <w:rPr>
          <w:i/>
          <w:szCs w:val="22"/>
        </w:rPr>
        <w:t xml:space="preserve">Note: The paper was discussed in absence of </w:t>
      </w:r>
      <w:r w:rsidR="00C35284">
        <w:rPr>
          <w:i/>
          <w:szCs w:val="22"/>
        </w:rPr>
        <w:t>its</w:t>
      </w:r>
      <w:r w:rsidRPr="002667CD">
        <w:rPr>
          <w:i/>
          <w:szCs w:val="22"/>
        </w:rPr>
        <w:t xml:space="preserve"> author</w:t>
      </w:r>
      <w:r w:rsidR="00C35284">
        <w:rPr>
          <w:i/>
          <w:szCs w:val="22"/>
        </w:rPr>
        <w:t>.</w:t>
      </w:r>
    </w:p>
    <w:p w:rsidR="008657C4" w:rsidRPr="000A6192" w:rsidRDefault="000A6192" w:rsidP="000A6192">
      <w:pPr>
        <w:ind w:left="426" w:hanging="426"/>
      </w:pPr>
      <w:r w:rsidRPr="000A6192">
        <w:t>6b</w:t>
      </w:r>
      <w:r w:rsidR="00D674BE">
        <w:t>1</w:t>
      </w:r>
      <w:r w:rsidRPr="000A6192">
        <w:t xml:space="preserve">) </w:t>
      </w:r>
      <w:r w:rsidR="009374C3" w:rsidRPr="000A6192">
        <w:t>This paper informs about the results of the conformance and compatibility measurements of the L-band Digital Aeronautical Communication System (LDACS), on the status of the Alternative Positioning Navigation and Timing (APNT) concept based on LDACS, and on L-band spectrum issues</w:t>
      </w:r>
      <w:r w:rsidR="002667CD" w:rsidRPr="000A6192">
        <w:t xml:space="preserve">. </w:t>
      </w:r>
      <w:r w:rsidR="008657C4" w:rsidRPr="000A6192">
        <w:t>The SWG noted that the tests were performed at all four proposed LDACS1 sub-bands (963.5–970.5 MHz, 985.5–1008.5 MHz, 1048.5–1071.5 MHz and 1149.5–1156.5 MHz)</w:t>
      </w:r>
      <w:r w:rsidR="00787097" w:rsidRPr="000A6192">
        <w:t>.</w:t>
      </w:r>
    </w:p>
    <w:p w:rsidR="00787097" w:rsidRPr="000A6192" w:rsidRDefault="00787097" w:rsidP="000A6192">
      <w:pPr>
        <w:ind w:left="426" w:hanging="426"/>
      </w:pPr>
    </w:p>
    <w:p w:rsidR="002667CD" w:rsidRPr="000A6192" w:rsidRDefault="000A6192" w:rsidP="000A6192">
      <w:pPr>
        <w:ind w:left="426" w:hanging="426"/>
      </w:pPr>
      <w:r>
        <w:t>6b</w:t>
      </w:r>
      <w:r w:rsidR="00D674BE">
        <w:t>2</w:t>
      </w:r>
      <w:r>
        <w:t xml:space="preserve">) </w:t>
      </w:r>
      <w:r w:rsidR="002667CD" w:rsidRPr="000A6192">
        <w:t>SESAR LDACS1 studies showed that the preferred LDACS bands are: 963.5 – 970.5 MHz for Reverse Link and 1149.5 – 1156.5 MHz for Forward Link</w:t>
      </w:r>
      <w:r w:rsidR="00C35284">
        <w:t>.</w:t>
      </w:r>
      <w:r w:rsidR="00870268">
        <w:t xml:space="preserve"> </w:t>
      </w:r>
      <w:r w:rsidR="00C35284">
        <w:t xml:space="preserve">But the WRC-12 and WRC-15 Resolution </w:t>
      </w:r>
      <w:r w:rsidR="002667CD" w:rsidRPr="000A6192">
        <w:t xml:space="preserve">417 has set power limitations in the upper part of the L-band thus making impossible for LDACS1 to operate in the 1149.5-1156.5 MHz band. With this limitation the upper L-Band above 1125MHz is practically not usable for any future terrestrial communication system. The </w:t>
      </w:r>
      <w:r w:rsidR="00C35284">
        <w:t xml:space="preserve">specified robustness for </w:t>
      </w:r>
      <w:r w:rsidR="002667CD" w:rsidRPr="000A6192">
        <w:t xml:space="preserve">aeronautical radio-navigation satellite receivers on CAT I approach would allow to operate LDACS </w:t>
      </w:r>
      <w:r w:rsidR="00C35284">
        <w:t xml:space="preserve">in the L-band </w:t>
      </w:r>
      <w:r w:rsidR="002667CD" w:rsidRPr="000A6192">
        <w:t>up to 1152.5 MHz</w:t>
      </w:r>
    </w:p>
    <w:p w:rsidR="002667CD" w:rsidRPr="000A6192" w:rsidRDefault="002667CD" w:rsidP="000A6192">
      <w:pPr>
        <w:ind w:left="426" w:hanging="426"/>
      </w:pPr>
    </w:p>
    <w:p w:rsidR="008657C4" w:rsidRPr="000A6192" w:rsidRDefault="000A6192" w:rsidP="000A6192">
      <w:pPr>
        <w:ind w:left="426" w:hanging="426"/>
      </w:pPr>
      <w:r>
        <w:t>6b</w:t>
      </w:r>
      <w:r w:rsidR="00D674BE">
        <w:t>3</w:t>
      </w:r>
      <w:r>
        <w:t xml:space="preserve">) </w:t>
      </w:r>
      <w:r w:rsidR="00787097" w:rsidRPr="000A6192">
        <w:t xml:space="preserve">Regarding LDACS1 compatibility with airborne- and ground DME/TACAN receivers alone, </w:t>
      </w:r>
      <w:r w:rsidR="00994ACB">
        <w:t xml:space="preserve">the paper concluded </w:t>
      </w:r>
      <w:r w:rsidR="008B5624">
        <w:t xml:space="preserve">that </w:t>
      </w:r>
      <w:r w:rsidR="00787097" w:rsidRPr="000A6192">
        <w:t>LDACS1 FL/RL channel deployment in the frequency bands 963.5 – 970.5 MHz and 1149.5 – 1156.5 MHz may be the most promising option.</w:t>
      </w:r>
    </w:p>
    <w:p w:rsidR="007A3AEB" w:rsidRDefault="007A3AEB" w:rsidP="000A6192">
      <w:pPr>
        <w:ind w:left="426" w:hanging="426"/>
      </w:pPr>
    </w:p>
    <w:p w:rsidR="007A3AEB" w:rsidRPr="000A6192" w:rsidRDefault="007A3AEB" w:rsidP="000A6192">
      <w:pPr>
        <w:ind w:left="426" w:hanging="426"/>
      </w:pPr>
    </w:p>
    <w:p w:rsidR="00787097" w:rsidRPr="000A6192" w:rsidRDefault="000A6192" w:rsidP="000A6192">
      <w:pPr>
        <w:ind w:left="426" w:hanging="426"/>
      </w:pPr>
      <w:r>
        <w:t>6b</w:t>
      </w:r>
      <w:r w:rsidR="00D674BE">
        <w:t>4</w:t>
      </w:r>
      <w:r>
        <w:t xml:space="preserve">) </w:t>
      </w:r>
      <w:r w:rsidR="00787097" w:rsidRPr="000A6192">
        <w:t>Investigations of the compatibility of LDACS1 with the following signals are still outstanding:</w:t>
      </w:r>
    </w:p>
    <w:p w:rsidR="00787097" w:rsidRPr="00516855" w:rsidRDefault="00787097" w:rsidP="008F230F">
      <w:pPr>
        <w:numPr>
          <w:ilvl w:val="0"/>
          <w:numId w:val="11"/>
        </w:numPr>
        <w:rPr>
          <w:rFonts w:cs="Arial"/>
          <w:szCs w:val="22"/>
        </w:rPr>
      </w:pPr>
      <w:r w:rsidRPr="00516855">
        <w:rPr>
          <w:rFonts w:cs="Arial"/>
          <w:szCs w:val="22"/>
        </w:rPr>
        <w:t>SSR on the channels 1030 and 1090 MHz,</w:t>
      </w:r>
    </w:p>
    <w:p w:rsidR="00787097" w:rsidRPr="00B03E32" w:rsidRDefault="00787097" w:rsidP="008F230F">
      <w:pPr>
        <w:numPr>
          <w:ilvl w:val="0"/>
          <w:numId w:val="11"/>
        </w:numPr>
        <w:rPr>
          <w:rFonts w:cs="Arial"/>
          <w:szCs w:val="22"/>
        </w:rPr>
      </w:pPr>
      <w:r w:rsidRPr="00B03E32">
        <w:rPr>
          <w:rFonts w:cs="Arial"/>
          <w:szCs w:val="22"/>
        </w:rPr>
        <w:t>UAT at 978 MHz</w:t>
      </w:r>
    </w:p>
    <w:p w:rsidR="00787097" w:rsidRPr="00516855" w:rsidRDefault="00787097" w:rsidP="008F230F">
      <w:pPr>
        <w:numPr>
          <w:ilvl w:val="0"/>
          <w:numId w:val="11"/>
        </w:numPr>
        <w:rPr>
          <w:rFonts w:cs="Arial"/>
          <w:szCs w:val="22"/>
        </w:rPr>
      </w:pPr>
      <w:r w:rsidRPr="00516855">
        <w:rPr>
          <w:rFonts w:cs="Arial"/>
          <w:szCs w:val="22"/>
        </w:rPr>
        <w:t>JTIDS in the sub-band 969-1008, 1053-1065,1113-1206 MHz</w:t>
      </w:r>
    </w:p>
    <w:p w:rsidR="00787097" w:rsidRPr="00516855" w:rsidRDefault="00787097" w:rsidP="008F230F">
      <w:pPr>
        <w:numPr>
          <w:ilvl w:val="0"/>
          <w:numId w:val="11"/>
        </w:numPr>
        <w:rPr>
          <w:rFonts w:cs="Arial"/>
          <w:szCs w:val="22"/>
        </w:rPr>
      </w:pPr>
      <w:r w:rsidRPr="00516855">
        <w:rPr>
          <w:rFonts w:cs="Arial"/>
          <w:szCs w:val="22"/>
        </w:rPr>
        <w:t>Out-of-band emissions of GSM, UMTS, LTE operated in the band below 960 MHz</w:t>
      </w:r>
    </w:p>
    <w:p w:rsidR="00787097" w:rsidRDefault="00787097" w:rsidP="008F230F">
      <w:pPr>
        <w:numPr>
          <w:ilvl w:val="0"/>
          <w:numId w:val="11"/>
        </w:numPr>
        <w:rPr>
          <w:rFonts w:cs="Arial"/>
          <w:szCs w:val="22"/>
        </w:rPr>
      </w:pPr>
      <w:r w:rsidRPr="00CC0169">
        <w:rPr>
          <w:rFonts w:cs="Arial"/>
          <w:szCs w:val="22"/>
        </w:rPr>
        <w:t xml:space="preserve">RSBN </w:t>
      </w:r>
      <w:r>
        <w:rPr>
          <w:rFonts w:cs="Arial"/>
          <w:szCs w:val="22"/>
        </w:rPr>
        <w:t xml:space="preserve">in the band </w:t>
      </w:r>
      <w:r w:rsidRPr="00CC0169">
        <w:rPr>
          <w:rFonts w:cs="Arial"/>
          <w:szCs w:val="22"/>
        </w:rPr>
        <w:t>1025-1151</w:t>
      </w:r>
      <w:r w:rsidR="002667CD">
        <w:rPr>
          <w:rFonts w:cs="Arial"/>
          <w:szCs w:val="22"/>
        </w:rPr>
        <w:t xml:space="preserve"> </w:t>
      </w:r>
      <w:r>
        <w:rPr>
          <w:rFonts w:cs="Arial"/>
          <w:szCs w:val="22"/>
        </w:rPr>
        <w:t>MHz</w:t>
      </w:r>
      <w:r w:rsidRPr="00CC0169">
        <w:rPr>
          <w:rFonts w:cs="Arial"/>
          <w:szCs w:val="22"/>
        </w:rPr>
        <w:t xml:space="preserve"> </w:t>
      </w:r>
    </w:p>
    <w:p w:rsidR="002667CD" w:rsidRDefault="002667CD" w:rsidP="002667CD">
      <w:pPr>
        <w:rPr>
          <w:rFonts w:cs="Arial"/>
          <w:szCs w:val="22"/>
        </w:rPr>
      </w:pPr>
    </w:p>
    <w:p w:rsidR="002667CD" w:rsidRPr="000A6192" w:rsidRDefault="000A6192" w:rsidP="000A6192">
      <w:pPr>
        <w:ind w:left="426" w:hanging="426"/>
      </w:pPr>
      <w:r w:rsidRPr="000A6192">
        <w:t>6b</w:t>
      </w:r>
      <w:r w:rsidR="00D674BE">
        <w:t>5</w:t>
      </w:r>
      <w:r w:rsidRPr="000A6192">
        <w:t xml:space="preserve">) </w:t>
      </w:r>
      <w:r w:rsidR="002667CD" w:rsidRPr="000A6192">
        <w:t>The SWG recommended that compatibility studies between aeronautical radio navigations systems and LDACS shall be further developed in close cooperation with ICAO NSP SWG</w:t>
      </w:r>
      <w:r w:rsidR="00994ACB">
        <w:t xml:space="preserve"> and that 1030/1090 MHz studies be liaised to the ICAO Surveillance Panel</w:t>
      </w:r>
      <w:r w:rsidR="002667CD" w:rsidRPr="000A6192">
        <w:t>.</w:t>
      </w:r>
    </w:p>
    <w:p w:rsidR="002667CD" w:rsidRPr="00CC0169" w:rsidRDefault="002667CD" w:rsidP="002667CD">
      <w:pPr>
        <w:rPr>
          <w:rFonts w:cs="Arial"/>
          <w:szCs w:val="22"/>
        </w:rPr>
      </w:pPr>
    </w:p>
    <w:p w:rsidR="00074170" w:rsidRPr="00736E40" w:rsidRDefault="00074170"/>
    <w:p w:rsidR="00074170" w:rsidRPr="00736E40" w:rsidRDefault="00074170">
      <w:r w:rsidRPr="00736E40">
        <w:rPr>
          <w:b/>
          <w:highlight w:val="green"/>
        </w:rPr>
        <w:t>Agenda Item 6c): Signal and compatibility issues in the band 5000 to 5150 MHz</w:t>
      </w:r>
    </w:p>
    <w:p w:rsidR="00074170" w:rsidRPr="00736E40" w:rsidRDefault="00074170">
      <w:pPr>
        <w:rPr>
          <w:i/>
          <w:iCs/>
          <w:sz w:val="20"/>
          <w:szCs w:val="20"/>
        </w:rPr>
      </w:pPr>
    </w:p>
    <w:p w:rsidR="00074170" w:rsidRPr="00736E40" w:rsidRDefault="00074170">
      <w:r w:rsidRPr="00736E40">
        <w:rPr>
          <w:i/>
          <w:iCs/>
          <w:sz w:val="20"/>
          <w:szCs w:val="20"/>
        </w:rPr>
        <w:t>Note: No papers have been presented under this agenda item.</w:t>
      </w:r>
    </w:p>
    <w:p w:rsidR="004B647A" w:rsidRDefault="004B647A">
      <w:pPr>
        <w:rPr>
          <w:b/>
          <w:highlight w:val="green"/>
        </w:rPr>
      </w:pPr>
    </w:p>
    <w:p w:rsidR="00074170" w:rsidRPr="00736E40" w:rsidRDefault="00074170">
      <w:pPr>
        <w:rPr>
          <w:b/>
          <w:highlight w:val="green"/>
        </w:rPr>
      </w:pPr>
      <w:r w:rsidRPr="00736E40">
        <w:rPr>
          <w:b/>
          <w:highlight w:val="green"/>
        </w:rPr>
        <w:t>Agenda Item 6d): GNSS signal and interference issues</w:t>
      </w:r>
    </w:p>
    <w:p w:rsidR="00074170" w:rsidRPr="00736E40" w:rsidRDefault="00074170"/>
    <w:p w:rsidR="00074170" w:rsidRDefault="00074170" w:rsidP="00525977">
      <w:pPr>
        <w:ind w:left="426" w:hanging="426"/>
      </w:pPr>
    </w:p>
    <w:p w:rsidR="00074170" w:rsidRPr="00525977" w:rsidRDefault="00074170" w:rsidP="00525977">
      <w:pPr>
        <w:rPr>
          <w:b/>
          <w:highlight w:val="cyan"/>
        </w:rPr>
      </w:pPr>
      <w:r w:rsidRPr="00525977">
        <w:rPr>
          <w:b/>
          <w:highlight w:val="cyan"/>
        </w:rPr>
        <w:lastRenderedPageBreak/>
        <w:t>WP</w:t>
      </w:r>
      <w:r w:rsidR="00864CE6">
        <w:rPr>
          <w:b/>
          <w:highlight w:val="cyan"/>
        </w:rPr>
        <w:t>20</w:t>
      </w:r>
      <w:r w:rsidRPr="00525977">
        <w:rPr>
          <w:b/>
          <w:highlight w:val="cyan"/>
        </w:rPr>
        <w:t>, Insertion of RFI Mitigation Plan into GNSS Manual</w:t>
      </w:r>
    </w:p>
    <w:p w:rsidR="00CE14D1" w:rsidRDefault="00074170" w:rsidP="00A03811">
      <w:pPr>
        <w:ind w:left="426" w:hanging="426"/>
      </w:pPr>
      <w:r w:rsidRPr="0053785A">
        <w:t>6d</w:t>
      </w:r>
      <w:r w:rsidR="00A03811" w:rsidRPr="0053785A">
        <w:t>1</w:t>
      </w:r>
      <w:r w:rsidRPr="0053785A">
        <w:t>) WP</w:t>
      </w:r>
      <w:r w:rsidR="00864CE6" w:rsidRPr="0053785A">
        <w:t>20</w:t>
      </w:r>
      <w:r w:rsidRPr="0053785A">
        <w:t xml:space="preserve"> contains a revised version of the draft GNSS RFI mitigation plan which takes into account change requests and comments </w:t>
      </w:r>
      <w:r w:rsidR="00864CE6">
        <w:t xml:space="preserve">received since last </w:t>
      </w:r>
      <w:r w:rsidR="008B5624">
        <w:t xml:space="preserve">ICAO NSP </w:t>
      </w:r>
      <w:r w:rsidR="00864CE6">
        <w:t>meeting. The SWG provided further change request</w:t>
      </w:r>
      <w:r w:rsidR="008B5624">
        <w:t>s</w:t>
      </w:r>
      <w:r w:rsidR="004B647A">
        <w:t>,</w:t>
      </w:r>
      <w:r w:rsidR="00864CE6">
        <w:t xml:space="preserve"> which </w:t>
      </w:r>
      <w:r w:rsidR="00B0239E">
        <w:t>were</w:t>
      </w:r>
      <w:r w:rsidR="00864CE6">
        <w:t xml:space="preserve"> taken into account</w:t>
      </w:r>
      <w:r w:rsidR="003E176B">
        <w:t xml:space="preserve"> </w:t>
      </w:r>
      <w:r w:rsidR="0087705A">
        <w:t xml:space="preserve">to </w:t>
      </w:r>
      <w:r w:rsidR="003E176B">
        <w:t xml:space="preserve">produce </w:t>
      </w:r>
      <w:r w:rsidR="000B4AEB">
        <w:t>flimsy 12</w:t>
      </w:r>
      <w:r w:rsidR="00E86F07">
        <w:t>. This paper was then</w:t>
      </w:r>
      <w:r w:rsidR="003E176B">
        <w:t xml:space="preserve"> further review</w:t>
      </w:r>
      <w:r w:rsidR="00E86F07">
        <w:t>ed</w:t>
      </w:r>
      <w:r w:rsidR="003E176B">
        <w:t xml:space="preserve"> by the plenary</w:t>
      </w:r>
      <w:r w:rsidR="0087705A">
        <w:t xml:space="preserve"> meeting</w:t>
      </w:r>
      <w:r w:rsidR="003E176B">
        <w:t xml:space="preserve"> of </w:t>
      </w:r>
      <w:r w:rsidR="0087705A">
        <w:t xml:space="preserve">ICAO </w:t>
      </w:r>
      <w:r w:rsidR="003E176B">
        <w:t>NSP/3</w:t>
      </w:r>
      <w:r w:rsidR="00864CE6">
        <w:t>.</w:t>
      </w:r>
    </w:p>
    <w:p w:rsidR="00864CE6" w:rsidRDefault="00864CE6" w:rsidP="00A03811">
      <w:pPr>
        <w:ind w:left="426" w:hanging="426"/>
      </w:pPr>
    </w:p>
    <w:p w:rsidR="00864CE6" w:rsidRPr="00F15F21" w:rsidRDefault="00864CE6" w:rsidP="00F15F21">
      <w:pPr>
        <w:rPr>
          <w:b/>
          <w:highlight w:val="cyan"/>
        </w:rPr>
      </w:pPr>
      <w:r w:rsidRPr="00F15F21">
        <w:rPr>
          <w:b/>
          <w:highlight w:val="cyan"/>
        </w:rPr>
        <w:t>Flimsy 4</w:t>
      </w:r>
      <w:r w:rsidR="00F15F21" w:rsidRPr="00F15F21">
        <w:rPr>
          <w:b/>
          <w:highlight w:val="cyan"/>
        </w:rPr>
        <w:t xml:space="preserve">, </w:t>
      </w:r>
      <w:r w:rsidR="00B0239E" w:rsidRPr="00D85053">
        <w:rPr>
          <w:b/>
          <w:highlight w:val="cyan"/>
        </w:rPr>
        <w:t>P</w:t>
      </w:r>
      <w:r w:rsidR="00F15F21" w:rsidRPr="00D85053">
        <w:rPr>
          <w:b/>
          <w:highlight w:val="cyan"/>
        </w:rPr>
        <w:t>roposed improvements for the GNSS Manual dealing with GNSS repeaters</w:t>
      </w:r>
    </w:p>
    <w:p w:rsidR="00F15F21" w:rsidRDefault="0053785A" w:rsidP="009B38DA">
      <w:pPr>
        <w:ind w:left="426" w:hanging="426"/>
      </w:pPr>
      <w:r>
        <w:t xml:space="preserve">6d2) </w:t>
      </w:r>
      <w:r w:rsidR="00F15F21">
        <w:t xml:space="preserve">Flimsy 4 contains proposed improvements for the GNSS Manual dealing with GNSS repeaters. The document was reviewed by the SWG in conjunction </w:t>
      </w:r>
      <w:r w:rsidR="009B38DA">
        <w:t>the</w:t>
      </w:r>
      <w:r w:rsidR="00F15F21">
        <w:t xml:space="preserve"> </w:t>
      </w:r>
      <w:r w:rsidR="00F15F21" w:rsidRPr="00F15F21">
        <w:t>draft GNSS RFI mitigation plan</w:t>
      </w:r>
      <w:r w:rsidR="00F15F21">
        <w:t xml:space="preserve"> contained in WP20. </w:t>
      </w:r>
      <w:r w:rsidR="004B647A">
        <w:t>R</w:t>
      </w:r>
      <w:r w:rsidR="00F15F21">
        <w:t xml:space="preserve">evision 1 of Flimsy 4 was </w:t>
      </w:r>
      <w:r w:rsidR="00D113A7">
        <w:t>produced,</w:t>
      </w:r>
      <w:r w:rsidR="00104F86">
        <w:t xml:space="preserve"> </w:t>
      </w:r>
      <w:r w:rsidR="001E7497">
        <w:t xml:space="preserve">taking </w:t>
      </w:r>
      <w:r w:rsidR="00F15F21">
        <w:t xml:space="preserve">into account all change requests by the SWG. The content </w:t>
      </w:r>
      <w:r w:rsidR="00D0192E">
        <w:t>was inserted into</w:t>
      </w:r>
      <w:r w:rsidR="000B4AEB">
        <w:t xml:space="preserve"> flimsy 12</w:t>
      </w:r>
      <w:r w:rsidR="009B38DA">
        <w:t>.</w:t>
      </w:r>
    </w:p>
    <w:p w:rsidR="00870268" w:rsidRDefault="00870268" w:rsidP="009B38DA">
      <w:pPr>
        <w:ind w:left="426" w:hanging="426"/>
      </w:pPr>
    </w:p>
    <w:p w:rsidR="00CE14D1" w:rsidRDefault="00CE14D1" w:rsidP="00525977">
      <w:pPr>
        <w:ind w:left="426" w:hanging="426"/>
      </w:pPr>
    </w:p>
    <w:p w:rsidR="00CE14D1" w:rsidRDefault="002B0F60" w:rsidP="00D85053">
      <w:pPr>
        <w:rPr>
          <w:b/>
          <w:highlight w:val="cyan"/>
        </w:rPr>
      </w:pPr>
      <w:r w:rsidRPr="00D85053">
        <w:rPr>
          <w:b/>
          <w:highlight w:val="cyan"/>
        </w:rPr>
        <w:t>IP04, rev. 2, “BDS B1I Anti-Interference Test Progress”</w:t>
      </w:r>
    </w:p>
    <w:p w:rsidR="00331048" w:rsidRDefault="0053785A" w:rsidP="00525977">
      <w:pPr>
        <w:ind w:left="426" w:hanging="426"/>
      </w:pPr>
      <w:r>
        <w:t xml:space="preserve">6d3) </w:t>
      </w:r>
      <w:r w:rsidR="00CB4FAE">
        <w:t xml:space="preserve">In response to action SWG01/03 this information paper </w:t>
      </w:r>
      <w:r w:rsidR="00CB4FAE" w:rsidRPr="00CB4FAE">
        <w:t xml:space="preserve">provides </w:t>
      </w:r>
      <w:r w:rsidR="004B647A">
        <w:t>answers</w:t>
      </w:r>
      <w:r w:rsidR="00CB4FAE" w:rsidRPr="00CB4FAE">
        <w:t xml:space="preserve"> to the issues that </w:t>
      </w:r>
      <w:r w:rsidR="00CB4FAE">
        <w:t xml:space="preserve">SWG members </w:t>
      </w:r>
      <w:r w:rsidR="00CB4FAE" w:rsidRPr="00CB4FAE">
        <w:t xml:space="preserve">raised on the BDS OS B1I anti-interference testing. These issues include two parts: </w:t>
      </w:r>
    </w:p>
    <w:p w:rsidR="00331048" w:rsidRDefault="004B647A" w:rsidP="008F230F">
      <w:pPr>
        <w:pStyle w:val="ListParagraph"/>
        <w:numPr>
          <w:ilvl w:val="0"/>
          <w:numId w:val="6"/>
        </w:numPr>
      </w:pPr>
      <w:r>
        <w:t>T</w:t>
      </w:r>
      <w:r w:rsidR="00CB4FAE" w:rsidRPr="00CB4FAE">
        <w:t>he antenna elevation gain influence on pseudo-range tracking precision</w:t>
      </w:r>
      <w:r>
        <w:t>: C</w:t>
      </w:r>
      <w:r w:rsidR="00331048" w:rsidRPr="000A6192">
        <w:rPr>
          <w:rFonts w:hint="eastAsia"/>
        </w:rPr>
        <w:t xml:space="preserve">onsidering </w:t>
      </w:r>
      <w:r w:rsidR="00331048" w:rsidRPr="000A6192">
        <w:t>the antenna elevation gain</w:t>
      </w:r>
      <w:r w:rsidR="00331048" w:rsidRPr="000A6192">
        <w:rPr>
          <w:rFonts w:hint="eastAsia"/>
        </w:rPr>
        <w:t>,</w:t>
      </w:r>
      <w:r w:rsidR="00331048" w:rsidRPr="000A6192">
        <w:t xml:space="preserve"> pseudo-range tracking accuracy remains to be 0.4 m</w:t>
      </w:r>
      <w:r w:rsidR="00121F6B" w:rsidRPr="000A6192">
        <w:t>.</w:t>
      </w:r>
    </w:p>
    <w:p w:rsidR="002B0F60" w:rsidRDefault="004B647A" w:rsidP="008F230F">
      <w:pPr>
        <w:pStyle w:val="ListParagraph"/>
        <w:numPr>
          <w:ilvl w:val="0"/>
          <w:numId w:val="6"/>
        </w:numPr>
      </w:pPr>
      <w:r>
        <w:t>T</w:t>
      </w:r>
      <w:r w:rsidR="00CB4FAE" w:rsidRPr="00CB4FAE">
        <w:t xml:space="preserve">he compatibility of BDS OS B1I with Mobile Satellite Service </w:t>
      </w:r>
      <w:r w:rsidR="00331048">
        <w:t xml:space="preserve">(MSS) </w:t>
      </w:r>
      <w:r w:rsidR="00CB4FAE" w:rsidRPr="00CB4FAE">
        <w:t>Down-link (e.g. INMARSAT, MTSAT</w:t>
      </w:r>
      <w:r w:rsidR="00CB4FAE">
        <w:t>)</w:t>
      </w:r>
      <w:r>
        <w:t>:</w:t>
      </w:r>
      <w:r w:rsidR="00870268">
        <w:t xml:space="preserve"> </w:t>
      </w:r>
      <w:r w:rsidR="00331048" w:rsidRPr="00331048">
        <w:t xml:space="preserve">When the </w:t>
      </w:r>
      <w:r w:rsidR="000A6192">
        <w:t>Power Flux Density (</w:t>
      </w:r>
      <w:r w:rsidR="00331048" w:rsidRPr="00331048">
        <w:t>pfd</w:t>
      </w:r>
      <w:r w:rsidR="000A6192">
        <w:t>)</w:t>
      </w:r>
      <w:r w:rsidR="00331048" w:rsidRPr="00331048">
        <w:t xml:space="preserve"> value of MSS down link signal is -112</w:t>
      </w:r>
      <w:r w:rsidR="000A6192">
        <w:t xml:space="preserve"> </w:t>
      </w:r>
      <w:r w:rsidR="00331048" w:rsidRPr="00331048">
        <w:t>dBW/m</w:t>
      </w:r>
      <w:r w:rsidR="00331048" w:rsidRPr="000A6192">
        <w:rPr>
          <w:vertAlign w:val="superscript"/>
        </w:rPr>
        <w:t>2</w:t>
      </w:r>
      <w:r w:rsidR="00331048" w:rsidRPr="00331048">
        <w:t>/MHz, pseudo-range tracking accuracy of BDS B1I receiver is about 0.4</w:t>
      </w:r>
      <w:r w:rsidR="00B544F9">
        <w:t xml:space="preserve"> </w:t>
      </w:r>
      <w:r w:rsidR="00331048" w:rsidRPr="00331048">
        <w:t>m. With increasing pfd value of MSS signal, the pseudo-range tracking error of BDS B1I receiver will increase up to 0.6</w:t>
      </w:r>
      <w:r w:rsidR="000A6192">
        <w:t xml:space="preserve"> </w:t>
      </w:r>
      <w:r w:rsidR="00331048" w:rsidRPr="00331048">
        <w:t>m, which shows that MSS interference exerts adverse impact on BDS B1I signal receiver.</w:t>
      </w:r>
      <w:r w:rsidR="00994ACB">
        <w:t xml:space="preserve"> In addition, the normal operational MSS level (approximately -130 dBW</w:t>
      </w:r>
      <w:r w:rsidR="00CE3E82">
        <w:t>/MHz</w:t>
      </w:r>
      <w:r w:rsidR="00994ACB">
        <w:t>) greatly exceeds the stated BDS OS B1I interference mask level (-138 dBW</w:t>
      </w:r>
      <w:r w:rsidR="00CE3E82">
        <w:t>/MHz</w:t>
      </w:r>
      <w:r w:rsidR="00994ACB">
        <w:t>).</w:t>
      </w:r>
    </w:p>
    <w:p w:rsidR="007A3AEB" w:rsidRDefault="007A3AEB" w:rsidP="00EA3087">
      <w:pPr>
        <w:ind w:left="426" w:hanging="426"/>
      </w:pPr>
    </w:p>
    <w:p w:rsidR="00331048" w:rsidRPr="00331048" w:rsidRDefault="0053785A" w:rsidP="00EA3087">
      <w:pPr>
        <w:ind w:left="426" w:hanging="426"/>
      </w:pPr>
      <w:r>
        <w:t xml:space="preserve">6d4) </w:t>
      </w:r>
      <w:r w:rsidR="00331048">
        <w:t>The SWG expressed concern</w:t>
      </w:r>
      <w:r w:rsidR="004B647A">
        <w:t>s</w:t>
      </w:r>
      <w:r w:rsidR="00331048">
        <w:t xml:space="preserve"> regarding the impact of the </w:t>
      </w:r>
      <w:r w:rsidR="00331048" w:rsidRPr="00CB4FAE">
        <w:t>Mobile Satellite Service Down-link</w:t>
      </w:r>
      <w:r w:rsidR="00EA3087">
        <w:t xml:space="preserve"> since</w:t>
      </w:r>
      <w:r w:rsidR="00331048">
        <w:t xml:space="preserve"> </w:t>
      </w:r>
      <w:r w:rsidR="00EA3087">
        <w:t xml:space="preserve">the increase of the tracking accuracy to 0.6 m would contradict the value of 0.4 m, which is specified in the draft Beidou </w:t>
      </w:r>
      <w:r w:rsidR="00EA3087" w:rsidRPr="00EA3087">
        <w:t xml:space="preserve">B1I </w:t>
      </w:r>
      <w:r w:rsidR="00EA3087">
        <w:t>SARPs (WP20 ICAO NSP/1, December 2015). SWG</w:t>
      </w:r>
      <w:r w:rsidR="00331048">
        <w:t xml:space="preserve"> reminded the Beidou-experts that Beidou cannot claim protection from interference by MSS, since MSS is operating in its </w:t>
      </w:r>
      <w:r w:rsidR="004B647A">
        <w:t>band</w:t>
      </w:r>
      <w:r w:rsidR="004B647A" w:rsidRPr="004B647A">
        <w:t xml:space="preserve"> </w:t>
      </w:r>
      <w:r w:rsidR="004B647A">
        <w:t>allocated by ITU (below 1559 MHz)</w:t>
      </w:r>
      <w:r w:rsidR="00EA3087">
        <w:t>.</w:t>
      </w:r>
      <w:r w:rsidR="00870268">
        <w:t xml:space="preserve"> </w:t>
      </w:r>
      <w:r w:rsidR="00EA3087">
        <w:t>Therefore, SWG recommended</w:t>
      </w:r>
      <w:r w:rsidR="00994ACB">
        <w:t xml:space="preserve"> that </w:t>
      </w:r>
      <w:r w:rsidR="00EA3087">
        <w:t xml:space="preserve">the interference robustness of the receiver </w:t>
      </w:r>
      <w:r w:rsidR="00994ACB">
        <w:t>be increased to recognize the interference caused by MSS. This should</w:t>
      </w:r>
      <w:r w:rsidR="00EA3087">
        <w:t xml:space="preserve"> be reflected in a change in the interference threshold mask</w:t>
      </w:r>
      <w:r w:rsidR="00CE3E82">
        <w:t xml:space="preserve">. </w:t>
      </w:r>
    </w:p>
    <w:p w:rsidR="00CE14D1" w:rsidRDefault="00CE14D1" w:rsidP="00525977">
      <w:pPr>
        <w:ind w:left="426" w:hanging="426"/>
      </w:pPr>
    </w:p>
    <w:p w:rsidR="00074170" w:rsidRDefault="00074170"/>
    <w:p w:rsidR="00074170" w:rsidRPr="00736E40" w:rsidRDefault="00074170">
      <w:pPr>
        <w:rPr>
          <w:b/>
          <w:highlight w:val="green"/>
        </w:rPr>
      </w:pPr>
      <w:r w:rsidRPr="00736E40">
        <w:rPr>
          <w:b/>
          <w:highlight w:val="green"/>
        </w:rPr>
        <w:t>Agen</w:t>
      </w:r>
      <w:r w:rsidR="00870268">
        <w:rPr>
          <w:b/>
          <w:highlight w:val="green"/>
        </w:rPr>
        <w:t>da Item 6e): Open actions for SW</w:t>
      </w:r>
      <w:r w:rsidRPr="00736E40">
        <w:rPr>
          <w:b/>
          <w:highlight w:val="green"/>
        </w:rPr>
        <w:t xml:space="preserve">G from ICAO NSP </w:t>
      </w:r>
      <w:r>
        <w:rPr>
          <w:b/>
          <w:highlight w:val="green"/>
        </w:rPr>
        <w:t xml:space="preserve">Panel </w:t>
      </w:r>
      <w:r w:rsidRPr="00736E40">
        <w:rPr>
          <w:b/>
          <w:highlight w:val="green"/>
        </w:rPr>
        <w:t>meetings</w:t>
      </w:r>
    </w:p>
    <w:p w:rsidR="004B647A" w:rsidRDefault="004B647A">
      <w:pPr>
        <w:rPr>
          <w:i/>
        </w:rPr>
      </w:pPr>
    </w:p>
    <w:p w:rsidR="00074170" w:rsidRPr="00736E40" w:rsidRDefault="00074170">
      <w:pPr>
        <w:rPr>
          <w:i/>
        </w:rPr>
      </w:pPr>
      <w:r w:rsidRPr="00736E40">
        <w:rPr>
          <w:i/>
        </w:rPr>
        <w:t>Note: No papers were presented and no discussion took place under this agenda item.</w:t>
      </w:r>
    </w:p>
    <w:p w:rsidR="00074170" w:rsidRDefault="00074170">
      <w:pPr>
        <w:rPr>
          <w:sz w:val="20"/>
          <w:szCs w:val="20"/>
        </w:rPr>
      </w:pPr>
    </w:p>
    <w:p w:rsidR="00074170" w:rsidRDefault="00074170">
      <w:pPr>
        <w:rPr>
          <w:sz w:val="20"/>
          <w:szCs w:val="20"/>
        </w:rPr>
      </w:pPr>
    </w:p>
    <w:p w:rsidR="00074170" w:rsidRPr="00736E40" w:rsidRDefault="00074170">
      <w:pPr>
        <w:rPr>
          <w:b/>
        </w:rPr>
      </w:pPr>
      <w:r w:rsidRPr="00736E40">
        <w:rPr>
          <w:b/>
          <w:highlight w:val="green"/>
        </w:rPr>
        <w:t>Agenda Item 6f): Spectrum – any other business</w:t>
      </w:r>
    </w:p>
    <w:p w:rsidR="00074170" w:rsidRPr="00736E40" w:rsidRDefault="00074170" w:rsidP="00B12D38">
      <w:pPr>
        <w:ind w:left="426" w:hanging="426"/>
      </w:pPr>
    </w:p>
    <w:p w:rsidR="0017092C" w:rsidRPr="0017092C" w:rsidRDefault="0017092C" w:rsidP="0017092C">
      <w:pPr>
        <w:rPr>
          <w:b/>
          <w:highlight w:val="cyan"/>
        </w:rPr>
      </w:pPr>
      <w:r w:rsidRPr="0017092C">
        <w:rPr>
          <w:b/>
          <w:highlight w:val="cyan"/>
        </w:rPr>
        <w:t>IP27</w:t>
      </w:r>
      <w:r>
        <w:rPr>
          <w:b/>
          <w:highlight w:val="cyan"/>
        </w:rPr>
        <w:t>,</w:t>
      </w:r>
      <w:r w:rsidRPr="0017092C">
        <w:rPr>
          <w:b/>
          <w:highlight w:val="cyan"/>
        </w:rPr>
        <w:tab/>
        <w:t>Report of ICAO FSMP WG/3</w:t>
      </w:r>
    </w:p>
    <w:p w:rsidR="00993AC4" w:rsidRDefault="000A6192" w:rsidP="000A6192">
      <w:pPr>
        <w:ind w:left="426" w:hanging="426"/>
      </w:pPr>
      <w:r>
        <w:t xml:space="preserve">6f1) </w:t>
      </w:r>
      <w:r w:rsidR="00993AC4">
        <w:t>Mike Biggs, chairman of the ICAO Frequency and Spectrum Management Panel (FSMP) as well as the FSMP Working Group (WG) presented the report of the last ICAO FSMP WG meeting. He focused on the following topics which are most relevant to ICAO NSP:</w:t>
      </w:r>
    </w:p>
    <w:p w:rsidR="00993AC4" w:rsidRDefault="0093732C" w:rsidP="008F230F">
      <w:pPr>
        <w:pStyle w:val="ListParagraph"/>
        <w:numPr>
          <w:ilvl w:val="0"/>
          <w:numId w:val="5"/>
        </w:numPr>
      </w:pPr>
      <w:r>
        <w:t>R</w:t>
      </w:r>
      <w:r w:rsidR="00993AC4">
        <w:t xml:space="preserve">eview of ICAO </w:t>
      </w:r>
      <w:r w:rsidR="0046711D">
        <w:t xml:space="preserve">Doc </w:t>
      </w:r>
      <w:r w:rsidR="00993AC4">
        <w:t>9718</w:t>
      </w:r>
      <w:r w:rsidR="0046711D">
        <w:t>, Vol. I</w:t>
      </w:r>
      <w:r w:rsidR="00993AC4">
        <w:t xml:space="preserve"> =&gt; </w:t>
      </w:r>
      <w:r w:rsidR="002D60B1">
        <w:t>ICAO FSMP WG/3 is reviewing of ICAO D</w:t>
      </w:r>
      <w:r w:rsidR="000A6192">
        <w:t>oc</w:t>
      </w:r>
      <w:r w:rsidR="002D60B1">
        <w:t>-9718 with the goal to produce a mature revised draft version at its next meeting in March 2017.</w:t>
      </w:r>
    </w:p>
    <w:p w:rsidR="00993AC4" w:rsidRDefault="00993AC4" w:rsidP="008F230F">
      <w:pPr>
        <w:pStyle w:val="ListParagraph"/>
        <w:numPr>
          <w:ilvl w:val="0"/>
          <w:numId w:val="5"/>
        </w:numPr>
      </w:pPr>
      <w:r>
        <w:t>GADSS</w:t>
      </w:r>
      <w:r w:rsidR="005D0735">
        <w:t xml:space="preserve"> (</w:t>
      </w:r>
      <w:r w:rsidR="005D0735" w:rsidRPr="00AC44D7">
        <w:t>global aeronautical distress and safety system</w:t>
      </w:r>
      <w:r w:rsidR="005D0735">
        <w:t>)</w:t>
      </w:r>
      <w:r>
        <w:t xml:space="preserve"> =&gt;</w:t>
      </w:r>
      <w:r w:rsidR="000A6192">
        <w:t xml:space="preserve"> </w:t>
      </w:r>
      <w:r w:rsidR="005D0735">
        <w:t>COSPAS-SARSAT could play a role providing GADDS services</w:t>
      </w:r>
      <w:r w:rsidR="004B647A">
        <w:t xml:space="preserve"> on COSPAS-SARSAT-</w:t>
      </w:r>
      <w:r w:rsidR="00810E09">
        <w:t>channels</w:t>
      </w:r>
      <w:r w:rsidR="004B647A">
        <w:t xml:space="preserve"> (406 MHz</w:t>
      </w:r>
      <w:r w:rsidR="00810E09">
        <w:t xml:space="preserve"> band</w:t>
      </w:r>
      <w:r w:rsidR="004B647A">
        <w:t>).</w:t>
      </w:r>
    </w:p>
    <w:p w:rsidR="00993AC4" w:rsidRDefault="00993AC4" w:rsidP="008F230F">
      <w:pPr>
        <w:pStyle w:val="ListParagraph"/>
        <w:numPr>
          <w:ilvl w:val="0"/>
          <w:numId w:val="5"/>
        </w:numPr>
      </w:pPr>
      <w:r>
        <w:t xml:space="preserve">European Radio Equipment Directive (RED) =&gt; </w:t>
      </w:r>
      <w:r w:rsidR="00810E09">
        <w:t xml:space="preserve">The </w:t>
      </w:r>
      <w:r>
        <w:t xml:space="preserve">European Commission is dedicated to improve spectrum efficiency of many systems. </w:t>
      </w:r>
      <w:r w:rsidR="00810E09">
        <w:t>One of its steps in this direction</w:t>
      </w:r>
      <w:r>
        <w:t xml:space="preserve"> was to </w:t>
      </w:r>
      <w:r>
        <w:lastRenderedPageBreak/>
        <w:t>question the spectrum efficiency of aeronautical radars. A s</w:t>
      </w:r>
      <w:r w:rsidR="00810E09">
        <w:t>imilar initiative may focus on the ground transmitters of A</w:t>
      </w:r>
      <w:r>
        <w:t xml:space="preserve">eronautical Radionavigation </w:t>
      </w:r>
      <w:r w:rsidR="00810E09">
        <w:t>S</w:t>
      </w:r>
      <w:r>
        <w:t>ystems</w:t>
      </w:r>
      <w:r w:rsidR="00810E09">
        <w:t xml:space="preserve"> for which an ETSI-standard may need to be developed in EUROPE</w:t>
      </w:r>
      <w:r>
        <w:t xml:space="preserve">. </w:t>
      </w:r>
    </w:p>
    <w:p w:rsidR="00993AC4" w:rsidRDefault="00993AC4" w:rsidP="008F230F">
      <w:pPr>
        <w:pStyle w:val="ListParagraph"/>
        <w:numPr>
          <w:ilvl w:val="0"/>
          <w:numId w:val="5"/>
        </w:numPr>
      </w:pPr>
      <w:r>
        <w:t xml:space="preserve">Command and control of RPAS via Fixed Satellite Services =&gt; </w:t>
      </w:r>
      <w:r w:rsidR="00AD4950">
        <w:t>ICAO FSMP</w:t>
      </w:r>
      <w:r w:rsidR="00810E09">
        <w:t xml:space="preserve"> cooperates with the RPAS-Panel</w:t>
      </w:r>
      <w:r w:rsidR="00AD4950">
        <w:t>.</w:t>
      </w:r>
      <w:r w:rsidR="00810E09">
        <w:t xml:space="preserve"> A set of basics SARPs for the command and control link via Fixed Satellite services is expected to be developed by the RPAS-Panel in due time for the WRC2019.</w:t>
      </w:r>
    </w:p>
    <w:p w:rsidR="00AD4950" w:rsidRDefault="00AD4950" w:rsidP="008F230F">
      <w:pPr>
        <w:pStyle w:val="ListParagraph"/>
        <w:numPr>
          <w:ilvl w:val="0"/>
          <w:numId w:val="5"/>
        </w:numPr>
      </w:pPr>
      <w:r>
        <w:t>Proposed revision of ITU-R SM.1009 =&gt; A German initiative within ITU to proposed revision of ITU-R SM.1009 in ITU working parties WP1A, WP5B and WP6A</w:t>
      </w:r>
      <w:r w:rsidR="0004681D">
        <w:t xml:space="preserve"> could not convince ITU to initiate work on the proposed revision. </w:t>
      </w:r>
      <w:r w:rsidR="0093732C">
        <w:t>However,</w:t>
      </w:r>
      <w:r w:rsidR="0004681D">
        <w:t xml:space="preserve"> ITU-</w:t>
      </w:r>
      <w:r w:rsidR="00994ACB">
        <w:t xml:space="preserve">WP1A </w:t>
      </w:r>
      <w:r w:rsidR="0004681D">
        <w:t>decided to put the new Ger</w:t>
      </w:r>
      <w:r w:rsidR="0093732C">
        <w:t>man coordination model between A</w:t>
      </w:r>
      <w:r w:rsidR="00727997">
        <w:t>eronautical Radionavigation Systems</w:t>
      </w:r>
      <w:r w:rsidR="0004681D">
        <w:t xml:space="preserve"> and FM-broadcast into a draft report, which is expected to collect country-specific coordination models.</w:t>
      </w:r>
    </w:p>
    <w:p w:rsidR="0017092C" w:rsidRDefault="0004681D" w:rsidP="008F230F">
      <w:pPr>
        <w:pStyle w:val="ListParagraph"/>
        <w:numPr>
          <w:ilvl w:val="0"/>
          <w:numId w:val="5"/>
        </w:numPr>
      </w:pPr>
      <w:r>
        <w:t>Programme Making and Special Events (PMSE) =&gt; A</w:t>
      </w:r>
      <w:r w:rsidR="00810E09">
        <w:t xml:space="preserve"> working paper informed about an</w:t>
      </w:r>
      <w:r>
        <w:t xml:space="preserve"> initiative of the UK to use the band 960 to 1164 MHz for wireless microphones</w:t>
      </w:r>
      <w:r w:rsidR="00810E09">
        <w:t>. Because of the potential impact on aeronautical services in this band this initiative</w:t>
      </w:r>
      <w:r>
        <w:t xml:space="preserve"> was regarded by the ICAO FSMP WG with concerns. UK CAA could in the meant</w:t>
      </w:r>
      <w:r w:rsidR="00810E09">
        <w:t>ime convince the European CEPT W</w:t>
      </w:r>
      <w:r>
        <w:t xml:space="preserve">orking Group FM to study compatibility with aeronautical systems in the band. </w:t>
      </w:r>
    </w:p>
    <w:p w:rsidR="0004681D" w:rsidRDefault="0004681D" w:rsidP="008F230F">
      <w:pPr>
        <w:pStyle w:val="ListParagraph"/>
        <w:numPr>
          <w:ilvl w:val="0"/>
          <w:numId w:val="5"/>
        </w:numPr>
      </w:pPr>
      <w:r>
        <w:t xml:space="preserve">Activities of RTCA SC-228 to standardise </w:t>
      </w:r>
      <w:r w:rsidR="00831428" w:rsidRPr="00AC44D7">
        <w:t xml:space="preserve">unmanned aircraft control </w:t>
      </w:r>
      <w:r w:rsidR="00831428">
        <w:t xml:space="preserve">data </w:t>
      </w:r>
      <w:r w:rsidR="00831428" w:rsidRPr="00AC44D7">
        <w:t>links</w:t>
      </w:r>
      <w:r w:rsidR="00831428">
        <w:t xml:space="preserve"> </w:t>
      </w:r>
      <w:r>
        <w:t>=&gt; Among the standardisation of a data-link in the 5 GHz band</w:t>
      </w:r>
      <w:r w:rsidR="00810E09">
        <w:t>,</w:t>
      </w:r>
      <w:r>
        <w:t xml:space="preserve"> RTCA discusse</w:t>
      </w:r>
      <w:r w:rsidR="00727997">
        <w:t>s</w:t>
      </w:r>
      <w:r>
        <w:t xml:space="preserve"> the use of the band 9</w:t>
      </w:r>
      <w:r w:rsidR="00727997">
        <w:t>60 to 1164 MHz for this purpose.</w:t>
      </w:r>
      <w:r w:rsidR="00870268">
        <w:t xml:space="preserve"> </w:t>
      </w:r>
      <w:r w:rsidR="00727997">
        <w:t>This may also have an impact on Aeronautical Radionavigation Services in the band.</w:t>
      </w:r>
    </w:p>
    <w:p w:rsidR="0017092C" w:rsidRDefault="0017092C" w:rsidP="0017092C"/>
    <w:p w:rsidR="00727997" w:rsidRDefault="00727997" w:rsidP="0017092C"/>
    <w:p w:rsidR="0017092C" w:rsidRPr="0017092C" w:rsidRDefault="0017092C" w:rsidP="0017092C">
      <w:pPr>
        <w:rPr>
          <w:b/>
          <w:highlight w:val="cyan"/>
        </w:rPr>
      </w:pPr>
      <w:r w:rsidRPr="0017092C">
        <w:rPr>
          <w:b/>
          <w:highlight w:val="cyan"/>
        </w:rPr>
        <w:t>WP15</w:t>
      </w:r>
      <w:r>
        <w:rPr>
          <w:b/>
          <w:highlight w:val="cyan"/>
        </w:rPr>
        <w:t>,</w:t>
      </w:r>
      <w:r w:rsidRPr="0017092C">
        <w:rPr>
          <w:b/>
          <w:highlight w:val="cyan"/>
        </w:rPr>
        <w:tab/>
        <w:t>Modifications to ICAO Doc 9718, Vol. I, -proposed by ICAO FSMP WG/3</w:t>
      </w:r>
    </w:p>
    <w:p w:rsidR="0017092C" w:rsidRDefault="0017092C" w:rsidP="0017092C"/>
    <w:p w:rsidR="002D60B1" w:rsidRDefault="00492D87" w:rsidP="00492D87">
      <w:pPr>
        <w:ind w:left="426" w:hanging="426"/>
      </w:pPr>
      <w:r>
        <w:t xml:space="preserve">6f2) </w:t>
      </w:r>
      <w:r w:rsidR="002D60B1">
        <w:t>ICAO FSMP WG/3 is reviewing of ICAO DOC-9718</w:t>
      </w:r>
      <w:r w:rsidR="000813E3">
        <w:t xml:space="preserve"> “</w:t>
      </w:r>
      <w:r w:rsidR="000813E3" w:rsidRPr="000813E3">
        <w:t>Handbook on Radio Frequency Spectrum Requirements for Civil Aviation, Volume I, ICAO spectrum strategy, policy statements and related information”</w:t>
      </w:r>
      <w:r w:rsidR="002D60B1">
        <w:t xml:space="preserve">. The SWG was invited to provide comments on the document in due time before the next meeting of the ICAO FSMP WG, starting </w:t>
      </w:r>
      <w:r w:rsidR="00727997">
        <w:t xml:space="preserve">on </w:t>
      </w:r>
      <w:r w:rsidR="002D60B1">
        <w:t>27</w:t>
      </w:r>
      <w:r w:rsidR="002D60B1" w:rsidRPr="00727997">
        <w:rPr>
          <w:vertAlign w:val="superscript"/>
        </w:rPr>
        <w:t xml:space="preserve">th </w:t>
      </w:r>
      <w:r w:rsidR="002D60B1">
        <w:t xml:space="preserve">of March 2017 to </w:t>
      </w:r>
      <w:r w:rsidR="00727997">
        <w:t xml:space="preserve">the E-mail-address: </w:t>
      </w:r>
      <w:hyperlink r:id="rId12" w:history="1">
        <w:r w:rsidR="002D60B1" w:rsidRPr="00492D87">
          <w:t>Mike.Biggs@FAA.gov</w:t>
        </w:r>
      </w:hyperlink>
      <w:r w:rsidR="002D60B1">
        <w:t>. It was recommended to focus the review on chapters 7, 8.5 and attachment G</w:t>
      </w:r>
      <w:r w:rsidR="000813E3">
        <w:t>.</w:t>
      </w:r>
    </w:p>
    <w:p w:rsidR="00A03811" w:rsidRDefault="00A03811" w:rsidP="00422F52"/>
    <w:p w:rsidR="00492D87" w:rsidRDefault="00492D87" w:rsidP="00492D87">
      <w:r w:rsidRPr="00B17CFF">
        <w:rPr>
          <w:b/>
        </w:rPr>
        <w:t>Action SWG0</w:t>
      </w:r>
      <w:r w:rsidR="00602DCD">
        <w:rPr>
          <w:b/>
        </w:rPr>
        <w:t>3</w:t>
      </w:r>
      <w:r w:rsidRPr="00B17CFF">
        <w:rPr>
          <w:b/>
        </w:rPr>
        <w:t>/</w:t>
      </w:r>
      <w:r w:rsidR="00104F86">
        <w:rPr>
          <w:b/>
        </w:rPr>
        <w:t>02</w:t>
      </w:r>
      <w:r w:rsidRPr="00B17CFF">
        <w:rPr>
          <w:b/>
        </w:rPr>
        <w:t>:</w:t>
      </w:r>
      <w:r>
        <w:t xml:space="preserve"> SWG members to provide comments on </w:t>
      </w:r>
      <w:r w:rsidRPr="00492D87">
        <w:t>Modifications to ICAO Doc 9718, Vol. I,</w:t>
      </w:r>
      <w:r>
        <w:t xml:space="preserve"> contained in NSP/3-WP15 to </w:t>
      </w:r>
      <w:hyperlink r:id="rId13" w:history="1">
        <w:r w:rsidR="00994ACB" w:rsidRPr="00B66C36">
          <w:rPr>
            <w:rStyle w:val="Hyperlink"/>
          </w:rPr>
          <w:t>Michael.Biggs@FAA.gov</w:t>
        </w:r>
      </w:hyperlink>
      <w:r>
        <w:t xml:space="preserve"> </w:t>
      </w:r>
      <w:r w:rsidR="009D3E48">
        <w:t xml:space="preserve">in due time </w:t>
      </w:r>
      <w:r>
        <w:t xml:space="preserve">before the </w:t>
      </w:r>
      <w:r w:rsidR="00FA4032">
        <w:t xml:space="preserve">spring </w:t>
      </w:r>
      <w:r>
        <w:t>meeting of ICAO FSMP WG</w:t>
      </w:r>
      <w:r w:rsidR="00FA4032">
        <w:t>/4 starting at 27</w:t>
      </w:r>
      <w:r w:rsidR="009D3E48" w:rsidRPr="00870268">
        <w:rPr>
          <w:vertAlign w:val="superscript"/>
        </w:rPr>
        <w:t>th</w:t>
      </w:r>
      <w:r w:rsidR="00FA4032">
        <w:t xml:space="preserve"> of March 2017</w:t>
      </w:r>
      <w:r w:rsidR="00727997">
        <w:t>.</w:t>
      </w:r>
    </w:p>
    <w:p w:rsidR="00A03811" w:rsidRDefault="00A03811" w:rsidP="00422F52"/>
    <w:p w:rsidR="00042FE6" w:rsidRDefault="00042FE6" w:rsidP="00422F52"/>
    <w:p w:rsidR="008265DC" w:rsidRDefault="008265DC" w:rsidP="00422F52"/>
    <w:p w:rsidR="008265DC" w:rsidRDefault="008265DC" w:rsidP="00422F52"/>
    <w:p w:rsidR="00042FE6" w:rsidRDefault="00042FE6" w:rsidP="00422F52"/>
    <w:p w:rsidR="00074170" w:rsidRPr="00736E40" w:rsidRDefault="00074170" w:rsidP="00422F52">
      <w:pPr>
        <w:rPr>
          <w:b/>
          <w:bCs/>
        </w:rPr>
      </w:pPr>
      <w:r w:rsidRPr="00736E40">
        <w:rPr>
          <w:b/>
          <w:bCs/>
        </w:rPr>
        <w:t>III</w:t>
      </w:r>
      <w:r w:rsidRPr="00736E40">
        <w:rPr>
          <w:b/>
          <w:bCs/>
        </w:rPr>
        <w:tab/>
        <w:t>Administrative matters</w:t>
      </w:r>
    </w:p>
    <w:p w:rsidR="00074170" w:rsidRPr="00736E40" w:rsidRDefault="00074170" w:rsidP="00422F52"/>
    <w:p w:rsidR="00042FE6" w:rsidRDefault="00074170" w:rsidP="00E30B50">
      <w:r w:rsidRPr="00C2658C">
        <w:t xml:space="preserve">An updated action item list of the SWG can be found as Attachment B of this report. </w:t>
      </w:r>
      <w:r w:rsidRPr="00D674BE">
        <w:t>The next meeting of the Spectrum Working Group is expected to take place in conjunction with the next ICAO NSP</w:t>
      </w:r>
      <w:r w:rsidR="00C2658C" w:rsidRPr="00C2658C">
        <w:t xml:space="preserve"> from 13</w:t>
      </w:r>
      <w:r w:rsidR="00C2658C" w:rsidRPr="00D674BE">
        <w:rPr>
          <w:vertAlign w:val="superscript"/>
        </w:rPr>
        <w:t>th</w:t>
      </w:r>
      <w:r w:rsidR="00C2658C" w:rsidRPr="00C2658C">
        <w:t xml:space="preserve"> to 16</w:t>
      </w:r>
      <w:r w:rsidR="00C2658C" w:rsidRPr="00D674BE">
        <w:rPr>
          <w:vertAlign w:val="superscript"/>
        </w:rPr>
        <w:t>th</w:t>
      </w:r>
      <w:r w:rsidR="00C2658C" w:rsidRPr="00C2658C">
        <w:t xml:space="preserve"> of June 2017</w:t>
      </w:r>
      <w:r w:rsidR="00727997" w:rsidRPr="00C2658C">
        <w:t>.</w:t>
      </w:r>
      <w:r w:rsidR="00A03811">
        <w:t xml:space="preserve"> </w:t>
      </w:r>
    </w:p>
    <w:p w:rsidR="00042FE6" w:rsidRDefault="00042FE6" w:rsidP="00E30B50"/>
    <w:p w:rsidR="00074170" w:rsidRPr="00736E40" w:rsidRDefault="00074170" w:rsidP="00E30B50">
      <w:pPr>
        <w:rPr>
          <w:b/>
          <w:bCs/>
        </w:rPr>
      </w:pPr>
      <w:r w:rsidRPr="00736E40">
        <w:rPr>
          <w:b/>
          <w:bCs/>
        </w:rPr>
        <w:t>ATTACHMENT A: ACTION ITEM LIST</w:t>
      </w:r>
    </w:p>
    <w:p w:rsidR="00074170" w:rsidRPr="00736E40" w:rsidRDefault="00074170" w:rsidP="00E30B50"/>
    <w:tbl>
      <w:tblPr>
        <w:tblW w:w="918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6"/>
        <w:gridCol w:w="3504"/>
        <w:gridCol w:w="1620"/>
        <w:gridCol w:w="2880"/>
      </w:tblGrid>
      <w:tr w:rsidR="00074170" w:rsidRPr="00736E40" w:rsidTr="00261095">
        <w:tc>
          <w:tcPr>
            <w:tcW w:w="1176" w:type="dxa"/>
            <w:gridSpan w:val="2"/>
            <w:tcBorders>
              <w:bottom w:val="nil"/>
            </w:tcBorders>
          </w:tcPr>
          <w:p w:rsidR="00074170" w:rsidRPr="00736E40" w:rsidRDefault="00074170" w:rsidP="00E1743D">
            <w:pPr>
              <w:rPr>
                <w:b/>
                <w:bCs/>
                <w:sz w:val="20"/>
                <w:szCs w:val="20"/>
              </w:rPr>
            </w:pPr>
            <w:r w:rsidRPr="00736E40">
              <w:rPr>
                <w:b/>
                <w:bCs/>
                <w:sz w:val="20"/>
                <w:szCs w:val="20"/>
              </w:rPr>
              <w:t>Action number</w:t>
            </w:r>
          </w:p>
        </w:tc>
        <w:tc>
          <w:tcPr>
            <w:tcW w:w="3504" w:type="dxa"/>
            <w:tcBorders>
              <w:bottom w:val="nil"/>
            </w:tcBorders>
          </w:tcPr>
          <w:p w:rsidR="00074170" w:rsidRPr="00736E40" w:rsidRDefault="00074170" w:rsidP="00E1743D">
            <w:pPr>
              <w:rPr>
                <w:b/>
                <w:bCs/>
                <w:sz w:val="20"/>
                <w:szCs w:val="20"/>
              </w:rPr>
            </w:pPr>
            <w:r w:rsidRPr="00736E40">
              <w:rPr>
                <w:b/>
                <w:bCs/>
                <w:sz w:val="20"/>
                <w:szCs w:val="20"/>
              </w:rPr>
              <w:t>Action</w:t>
            </w:r>
          </w:p>
          <w:p w:rsidR="00074170" w:rsidRPr="00736E40" w:rsidRDefault="00074170" w:rsidP="00E1743D">
            <w:pPr>
              <w:rPr>
                <w:b/>
                <w:bCs/>
                <w:sz w:val="20"/>
                <w:szCs w:val="20"/>
              </w:rPr>
            </w:pPr>
          </w:p>
        </w:tc>
        <w:tc>
          <w:tcPr>
            <w:tcW w:w="1620" w:type="dxa"/>
            <w:tcBorders>
              <w:bottom w:val="nil"/>
            </w:tcBorders>
          </w:tcPr>
          <w:p w:rsidR="00074170" w:rsidRPr="00736E40" w:rsidRDefault="00074170" w:rsidP="00E1743D">
            <w:pPr>
              <w:rPr>
                <w:b/>
                <w:bCs/>
                <w:sz w:val="20"/>
                <w:szCs w:val="20"/>
              </w:rPr>
            </w:pPr>
            <w:r w:rsidRPr="00736E40">
              <w:rPr>
                <w:b/>
                <w:bCs/>
                <w:sz w:val="20"/>
                <w:szCs w:val="20"/>
              </w:rPr>
              <w:t>Actionees</w:t>
            </w:r>
          </w:p>
        </w:tc>
        <w:tc>
          <w:tcPr>
            <w:tcW w:w="2880" w:type="dxa"/>
            <w:tcBorders>
              <w:bottom w:val="nil"/>
            </w:tcBorders>
          </w:tcPr>
          <w:p w:rsidR="00074170" w:rsidRPr="00736E40" w:rsidRDefault="00074170" w:rsidP="00E1743D">
            <w:pPr>
              <w:rPr>
                <w:b/>
                <w:bCs/>
                <w:sz w:val="20"/>
                <w:szCs w:val="20"/>
              </w:rPr>
            </w:pPr>
            <w:r w:rsidRPr="00736E40">
              <w:rPr>
                <w:b/>
                <w:bCs/>
                <w:sz w:val="20"/>
                <w:szCs w:val="20"/>
              </w:rPr>
              <w:t>Status</w:t>
            </w:r>
          </w:p>
        </w:tc>
      </w:tr>
      <w:tr w:rsidR="00074170" w:rsidRPr="00736E40" w:rsidTr="00261095">
        <w:tc>
          <w:tcPr>
            <w:tcW w:w="9180" w:type="dxa"/>
            <w:gridSpan w:val="5"/>
          </w:tcPr>
          <w:p w:rsidR="00074170" w:rsidRPr="00736E40" w:rsidRDefault="00074170" w:rsidP="00E1743D">
            <w:pPr>
              <w:rPr>
                <w:b/>
                <w:bCs/>
                <w:sz w:val="20"/>
                <w:szCs w:val="20"/>
              </w:rPr>
            </w:pPr>
          </w:p>
          <w:p w:rsidR="00074170" w:rsidRPr="00736E40" w:rsidRDefault="00074170" w:rsidP="00E1743D">
            <w:pPr>
              <w:rPr>
                <w:b/>
                <w:bCs/>
                <w:sz w:val="20"/>
                <w:szCs w:val="20"/>
              </w:rPr>
            </w:pPr>
            <w:r w:rsidRPr="00736E40">
              <w:rPr>
                <w:b/>
                <w:bCs/>
                <w:sz w:val="20"/>
                <w:szCs w:val="20"/>
              </w:rPr>
              <w:t>Actions from the Montreal meeting October 2006 (SSG10):</w:t>
            </w:r>
          </w:p>
          <w:p w:rsidR="00074170" w:rsidRPr="00736E40" w:rsidRDefault="00074170" w:rsidP="00E1743D">
            <w:pPr>
              <w:rPr>
                <w:sz w:val="20"/>
                <w:szCs w:val="20"/>
              </w:rPr>
            </w:pPr>
          </w:p>
        </w:tc>
      </w:tr>
      <w:tr w:rsidR="00074170" w:rsidRPr="00736E40" w:rsidTr="00261095">
        <w:tc>
          <w:tcPr>
            <w:tcW w:w="1170" w:type="dxa"/>
          </w:tcPr>
          <w:p w:rsidR="00074170" w:rsidRPr="00736E40" w:rsidRDefault="00074170" w:rsidP="00E1743D">
            <w:pPr>
              <w:rPr>
                <w:sz w:val="20"/>
                <w:szCs w:val="20"/>
              </w:rPr>
            </w:pPr>
            <w:r w:rsidRPr="00736E40">
              <w:rPr>
                <w:sz w:val="20"/>
                <w:szCs w:val="20"/>
              </w:rPr>
              <w:t>SSG10/10</w:t>
            </w:r>
          </w:p>
        </w:tc>
        <w:tc>
          <w:tcPr>
            <w:tcW w:w="3510" w:type="dxa"/>
            <w:gridSpan w:val="2"/>
          </w:tcPr>
          <w:p w:rsidR="00074170" w:rsidRPr="00736E40" w:rsidRDefault="00074170" w:rsidP="00E1743D">
            <w:pPr>
              <w:rPr>
                <w:sz w:val="20"/>
                <w:szCs w:val="20"/>
              </w:rPr>
            </w:pPr>
            <w:r w:rsidRPr="00736E40">
              <w:rPr>
                <w:sz w:val="20"/>
                <w:szCs w:val="20"/>
              </w:rPr>
              <w:t xml:space="preserve">To develop more detailed frequency </w:t>
            </w:r>
            <w:r w:rsidRPr="00736E40">
              <w:rPr>
                <w:sz w:val="20"/>
                <w:szCs w:val="20"/>
              </w:rPr>
              <w:lastRenderedPageBreak/>
              <w:t>coordination criteria between GBAS and VHF-COM as well as GBAS and ILS for publication by ICAO.</w:t>
            </w:r>
          </w:p>
        </w:tc>
        <w:tc>
          <w:tcPr>
            <w:tcW w:w="1620" w:type="dxa"/>
          </w:tcPr>
          <w:p w:rsidR="00074170" w:rsidRPr="00736E40" w:rsidRDefault="00074170" w:rsidP="00E1743D">
            <w:pPr>
              <w:rPr>
                <w:sz w:val="20"/>
                <w:szCs w:val="20"/>
              </w:rPr>
            </w:pPr>
            <w:r w:rsidRPr="00736E40">
              <w:rPr>
                <w:sz w:val="20"/>
                <w:szCs w:val="20"/>
              </w:rPr>
              <w:lastRenderedPageBreak/>
              <w:t>SSG</w:t>
            </w:r>
          </w:p>
        </w:tc>
        <w:tc>
          <w:tcPr>
            <w:tcW w:w="2880" w:type="dxa"/>
          </w:tcPr>
          <w:p w:rsidR="00074170" w:rsidRPr="00736E40" w:rsidRDefault="00074170" w:rsidP="00E1743D">
            <w:pPr>
              <w:rPr>
                <w:sz w:val="20"/>
                <w:szCs w:val="20"/>
              </w:rPr>
            </w:pPr>
            <w:r w:rsidRPr="00736E40">
              <w:rPr>
                <w:sz w:val="20"/>
                <w:szCs w:val="20"/>
              </w:rPr>
              <w:t xml:space="preserve">Ongoing, partly fulfilled by </w:t>
            </w:r>
            <w:r w:rsidRPr="00736E40">
              <w:rPr>
                <w:sz w:val="20"/>
                <w:szCs w:val="20"/>
              </w:rPr>
              <w:lastRenderedPageBreak/>
              <w:t>SSG18/WP16, SSG18/IP08, SSG19/WP9</w:t>
            </w:r>
          </w:p>
          <w:p w:rsidR="00074170" w:rsidRPr="00736E40" w:rsidRDefault="00074170" w:rsidP="00E1743D">
            <w:pPr>
              <w:rPr>
                <w:sz w:val="20"/>
                <w:szCs w:val="20"/>
              </w:rPr>
            </w:pPr>
            <w:r w:rsidRPr="00736E40">
              <w:rPr>
                <w:sz w:val="20"/>
                <w:szCs w:val="20"/>
              </w:rPr>
              <w:t>SSG23/WP6, SSG24/WP04</w:t>
            </w:r>
          </w:p>
        </w:tc>
      </w:tr>
      <w:tr w:rsidR="00074170" w:rsidRPr="00736E40" w:rsidTr="00261095">
        <w:tc>
          <w:tcPr>
            <w:tcW w:w="9180" w:type="dxa"/>
            <w:gridSpan w:val="5"/>
            <w:vAlign w:val="center"/>
          </w:tcPr>
          <w:p w:rsidR="00074170" w:rsidRPr="00736E40" w:rsidRDefault="00074170" w:rsidP="00E1743D">
            <w:pPr>
              <w:rPr>
                <w:b/>
                <w:bCs/>
                <w:sz w:val="20"/>
                <w:szCs w:val="20"/>
              </w:rPr>
            </w:pPr>
          </w:p>
          <w:p w:rsidR="00074170" w:rsidRPr="00736E40" w:rsidRDefault="00074170" w:rsidP="00E1743D">
            <w:pPr>
              <w:rPr>
                <w:b/>
                <w:bCs/>
                <w:sz w:val="20"/>
                <w:szCs w:val="20"/>
              </w:rPr>
            </w:pPr>
            <w:r w:rsidRPr="00736E40">
              <w:rPr>
                <w:b/>
                <w:bCs/>
                <w:sz w:val="20"/>
                <w:szCs w:val="20"/>
              </w:rPr>
              <w:t>Actions from the Montreal meeting May 2010 (SSG16):</w:t>
            </w:r>
          </w:p>
          <w:p w:rsidR="00074170" w:rsidRPr="00736E40" w:rsidRDefault="00074170" w:rsidP="00E1743D">
            <w:pPr>
              <w:rPr>
                <w:sz w:val="20"/>
                <w:szCs w:val="20"/>
              </w:rPr>
            </w:pPr>
          </w:p>
        </w:tc>
      </w:tr>
      <w:tr w:rsidR="00074170" w:rsidRPr="00736E40" w:rsidTr="00261095">
        <w:tc>
          <w:tcPr>
            <w:tcW w:w="1170" w:type="dxa"/>
          </w:tcPr>
          <w:p w:rsidR="00074170" w:rsidRPr="00736E40" w:rsidRDefault="00074170" w:rsidP="00E1743D">
            <w:pPr>
              <w:rPr>
                <w:sz w:val="20"/>
                <w:szCs w:val="20"/>
              </w:rPr>
            </w:pPr>
            <w:r w:rsidRPr="00736E40">
              <w:rPr>
                <w:sz w:val="20"/>
                <w:szCs w:val="20"/>
              </w:rPr>
              <w:t>SSG16/2</w:t>
            </w:r>
          </w:p>
        </w:tc>
        <w:tc>
          <w:tcPr>
            <w:tcW w:w="3510" w:type="dxa"/>
            <w:gridSpan w:val="2"/>
          </w:tcPr>
          <w:p w:rsidR="00074170" w:rsidRPr="00736E40" w:rsidRDefault="00074170" w:rsidP="00E1743D">
            <w:pPr>
              <w:rPr>
                <w:sz w:val="20"/>
                <w:szCs w:val="20"/>
              </w:rPr>
            </w:pPr>
            <w:r w:rsidRPr="00736E40">
              <w:rPr>
                <w:sz w:val="20"/>
                <w:szCs w:val="20"/>
              </w:rPr>
              <w:t>To provide results of the compatibility studies of L-DACS and DME.</w:t>
            </w:r>
          </w:p>
        </w:tc>
        <w:tc>
          <w:tcPr>
            <w:tcW w:w="1620" w:type="dxa"/>
          </w:tcPr>
          <w:p w:rsidR="00074170" w:rsidRPr="00736E40" w:rsidRDefault="00074170" w:rsidP="00E1743D">
            <w:pPr>
              <w:rPr>
                <w:sz w:val="20"/>
                <w:szCs w:val="20"/>
              </w:rPr>
            </w:pPr>
            <w:r w:rsidRPr="00736E40">
              <w:rPr>
                <w:sz w:val="20"/>
                <w:szCs w:val="20"/>
              </w:rPr>
              <w:t>SSG members</w:t>
            </w:r>
          </w:p>
        </w:tc>
        <w:tc>
          <w:tcPr>
            <w:tcW w:w="2880" w:type="dxa"/>
          </w:tcPr>
          <w:p w:rsidR="00074170" w:rsidRPr="00736E40" w:rsidRDefault="00074170" w:rsidP="00E1743D">
            <w:pPr>
              <w:rPr>
                <w:sz w:val="20"/>
                <w:szCs w:val="20"/>
              </w:rPr>
            </w:pPr>
            <w:r w:rsidRPr="00736E40">
              <w:rPr>
                <w:sz w:val="20"/>
                <w:szCs w:val="20"/>
              </w:rPr>
              <w:t>Ongoing, partly fulfilled by SSG17/IP1 and SSG17/IP2,</w:t>
            </w:r>
          </w:p>
          <w:p w:rsidR="00074170" w:rsidRPr="00736E40" w:rsidRDefault="00074170" w:rsidP="00E1743D">
            <w:pPr>
              <w:rPr>
                <w:sz w:val="20"/>
                <w:szCs w:val="20"/>
              </w:rPr>
            </w:pPr>
            <w:r w:rsidRPr="00736E40">
              <w:rPr>
                <w:sz w:val="20"/>
                <w:szCs w:val="20"/>
              </w:rPr>
              <w:t>IP20 of SSG18</w:t>
            </w:r>
            <w:r w:rsidR="00F3781D">
              <w:rPr>
                <w:sz w:val="20"/>
                <w:szCs w:val="20"/>
              </w:rPr>
              <w:t>, SWG3/13</w:t>
            </w:r>
          </w:p>
        </w:tc>
      </w:tr>
      <w:tr w:rsidR="00074170" w:rsidRPr="00736E40" w:rsidTr="00261095">
        <w:tc>
          <w:tcPr>
            <w:tcW w:w="9180" w:type="dxa"/>
            <w:gridSpan w:val="5"/>
          </w:tcPr>
          <w:p w:rsidR="00074170" w:rsidRPr="00736E40" w:rsidRDefault="00074170" w:rsidP="00E1743D">
            <w:pPr>
              <w:rPr>
                <w:sz w:val="20"/>
                <w:szCs w:val="20"/>
                <w:highlight w:val="yellow"/>
              </w:rPr>
            </w:pPr>
          </w:p>
          <w:p w:rsidR="00074170" w:rsidRPr="00736E40" w:rsidRDefault="00074170" w:rsidP="00E1743D">
            <w:pPr>
              <w:rPr>
                <w:b/>
                <w:bCs/>
                <w:sz w:val="20"/>
                <w:szCs w:val="20"/>
              </w:rPr>
            </w:pPr>
            <w:r w:rsidRPr="00736E40">
              <w:rPr>
                <w:b/>
                <w:bCs/>
                <w:sz w:val="20"/>
                <w:szCs w:val="20"/>
              </w:rPr>
              <w:t>Actions from the Montreal meeting May 2012 (SSG19):</w:t>
            </w:r>
          </w:p>
          <w:p w:rsidR="00074170" w:rsidRPr="00736E40" w:rsidRDefault="00074170" w:rsidP="00E1743D">
            <w:pPr>
              <w:rPr>
                <w:sz w:val="20"/>
                <w:szCs w:val="20"/>
                <w:highlight w:val="yellow"/>
              </w:rPr>
            </w:pPr>
          </w:p>
        </w:tc>
      </w:tr>
      <w:tr w:rsidR="00074170" w:rsidRPr="00736E40" w:rsidTr="00261095">
        <w:tc>
          <w:tcPr>
            <w:tcW w:w="1170" w:type="dxa"/>
          </w:tcPr>
          <w:p w:rsidR="00074170" w:rsidRPr="00736E40" w:rsidRDefault="00074170" w:rsidP="00E1743D">
            <w:pPr>
              <w:rPr>
                <w:sz w:val="20"/>
                <w:szCs w:val="20"/>
              </w:rPr>
            </w:pPr>
            <w:r w:rsidRPr="00736E40">
              <w:rPr>
                <w:sz w:val="20"/>
                <w:szCs w:val="20"/>
              </w:rPr>
              <w:t>SSG19/1</w:t>
            </w:r>
          </w:p>
        </w:tc>
        <w:tc>
          <w:tcPr>
            <w:tcW w:w="3510" w:type="dxa"/>
            <w:gridSpan w:val="2"/>
          </w:tcPr>
          <w:p w:rsidR="00074170" w:rsidRPr="00736E40" w:rsidRDefault="00074170" w:rsidP="00E1743D">
            <w:pPr>
              <w:rPr>
                <w:sz w:val="20"/>
                <w:szCs w:val="20"/>
              </w:rPr>
            </w:pPr>
            <w:r w:rsidRPr="00736E40">
              <w:rPr>
                <w:sz w:val="20"/>
                <w:szCs w:val="20"/>
              </w:rPr>
              <w:t>To insert a note into Vol. II of the ICAO RF Handbook, Doc 9718 to make States aware on the potential of interference into GBAS VDB monitor systems.</w:t>
            </w:r>
          </w:p>
        </w:tc>
        <w:tc>
          <w:tcPr>
            <w:tcW w:w="1620" w:type="dxa"/>
          </w:tcPr>
          <w:p w:rsidR="00074170" w:rsidRPr="00736E40" w:rsidRDefault="00074170" w:rsidP="00E1743D">
            <w:pPr>
              <w:rPr>
                <w:sz w:val="20"/>
                <w:szCs w:val="20"/>
              </w:rPr>
            </w:pPr>
            <w:r w:rsidRPr="00736E40">
              <w:rPr>
                <w:sz w:val="20"/>
                <w:szCs w:val="20"/>
              </w:rPr>
              <w:t>SWG rapporteur to propose text to ICAO FSMP</w:t>
            </w:r>
          </w:p>
        </w:tc>
        <w:tc>
          <w:tcPr>
            <w:tcW w:w="2880" w:type="dxa"/>
          </w:tcPr>
          <w:p w:rsidR="00074170" w:rsidRPr="00736E40" w:rsidRDefault="00074170" w:rsidP="00E1743D">
            <w:pPr>
              <w:rPr>
                <w:sz w:val="20"/>
                <w:szCs w:val="20"/>
              </w:rPr>
            </w:pPr>
            <w:r w:rsidRPr="00736E40">
              <w:rPr>
                <w:sz w:val="20"/>
                <w:szCs w:val="20"/>
              </w:rPr>
              <w:t>Open</w:t>
            </w:r>
          </w:p>
        </w:tc>
      </w:tr>
      <w:tr w:rsidR="00074170" w:rsidRPr="00736E40" w:rsidTr="00261095">
        <w:tc>
          <w:tcPr>
            <w:tcW w:w="9180" w:type="dxa"/>
            <w:gridSpan w:val="5"/>
          </w:tcPr>
          <w:p w:rsidR="00074170" w:rsidRPr="00736E40" w:rsidRDefault="00074170" w:rsidP="00E1743D">
            <w:pPr>
              <w:rPr>
                <w:b/>
                <w:bCs/>
                <w:sz w:val="20"/>
                <w:szCs w:val="20"/>
              </w:rPr>
            </w:pPr>
          </w:p>
          <w:p w:rsidR="00074170" w:rsidRPr="00736E40" w:rsidRDefault="00074170" w:rsidP="00E1743D">
            <w:pPr>
              <w:rPr>
                <w:b/>
                <w:bCs/>
                <w:sz w:val="20"/>
                <w:szCs w:val="20"/>
              </w:rPr>
            </w:pPr>
            <w:r w:rsidRPr="00736E40">
              <w:rPr>
                <w:b/>
                <w:bCs/>
                <w:sz w:val="20"/>
                <w:szCs w:val="20"/>
              </w:rPr>
              <w:t>Actions from the Montreal meeting March 2013 (SSG20):</w:t>
            </w:r>
          </w:p>
          <w:p w:rsidR="00074170" w:rsidRPr="00736E40" w:rsidRDefault="00074170" w:rsidP="00E1743D">
            <w:pPr>
              <w:rPr>
                <w:sz w:val="20"/>
                <w:szCs w:val="20"/>
              </w:rPr>
            </w:pPr>
          </w:p>
        </w:tc>
      </w:tr>
      <w:tr w:rsidR="00261095" w:rsidRPr="00736E40" w:rsidTr="00E1743D">
        <w:tc>
          <w:tcPr>
            <w:tcW w:w="1170" w:type="dxa"/>
            <w:shd w:val="clear" w:color="auto" w:fill="FFFFFF"/>
          </w:tcPr>
          <w:p w:rsidR="00074170" w:rsidRPr="00736E40" w:rsidRDefault="00074170" w:rsidP="00E1743D">
            <w:pPr>
              <w:rPr>
                <w:sz w:val="20"/>
                <w:szCs w:val="20"/>
              </w:rPr>
            </w:pPr>
            <w:r w:rsidRPr="00736E40">
              <w:rPr>
                <w:sz w:val="20"/>
                <w:szCs w:val="20"/>
              </w:rPr>
              <w:t>SSG20/04</w:t>
            </w:r>
          </w:p>
        </w:tc>
        <w:tc>
          <w:tcPr>
            <w:tcW w:w="3510" w:type="dxa"/>
            <w:gridSpan w:val="2"/>
            <w:shd w:val="clear" w:color="auto" w:fill="FFFFFF"/>
          </w:tcPr>
          <w:p w:rsidR="00074170" w:rsidRPr="00736E40" w:rsidRDefault="00074170" w:rsidP="00E1743D">
            <w:pPr>
              <w:rPr>
                <w:sz w:val="20"/>
                <w:szCs w:val="20"/>
              </w:rPr>
            </w:pPr>
            <w:r w:rsidRPr="00736E40">
              <w:rPr>
                <w:sz w:val="20"/>
                <w:szCs w:val="20"/>
              </w:rPr>
              <w:t>To analyse DME coverage limitations in the context of DME/DME RNAV use.</w:t>
            </w:r>
          </w:p>
        </w:tc>
        <w:tc>
          <w:tcPr>
            <w:tcW w:w="1620" w:type="dxa"/>
            <w:shd w:val="clear" w:color="auto" w:fill="FFFFFF"/>
          </w:tcPr>
          <w:p w:rsidR="00074170" w:rsidRPr="00736E40" w:rsidRDefault="00074170" w:rsidP="00E1743D">
            <w:pPr>
              <w:rPr>
                <w:sz w:val="20"/>
                <w:szCs w:val="20"/>
              </w:rPr>
            </w:pPr>
            <w:r w:rsidRPr="00736E40">
              <w:rPr>
                <w:sz w:val="20"/>
                <w:szCs w:val="20"/>
              </w:rPr>
              <w:t>EURO-CONTROL</w:t>
            </w:r>
          </w:p>
        </w:tc>
        <w:tc>
          <w:tcPr>
            <w:tcW w:w="2880" w:type="dxa"/>
            <w:shd w:val="clear" w:color="auto" w:fill="FFFFFF"/>
          </w:tcPr>
          <w:p w:rsidR="00074170" w:rsidRPr="00736E40" w:rsidRDefault="0039413C" w:rsidP="00E1743D">
            <w:pPr>
              <w:rPr>
                <w:sz w:val="20"/>
                <w:szCs w:val="20"/>
              </w:rPr>
            </w:pPr>
            <w:r>
              <w:rPr>
                <w:sz w:val="20"/>
                <w:szCs w:val="20"/>
              </w:rPr>
              <w:t xml:space="preserve"> Completed</w:t>
            </w:r>
          </w:p>
        </w:tc>
      </w:tr>
      <w:tr w:rsidR="00074170" w:rsidRPr="00736E40" w:rsidTr="00261095">
        <w:tc>
          <w:tcPr>
            <w:tcW w:w="9180" w:type="dxa"/>
            <w:gridSpan w:val="5"/>
            <w:shd w:val="clear" w:color="auto" w:fill="FFFFFF"/>
          </w:tcPr>
          <w:p w:rsidR="00074170" w:rsidRPr="00736E40" w:rsidRDefault="00074170" w:rsidP="00E1743D">
            <w:pPr>
              <w:rPr>
                <w:b/>
                <w:bCs/>
                <w:sz w:val="20"/>
                <w:szCs w:val="20"/>
              </w:rPr>
            </w:pPr>
          </w:p>
          <w:p w:rsidR="00074170" w:rsidRPr="00736E40" w:rsidRDefault="00074170" w:rsidP="00E1743D">
            <w:pPr>
              <w:rPr>
                <w:b/>
                <w:bCs/>
                <w:sz w:val="20"/>
                <w:szCs w:val="20"/>
              </w:rPr>
            </w:pPr>
            <w:r w:rsidRPr="00736E40">
              <w:rPr>
                <w:b/>
                <w:bCs/>
                <w:sz w:val="20"/>
                <w:szCs w:val="20"/>
              </w:rPr>
              <w:t>Actions from the Montreal meeting November 2013 (SSG21):</w:t>
            </w:r>
          </w:p>
          <w:p w:rsidR="00074170" w:rsidRPr="00736E40" w:rsidRDefault="00074170" w:rsidP="00E1743D">
            <w:pPr>
              <w:rPr>
                <w:sz w:val="20"/>
                <w:szCs w:val="20"/>
              </w:rPr>
            </w:pPr>
          </w:p>
        </w:tc>
      </w:tr>
      <w:tr w:rsidR="00261095" w:rsidRPr="00736E40" w:rsidTr="00E1743D">
        <w:tc>
          <w:tcPr>
            <w:tcW w:w="1170" w:type="dxa"/>
            <w:shd w:val="clear" w:color="auto" w:fill="FFFFFF"/>
          </w:tcPr>
          <w:p w:rsidR="00074170" w:rsidRPr="00736E40" w:rsidRDefault="00074170" w:rsidP="00E1743D">
            <w:pPr>
              <w:rPr>
                <w:sz w:val="20"/>
                <w:szCs w:val="20"/>
              </w:rPr>
            </w:pPr>
            <w:r w:rsidRPr="00736E40">
              <w:rPr>
                <w:sz w:val="20"/>
                <w:szCs w:val="20"/>
              </w:rPr>
              <w:t>SSG21/01</w:t>
            </w:r>
          </w:p>
        </w:tc>
        <w:tc>
          <w:tcPr>
            <w:tcW w:w="3510" w:type="dxa"/>
            <w:gridSpan w:val="2"/>
            <w:shd w:val="clear" w:color="auto" w:fill="FFFFFF"/>
          </w:tcPr>
          <w:p w:rsidR="00074170" w:rsidRPr="00736E40" w:rsidRDefault="00074170" w:rsidP="00E1743D">
            <w:pPr>
              <w:rPr>
                <w:sz w:val="20"/>
                <w:szCs w:val="20"/>
              </w:rPr>
            </w:pPr>
            <w:r w:rsidRPr="00736E40">
              <w:rPr>
                <w:sz w:val="20"/>
                <w:szCs w:val="20"/>
              </w:rPr>
              <w:t>To provide updates of the study of DME/TACAN interference in the E5/L5-band to the SSG.</w:t>
            </w:r>
          </w:p>
        </w:tc>
        <w:tc>
          <w:tcPr>
            <w:tcW w:w="1620" w:type="dxa"/>
            <w:shd w:val="clear" w:color="auto" w:fill="FFFFFF"/>
          </w:tcPr>
          <w:p w:rsidR="00074170" w:rsidRPr="00736E40" w:rsidRDefault="00074170" w:rsidP="00E1743D">
            <w:pPr>
              <w:rPr>
                <w:sz w:val="20"/>
                <w:szCs w:val="20"/>
              </w:rPr>
            </w:pPr>
            <w:r w:rsidRPr="00736E40">
              <w:rPr>
                <w:sz w:val="20"/>
                <w:szCs w:val="20"/>
              </w:rPr>
              <w:t>DLR</w:t>
            </w:r>
          </w:p>
        </w:tc>
        <w:tc>
          <w:tcPr>
            <w:tcW w:w="2880" w:type="dxa"/>
            <w:shd w:val="clear" w:color="auto" w:fill="FFFFFF"/>
          </w:tcPr>
          <w:p w:rsidR="00074170" w:rsidRPr="00736E40" w:rsidRDefault="00591B1D" w:rsidP="00E1743D">
            <w:pPr>
              <w:rPr>
                <w:sz w:val="20"/>
                <w:szCs w:val="20"/>
              </w:rPr>
            </w:pPr>
            <w:r>
              <w:rPr>
                <w:sz w:val="20"/>
                <w:szCs w:val="20"/>
              </w:rPr>
              <w:t xml:space="preserve"> Discarded.</w:t>
            </w:r>
          </w:p>
        </w:tc>
      </w:tr>
      <w:tr w:rsidR="00261095" w:rsidRPr="00736E40" w:rsidTr="00E1743D">
        <w:tc>
          <w:tcPr>
            <w:tcW w:w="1170" w:type="dxa"/>
            <w:shd w:val="clear" w:color="auto" w:fill="FFFFFF"/>
          </w:tcPr>
          <w:p w:rsidR="00074170" w:rsidRPr="00736E40" w:rsidRDefault="00074170" w:rsidP="00E1743D">
            <w:pPr>
              <w:rPr>
                <w:sz w:val="20"/>
                <w:szCs w:val="20"/>
              </w:rPr>
            </w:pPr>
            <w:r w:rsidRPr="00736E40">
              <w:rPr>
                <w:sz w:val="20"/>
                <w:szCs w:val="20"/>
              </w:rPr>
              <w:t>SSG21/02</w:t>
            </w:r>
          </w:p>
        </w:tc>
        <w:tc>
          <w:tcPr>
            <w:tcW w:w="3510" w:type="dxa"/>
            <w:gridSpan w:val="2"/>
            <w:shd w:val="clear" w:color="auto" w:fill="FFFFFF"/>
          </w:tcPr>
          <w:p w:rsidR="00074170" w:rsidRPr="00736E40" w:rsidRDefault="00074170" w:rsidP="00E1743D">
            <w:pPr>
              <w:rPr>
                <w:sz w:val="20"/>
                <w:szCs w:val="20"/>
              </w:rPr>
            </w:pPr>
            <w:r w:rsidRPr="00736E40">
              <w:rPr>
                <w:sz w:val="20"/>
                <w:szCs w:val="20"/>
              </w:rPr>
              <w:t>To provide material deemed useful to completing the tasking of the Job Card on RFI to GNSS</w:t>
            </w:r>
          </w:p>
        </w:tc>
        <w:tc>
          <w:tcPr>
            <w:tcW w:w="1620" w:type="dxa"/>
            <w:shd w:val="clear" w:color="auto" w:fill="FFFFFF"/>
          </w:tcPr>
          <w:p w:rsidR="00074170" w:rsidRPr="00736E40" w:rsidRDefault="00074170" w:rsidP="00E1743D">
            <w:pPr>
              <w:rPr>
                <w:sz w:val="20"/>
                <w:szCs w:val="20"/>
              </w:rPr>
            </w:pPr>
            <w:r w:rsidRPr="00736E40">
              <w:rPr>
                <w:sz w:val="20"/>
                <w:szCs w:val="20"/>
              </w:rPr>
              <w:t>SSG members</w:t>
            </w:r>
          </w:p>
        </w:tc>
        <w:tc>
          <w:tcPr>
            <w:tcW w:w="2880" w:type="dxa"/>
            <w:shd w:val="clear" w:color="auto" w:fill="FFFFFF"/>
          </w:tcPr>
          <w:p w:rsidR="00074170" w:rsidRPr="00736E40" w:rsidRDefault="00074170" w:rsidP="00E1743D">
            <w:pPr>
              <w:rPr>
                <w:sz w:val="20"/>
                <w:szCs w:val="20"/>
              </w:rPr>
            </w:pPr>
            <w:r w:rsidRPr="00736E40">
              <w:rPr>
                <w:sz w:val="20"/>
                <w:szCs w:val="20"/>
              </w:rPr>
              <w:t>Partly fulfilled by SSG22/WP45</w:t>
            </w:r>
          </w:p>
          <w:p w:rsidR="00074170" w:rsidRPr="00736E40" w:rsidRDefault="00074170" w:rsidP="00E1743D">
            <w:pPr>
              <w:rPr>
                <w:sz w:val="20"/>
                <w:szCs w:val="20"/>
              </w:rPr>
            </w:pPr>
            <w:r w:rsidRPr="00736E40">
              <w:rPr>
                <w:sz w:val="20"/>
                <w:szCs w:val="20"/>
              </w:rPr>
              <w:t>Partly fulfilled by</w:t>
            </w:r>
            <w:r>
              <w:rPr>
                <w:sz w:val="20"/>
                <w:szCs w:val="20"/>
              </w:rPr>
              <w:t xml:space="preserve"> </w:t>
            </w:r>
            <w:r w:rsidRPr="00736E40">
              <w:rPr>
                <w:sz w:val="20"/>
                <w:szCs w:val="20"/>
              </w:rPr>
              <w:t>SSG23/WP4</w:t>
            </w:r>
          </w:p>
          <w:p w:rsidR="00074170" w:rsidRPr="00736E40" w:rsidRDefault="00074170" w:rsidP="00E1743D">
            <w:pPr>
              <w:rPr>
                <w:sz w:val="20"/>
                <w:szCs w:val="20"/>
              </w:rPr>
            </w:pPr>
            <w:r w:rsidRPr="00736E40">
              <w:rPr>
                <w:sz w:val="20"/>
                <w:szCs w:val="20"/>
              </w:rPr>
              <w:t>Partly fulfilled by WP36 and IP36 to SWG/1</w:t>
            </w:r>
          </w:p>
          <w:p w:rsidR="00074170" w:rsidRPr="00736E40" w:rsidRDefault="00591B1D" w:rsidP="00E1743D">
            <w:pPr>
              <w:rPr>
                <w:sz w:val="20"/>
                <w:szCs w:val="20"/>
              </w:rPr>
            </w:pPr>
            <w:r>
              <w:rPr>
                <w:sz w:val="20"/>
                <w:szCs w:val="20"/>
              </w:rPr>
              <w:t>Closed by SWG3/WP20</w:t>
            </w:r>
          </w:p>
        </w:tc>
      </w:tr>
      <w:tr w:rsidR="00074170" w:rsidRPr="00736E40" w:rsidTr="00261095">
        <w:tc>
          <w:tcPr>
            <w:tcW w:w="9180" w:type="dxa"/>
            <w:gridSpan w:val="5"/>
            <w:shd w:val="clear" w:color="auto" w:fill="FFFFFF"/>
          </w:tcPr>
          <w:p w:rsidR="00091FE2" w:rsidRDefault="00091FE2" w:rsidP="00E1743D">
            <w:pPr>
              <w:rPr>
                <w:sz w:val="20"/>
                <w:szCs w:val="20"/>
              </w:rPr>
            </w:pPr>
          </w:p>
          <w:p w:rsidR="008265DC" w:rsidRDefault="008265DC" w:rsidP="00E1743D">
            <w:pPr>
              <w:rPr>
                <w:sz w:val="20"/>
                <w:szCs w:val="20"/>
              </w:rPr>
            </w:pPr>
          </w:p>
          <w:p w:rsidR="008265DC" w:rsidRDefault="008265DC" w:rsidP="00E1743D">
            <w:pPr>
              <w:rPr>
                <w:sz w:val="20"/>
                <w:szCs w:val="20"/>
              </w:rPr>
            </w:pPr>
          </w:p>
          <w:p w:rsidR="008265DC" w:rsidRDefault="008265DC" w:rsidP="00E1743D">
            <w:pPr>
              <w:rPr>
                <w:sz w:val="20"/>
                <w:szCs w:val="20"/>
              </w:rPr>
            </w:pPr>
          </w:p>
          <w:p w:rsidR="008265DC" w:rsidRDefault="008265DC" w:rsidP="00E1743D">
            <w:pPr>
              <w:rPr>
                <w:sz w:val="20"/>
                <w:szCs w:val="20"/>
              </w:rPr>
            </w:pPr>
          </w:p>
          <w:p w:rsidR="008265DC" w:rsidRDefault="008265DC" w:rsidP="00E1743D">
            <w:pPr>
              <w:rPr>
                <w:sz w:val="20"/>
                <w:szCs w:val="20"/>
              </w:rPr>
            </w:pPr>
          </w:p>
          <w:p w:rsidR="008265DC" w:rsidRDefault="008265DC" w:rsidP="00E1743D">
            <w:pPr>
              <w:rPr>
                <w:sz w:val="20"/>
                <w:szCs w:val="20"/>
              </w:rPr>
            </w:pPr>
          </w:p>
          <w:p w:rsidR="008265DC" w:rsidRDefault="008265DC" w:rsidP="00E1743D">
            <w:pPr>
              <w:rPr>
                <w:sz w:val="20"/>
                <w:szCs w:val="20"/>
              </w:rPr>
            </w:pPr>
          </w:p>
          <w:p w:rsidR="008265DC" w:rsidRDefault="008265DC" w:rsidP="00E1743D">
            <w:pPr>
              <w:rPr>
                <w:sz w:val="20"/>
                <w:szCs w:val="20"/>
              </w:rPr>
            </w:pPr>
          </w:p>
          <w:p w:rsidR="008265DC" w:rsidRPr="00736E40" w:rsidRDefault="008265DC" w:rsidP="00E1743D">
            <w:pPr>
              <w:rPr>
                <w:sz w:val="20"/>
                <w:szCs w:val="20"/>
              </w:rPr>
            </w:pPr>
          </w:p>
        </w:tc>
      </w:tr>
      <w:tr w:rsidR="00074170" w:rsidRPr="00736E40" w:rsidTr="00261095">
        <w:tc>
          <w:tcPr>
            <w:tcW w:w="9180" w:type="dxa"/>
            <w:gridSpan w:val="5"/>
            <w:shd w:val="clear" w:color="auto" w:fill="FFFFFF"/>
          </w:tcPr>
          <w:p w:rsidR="00074170" w:rsidRPr="00736E40" w:rsidRDefault="00074170" w:rsidP="00E1743D">
            <w:pPr>
              <w:rPr>
                <w:sz w:val="20"/>
                <w:szCs w:val="20"/>
              </w:rPr>
            </w:pPr>
            <w:r w:rsidRPr="00736E40">
              <w:rPr>
                <w:b/>
                <w:bCs/>
                <w:sz w:val="20"/>
                <w:szCs w:val="20"/>
              </w:rPr>
              <w:t>Actions from the Montreal meeting April 2015 (SSG24):</w:t>
            </w:r>
          </w:p>
        </w:tc>
      </w:tr>
      <w:tr w:rsidR="00261095" w:rsidRPr="00736E40" w:rsidTr="00E1743D">
        <w:tc>
          <w:tcPr>
            <w:tcW w:w="1170" w:type="dxa"/>
            <w:shd w:val="clear" w:color="auto" w:fill="FFFFFF"/>
          </w:tcPr>
          <w:p w:rsidR="00074170" w:rsidRPr="00736E40" w:rsidRDefault="00074170" w:rsidP="00E1743D">
            <w:pPr>
              <w:rPr>
                <w:sz w:val="20"/>
              </w:rPr>
            </w:pPr>
            <w:r w:rsidRPr="00736E40">
              <w:rPr>
                <w:sz w:val="20"/>
              </w:rPr>
              <w:t>SSG24/05</w:t>
            </w:r>
          </w:p>
        </w:tc>
        <w:tc>
          <w:tcPr>
            <w:tcW w:w="3510" w:type="dxa"/>
            <w:gridSpan w:val="2"/>
            <w:shd w:val="clear" w:color="auto" w:fill="FFFFFF"/>
          </w:tcPr>
          <w:p w:rsidR="00074170" w:rsidRPr="00736E40" w:rsidRDefault="00074170" w:rsidP="00E1743D">
            <w:pPr>
              <w:rPr>
                <w:sz w:val="20"/>
              </w:rPr>
            </w:pPr>
            <w:r w:rsidRPr="00736E40">
              <w:rPr>
                <w:sz w:val="20"/>
              </w:rPr>
              <w:t>To check the impact of the recent update of the aeronautical propagation model contained in ITU-R P.528-3</w:t>
            </w:r>
          </w:p>
        </w:tc>
        <w:tc>
          <w:tcPr>
            <w:tcW w:w="1620" w:type="dxa"/>
            <w:shd w:val="clear" w:color="auto" w:fill="FFFFFF"/>
          </w:tcPr>
          <w:p w:rsidR="00074170" w:rsidRPr="00736E40" w:rsidRDefault="00074170" w:rsidP="00E1743D">
            <w:pPr>
              <w:rPr>
                <w:sz w:val="20"/>
              </w:rPr>
            </w:pPr>
            <w:r w:rsidRPr="00736E40">
              <w:rPr>
                <w:sz w:val="20"/>
              </w:rPr>
              <w:t>Joachim Wollweber</w:t>
            </w:r>
          </w:p>
        </w:tc>
        <w:tc>
          <w:tcPr>
            <w:tcW w:w="2880" w:type="dxa"/>
            <w:shd w:val="clear" w:color="auto" w:fill="FFFFFF"/>
          </w:tcPr>
          <w:p w:rsidR="00074170" w:rsidRPr="00736E40" w:rsidRDefault="00074170" w:rsidP="00E1743D">
            <w:pPr>
              <w:rPr>
                <w:sz w:val="20"/>
              </w:rPr>
            </w:pPr>
            <w:r w:rsidRPr="00736E40">
              <w:rPr>
                <w:sz w:val="20"/>
              </w:rPr>
              <w:t>Open</w:t>
            </w:r>
          </w:p>
          <w:p w:rsidR="00074170" w:rsidRPr="00736E40" w:rsidRDefault="00074170" w:rsidP="00E1743D">
            <w:pPr>
              <w:rPr>
                <w:sz w:val="20"/>
              </w:rPr>
            </w:pPr>
          </w:p>
        </w:tc>
      </w:tr>
      <w:tr w:rsidR="00261095" w:rsidRPr="00736E40" w:rsidTr="00E1743D">
        <w:tc>
          <w:tcPr>
            <w:tcW w:w="1170" w:type="dxa"/>
            <w:shd w:val="clear" w:color="auto" w:fill="FFFFFF"/>
          </w:tcPr>
          <w:p w:rsidR="00074170" w:rsidRPr="00736E40" w:rsidRDefault="00074170" w:rsidP="00E1743D">
            <w:pPr>
              <w:pStyle w:val="Header"/>
              <w:rPr>
                <w:sz w:val="20"/>
              </w:rPr>
            </w:pPr>
            <w:r w:rsidRPr="00736E40">
              <w:rPr>
                <w:sz w:val="20"/>
              </w:rPr>
              <w:t>SSG24/07</w:t>
            </w:r>
          </w:p>
        </w:tc>
        <w:tc>
          <w:tcPr>
            <w:tcW w:w="3510" w:type="dxa"/>
            <w:gridSpan w:val="2"/>
            <w:shd w:val="clear" w:color="auto" w:fill="FFFFFF"/>
          </w:tcPr>
          <w:p w:rsidR="00074170" w:rsidRPr="00736E40" w:rsidRDefault="00074170" w:rsidP="00AE65FE">
            <w:pPr>
              <w:pStyle w:val="Header"/>
              <w:rPr>
                <w:sz w:val="20"/>
              </w:rPr>
            </w:pPr>
            <w:r w:rsidRPr="00736E40">
              <w:rPr>
                <w:sz w:val="20"/>
              </w:rPr>
              <w:t>To provide proposal on updating of ICAO GNSS Manual with information on ITU documents that define the interference assessment methodology, and assessments results and resulting frequency assignment planning recommendations for the impact of DME/TACAN and JTIDS/MIDS on GPS L5/GALILEO E5.</w:t>
            </w:r>
          </w:p>
        </w:tc>
        <w:tc>
          <w:tcPr>
            <w:tcW w:w="1620" w:type="dxa"/>
            <w:shd w:val="clear" w:color="auto" w:fill="FFFFFF"/>
          </w:tcPr>
          <w:p w:rsidR="00074170" w:rsidRPr="00736E40" w:rsidRDefault="00074170" w:rsidP="00E1743D">
            <w:pPr>
              <w:pStyle w:val="Header"/>
              <w:rPr>
                <w:sz w:val="20"/>
              </w:rPr>
            </w:pPr>
            <w:r w:rsidRPr="00736E40">
              <w:rPr>
                <w:sz w:val="20"/>
              </w:rPr>
              <w:t>G. Berz</w:t>
            </w:r>
          </w:p>
        </w:tc>
        <w:tc>
          <w:tcPr>
            <w:tcW w:w="2880" w:type="dxa"/>
            <w:shd w:val="clear" w:color="auto" w:fill="FFFFFF"/>
          </w:tcPr>
          <w:p w:rsidR="00074170" w:rsidRDefault="00074170" w:rsidP="00E1743D">
            <w:pPr>
              <w:pStyle w:val="Header"/>
              <w:rPr>
                <w:sz w:val="20"/>
              </w:rPr>
            </w:pPr>
            <w:r w:rsidRPr="00736E40">
              <w:rPr>
                <w:sz w:val="20"/>
              </w:rPr>
              <w:t>Partly fulfilled by WG36 to NSP/2.</w:t>
            </w:r>
          </w:p>
          <w:p w:rsidR="00A84CA0" w:rsidRPr="00736E40" w:rsidRDefault="00A84CA0" w:rsidP="00E1743D">
            <w:pPr>
              <w:pStyle w:val="Header"/>
              <w:rPr>
                <w:sz w:val="20"/>
              </w:rPr>
            </w:pPr>
            <w:r>
              <w:rPr>
                <w:sz w:val="20"/>
              </w:rPr>
              <w:t>Closed by SWG3/WP20 rev.1</w:t>
            </w:r>
          </w:p>
        </w:tc>
      </w:tr>
      <w:tr w:rsidR="00261095" w:rsidRPr="00736E40" w:rsidTr="00E1743D">
        <w:tc>
          <w:tcPr>
            <w:tcW w:w="1170" w:type="dxa"/>
            <w:shd w:val="clear" w:color="auto" w:fill="FFFFFF"/>
          </w:tcPr>
          <w:p w:rsidR="00074170" w:rsidRPr="00736E40" w:rsidRDefault="00074170" w:rsidP="00E1743D">
            <w:pPr>
              <w:pStyle w:val="Header"/>
              <w:rPr>
                <w:sz w:val="20"/>
              </w:rPr>
            </w:pPr>
            <w:r w:rsidRPr="00736E40">
              <w:rPr>
                <w:sz w:val="20"/>
              </w:rPr>
              <w:t>SSG24/08</w:t>
            </w:r>
          </w:p>
        </w:tc>
        <w:tc>
          <w:tcPr>
            <w:tcW w:w="3510" w:type="dxa"/>
            <w:gridSpan w:val="2"/>
            <w:shd w:val="clear" w:color="auto" w:fill="FFFFFF"/>
          </w:tcPr>
          <w:p w:rsidR="00074170" w:rsidRPr="00736E40" w:rsidRDefault="00074170" w:rsidP="00E1743D">
            <w:pPr>
              <w:pStyle w:val="Header"/>
              <w:rPr>
                <w:sz w:val="20"/>
              </w:rPr>
            </w:pPr>
            <w:r w:rsidRPr="00736E40">
              <w:rPr>
                <w:sz w:val="20"/>
              </w:rPr>
              <w:t xml:space="preserve">To update the list of reference documents in the ICAO “Electronic bulletin on INTERFERENCE TO </w:t>
            </w:r>
            <w:r w:rsidRPr="00736E40">
              <w:rPr>
                <w:sz w:val="20"/>
              </w:rPr>
              <w:lastRenderedPageBreak/>
              <w:t>GLOBAL NAVIGATION SATELLITE SYSTEM (GNSS) SIGNALS“</w:t>
            </w:r>
          </w:p>
        </w:tc>
        <w:tc>
          <w:tcPr>
            <w:tcW w:w="1620" w:type="dxa"/>
            <w:shd w:val="clear" w:color="auto" w:fill="FFFFFF"/>
          </w:tcPr>
          <w:p w:rsidR="00074170" w:rsidRPr="00736E40" w:rsidRDefault="00074170" w:rsidP="00E1743D">
            <w:pPr>
              <w:pStyle w:val="Header"/>
              <w:rPr>
                <w:sz w:val="20"/>
              </w:rPr>
            </w:pPr>
            <w:r w:rsidRPr="00736E40">
              <w:rPr>
                <w:sz w:val="20"/>
              </w:rPr>
              <w:lastRenderedPageBreak/>
              <w:t>G. Berz</w:t>
            </w:r>
          </w:p>
        </w:tc>
        <w:tc>
          <w:tcPr>
            <w:tcW w:w="2880" w:type="dxa"/>
            <w:shd w:val="clear" w:color="auto" w:fill="FFFFFF"/>
          </w:tcPr>
          <w:p w:rsidR="00074170" w:rsidRPr="00736E40" w:rsidRDefault="00074170" w:rsidP="00E1743D">
            <w:pPr>
              <w:pStyle w:val="Header"/>
              <w:rPr>
                <w:sz w:val="20"/>
              </w:rPr>
            </w:pPr>
            <w:r w:rsidRPr="00736E40">
              <w:rPr>
                <w:sz w:val="20"/>
              </w:rPr>
              <w:t>Open</w:t>
            </w:r>
          </w:p>
        </w:tc>
      </w:tr>
      <w:tr w:rsidR="00261095" w:rsidRPr="00736E40" w:rsidTr="00E1743D">
        <w:tc>
          <w:tcPr>
            <w:tcW w:w="1170" w:type="dxa"/>
            <w:shd w:val="clear" w:color="auto" w:fill="FFFFFF"/>
          </w:tcPr>
          <w:p w:rsidR="00074170" w:rsidRPr="00736E40" w:rsidRDefault="00074170" w:rsidP="00E1743D">
            <w:pPr>
              <w:pStyle w:val="Header"/>
              <w:rPr>
                <w:sz w:val="20"/>
              </w:rPr>
            </w:pPr>
            <w:r w:rsidRPr="00736E40">
              <w:rPr>
                <w:sz w:val="20"/>
              </w:rPr>
              <w:lastRenderedPageBreak/>
              <w:t>SSG24/09</w:t>
            </w:r>
          </w:p>
        </w:tc>
        <w:tc>
          <w:tcPr>
            <w:tcW w:w="3510" w:type="dxa"/>
            <w:gridSpan w:val="2"/>
            <w:shd w:val="clear" w:color="auto" w:fill="FFFFFF"/>
          </w:tcPr>
          <w:p w:rsidR="00074170" w:rsidRPr="00736E40" w:rsidRDefault="00074170" w:rsidP="00E1743D">
            <w:pPr>
              <w:pStyle w:val="Header"/>
              <w:rPr>
                <w:sz w:val="20"/>
              </w:rPr>
            </w:pPr>
            <w:r w:rsidRPr="00736E40">
              <w:rPr>
                <w:sz w:val="20"/>
              </w:rPr>
              <w:t>SSG members to review ICAO DOC 9718, Vol. I in order to propose updates in relation on GNSS RFI, starting from page 7-99</w:t>
            </w:r>
          </w:p>
        </w:tc>
        <w:tc>
          <w:tcPr>
            <w:tcW w:w="1620" w:type="dxa"/>
            <w:shd w:val="clear" w:color="auto" w:fill="FFFFFF"/>
          </w:tcPr>
          <w:p w:rsidR="00074170" w:rsidRPr="00736E40" w:rsidRDefault="00074170" w:rsidP="00E1743D">
            <w:pPr>
              <w:pStyle w:val="Header"/>
              <w:rPr>
                <w:sz w:val="20"/>
              </w:rPr>
            </w:pPr>
            <w:r w:rsidRPr="00736E40">
              <w:rPr>
                <w:sz w:val="20"/>
              </w:rPr>
              <w:t>SSG</w:t>
            </w:r>
          </w:p>
        </w:tc>
        <w:tc>
          <w:tcPr>
            <w:tcW w:w="2880" w:type="dxa"/>
            <w:shd w:val="clear" w:color="auto" w:fill="FFFFFF"/>
          </w:tcPr>
          <w:p w:rsidR="00074170" w:rsidRPr="00736E40" w:rsidRDefault="00A84CA0" w:rsidP="00E1743D">
            <w:pPr>
              <w:pStyle w:val="Header"/>
              <w:rPr>
                <w:sz w:val="20"/>
              </w:rPr>
            </w:pPr>
            <w:r>
              <w:rPr>
                <w:sz w:val="20"/>
              </w:rPr>
              <w:t>Superseded by SWG03/02</w:t>
            </w:r>
          </w:p>
        </w:tc>
      </w:tr>
      <w:tr w:rsidR="00261095" w:rsidRPr="00736E40" w:rsidTr="00E1743D">
        <w:tc>
          <w:tcPr>
            <w:tcW w:w="1170" w:type="dxa"/>
            <w:shd w:val="clear" w:color="auto" w:fill="FFFFFF"/>
          </w:tcPr>
          <w:p w:rsidR="00074170" w:rsidRPr="00736E40" w:rsidRDefault="00074170" w:rsidP="00E1743D">
            <w:pPr>
              <w:pStyle w:val="Header"/>
              <w:rPr>
                <w:sz w:val="20"/>
              </w:rPr>
            </w:pPr>
            <w:r w:rsidRPr="00736E40">
              <w:rPr>
                <w:sz w:val="20"/>
              </w:rPr>
              <w:t>SSG24/10</w:t>
            </w:r>
          </w:p>
        </w:tc>
        <w:tc>
          <w:tcPr>
            <w:tcW w:w="3510" w:type="dxa"/>
            <w:gridSpan w:val="2"/>
            <w:shd w:val="clear" w:color="auto" w:fill="FFFFFF"/>
          </w:tcPr>
          <w:p w:rsidR="00074170" w:rsidRPr="00736E40" w:rsidRDefault="00074170" w:rsidP="00E1743D">
            <w:pPr>
              <w:pStyle w:val="Header"/>
              <w:rPr>
                <w:sz w:val="20"/>
              </w:rPr>
            </w:pPr>
            <w:r w:rsidRPr="00736E40">
              <w:rPr>
                <w:sz w:val="20"/>
              </w:rPr>
              <w:t>To review ICAO DOC 9849 in order to propose updates in relation on GNSS RFI, starting from page G-33.</w:t>
            </w:r>
          </w:p>
        </w:tc>
        <w:tc>
          <w:tcPr>
            <w:tcW w:w="1620" w:type="dxa"/>
            <w:shd w:val="clear" w:color="auto" w:fill="FFFFFF"/>
          </w:tcPr>
          <w:p w:rsidR="00074170" w:rsidRPr="00736E40" w:rsidRDefault="00074170" w:rsidP="00E1743D">
            <w:pPr>
              <w:pStyle w:val="Header"/>
              <w:rPr>
                <w:sz w:val="20"/>
              </w:rPr>
            </w:pPr>
            <w:r w:rsidRPr="00736E40">
              <w:rPr>
                <w:sz w:val="20"/>
              </w:rPr>
              <w:t>SSG</w:t>
            </w:r>
          </w:p>
        </w:tc>
        <w:tc>
          <w:tcPr>
            <w:tcW w:w="2880" w:type="dxa"/>
            <w:shd w:val="clear" w:color="auto" w:fill="FFFFFF"/>
          </w:tcPr>
          <w:p w:rsidR="00074170" w:rsidRDefault="00074170" w:rsidP="00E1743D">
            <w:pPr>
              <w:pStyle w:val="Header"/>
              <w:rPr>
                <w:sz w:val="20"/>
              </w:rPr>
            </w:pPr>
            <w:r w:rsidRPr="00736E40">
              <w:rPr>
                <w:sz w:val="20"/>
              </w:rPr>
              <w:t>Partly fulfilled by WP36 to ICAO NSP/2.</w:t>
            </w:r>
          </w:p>
          <w:p w:rsidR="00074170" w:rsidRDefault="00074170" w:rsidP="00E1743D">
            <w:pPr>
              <w:pStyle w:val="Header"/>
              <w:rPr>
                <w:sz w:val="20"/>
              </w:rPr>
            </w:pPr>
            <w:r w:rsidRPr="00736E40">
              <w:rPr>
                <w:sz w:val="20"/>
              </w:rPr>
              <w:t>Partly</w:t>
            </w:r>
            <w:r>
              <w:rPr>
                <w:sz w:val="20"/>
              </w:rPr>
              <w:t xml:space="preserve"> fulfilled by WP36 to ICAO NSP June 2016</w:t>
            </w:r>
            <w:r w:rsidRPr="00736E40">
              <w:rPr>
                <w:sz w:val="20"/>
              </w:rPr>
              <w:t>.</w:t>
            </w:r>
          </w:p>
          <w:p w:rsidR="00A84CA0" w:rsidRPr="00736E40" w:rsidRDefault="00A84CA0" w:rsidP="00E1743D">
            <w:pPr>
              <w:pStyle w:val="Header"/>
              <w:rPr>
                <w:sz w:val="20"/>
              </w:rPr>
            </w:pPr>
            <w:r>
              <w:rPr>
                <w:sz w:val="20"/>
              </w:rPr>
              <w:t>Completed by SWG03/WP20 rev.1</w:t>
            </w:r>
          </w:p>
        </w:tc>
      </w:tr>
      <w:tr w:rsidR="00074170" w:rsidRPr="00736E40" w:rsidTr="00261095">
        <w:tc>
          <w:tcPr>
            <w:tcW w:w="9180" w:type="dxa"/>
            <w:gridSpan w:val="5"/>
            <w:shd w:val="clear" w:color="auto" w:fill="FFFFFF"/>
          </w:tcPr>
          <w:p w:rsidR="00074170" w:rsidRPr="00736E40" w:rsidRDefault="00074170" w:rsidP="00E1743D">
            <w:pPr>
              <w:pStyle w:val="Header"/>
              <w:rPr>
                <w:sz w:val="20"/>
              </w:rPr>
            </w:pPr>
          </w:p>
          <w:p w:rsidR="00074170" w:rsidRPr="00736E40" w:rsidRDefault="00074170" w:rsidP="00E1743D">
            <w:pPr>
              <w:rPr>
                <w:b/>
                <w:bCs/>
                <w:sz w:val="20"/>
                <w:szCs w:val="20"/>
              </w:rPr>
            </w:pPr>
            <w:r w:rsidRPr="00736E40">
              <w:rPr>
                <w:b/>
                <w:bCs/>
                <w:sz w:val="20"/>
                <w:szCs w:val="20"/>
              </w:rPr>
              <w:t>Actions from the Montreal meeting of SWG December 2015 (SWG1):</w:t>
            </w:r>
          </w:p>
          <w:p w:rsidR="00074170" w:rsidRPr="00736E40" w:rsidRDefault="00074170" w:rsidP="00E1743D">
            <w:pPr>
              <w:pStyle w:val="Header"/>
              <w:rPr>
                <w:sz w:val="20"/>
                <w:highlight w:val="yellow"/>
              </w:rPr>
            </w:pPr>
          </w:p>
        </w:tc>
      </w:tr>
      <w:tr w:rsidR="00261095" w:rsidRPr="00736E40" w:rsidTr="00E1743D">
        <w:tc>
          <w:tcPr>
            <w:tcW w:w="1170" w:type="dxa"/>
            <w:shd w:val="clear" w:color="auto" w:fill="FFFFFF"/>
          </w:tcPr>
          <w:p w:rsidR="00074170" w:rsidRPr="00736E40" w:rsidRDefault="00074170" w:rsidP="00E1743D">
            <w:pPr>
              <w:pStyle w:val="Header"/>
              <w:rPr>
                <w:sz w:val="20"/>
              </w:rPr>
            </w:pPr>
            <w:r w:rsidRPr="00736E40">
              <w:rPr>
                <w:sz w:val="20"/>
              </w:rPr>
              <w:t>SWG01/01</w:t>
            </w:r>
          </w:p>
        </w:tc>
        <w:tc>
          <w:tcPr>
            <w:tcW w:w="3510" w:type="dxa"/>
            <w:gridSpan w:val="2"/>
            <w:shd w:val="clear" w:color="auto" w:fill="FFFFFF"/>
          </w:tcPr>
          <w:p w:rsidR="00074170" w:rsidRPr="00736E40" w:rsidRDefault="00074170" w:rsidP="00E1743D">
            <w:pPr>
              <w:pStyle w:val="Header"/>
              <w:rPr>
                <w:sz w:val="20"/>
              </w:rPr>
            </w:pPr>
            <w:r w:rsidRPr="00736E40">
              <w:rPr>
                <w:sz w:val="20"/>
              </w:rPr>
              <w:t>To check compatibility between ILS Localizers at CDG airport and Le Bourget airport.</w:t>
            </w:r>
          </w:p>
        </w:tc>
        <w:tc>
          <w:tcPr>
            <w:tcW w:w="1620" w:type="dxa"/>
            <w:shd w:val="clear" w:color="auto" w:fill="FFFFFF"/>
          </w:tcPr>
          <w:p w:rsidR="00074170" w:rsidRPr="00736E40" w:rsidRDefault="00074170" w:rsidP="00E1743D">
            <w:pPr>
              <w:pStyle w:val="Header"/>
              <w:rPr>
                <w:sz w:val="20"/>
              </w:rPr>
            </w:pPr>
            <w:r w:rsidRPr="00736E40">
              <w:rPr>
                <w:sz w:val="20"/>
              </w:rPr>
              <w:t>Pierre Ladoux</w:t>
            </w:r>
          </w:p>
        </w:tc>
        <w:tc>
          <w:tcPr>
            <w:tcW w:w="2880" w:type="dxa"/>
            <w:shd w:val="clear" w:color="auto" w:fill="FFFFFF"/>
          </w:tcPr>
          <w:p w:rsidR="00074170" w:rsidRPr="00736E40" w:rsidRDefault="00074170" w:rsidP="00E1743D">
            <w:pPr>
              <w:pStyle w:val="Header"/>
              <w:rPr>
                <w:sz w:val="20"/>
              </w:rPr>
            </w:pPr>
            <w:r w:rsidRPr="00736E40">
              <w:rPr>
                <w:sz w:val="20"/>
              </w:rPr>
              <w:t>Open</w:t>
            </w:r>
          </w:p>
        </w:tc>
      </w:tr>
      <w:tr w:rsidR="00261095" w:rsidRPr="00736E40" w:rsidTr="00E1743D">
        <w:tc>
          <w:tcPr>
            <w:tcW w:w="1170" w:type="dxa"/>
            <w:shd w:val="clear" w:color="auto" w:fill="FFFFFF"/>
          </w:tcPr>
          <w:p w:rsidR="00074170" w:rsidRPr="00736E40" w:rsidRDefault="00074170" w:rsidP="00E1743D">
            <w:pPr>
              <w:pStyle w:val="Header"/>
              <w:rPr>
                <w:sz w:val="20"/>
              </w:rPr>
            </w:pPr>
            <w:r w:rsidRPr="00736E40">
              <w:rPr>
                <w:sz w:val="20"/>
              </w:rPr>
              <w:t>SWG01/02</w:t>
            </w:r>
          </w:p>
        </w:tc>
        <w:tc>
          <w:tcPr>
            <w:tcW w:w="3510" w:type="dxa"/>
            <w:gridSpan w:val="2"/>
            <w:shd w:val="clear" w:color="auto" w:fill="FFFFFF"/>
          </w:tcPr>
          <w:p w:rsidR="00074170" w:rsidRPr="00736E40" w:rsidRDefault="00074170" w:rsidP="00E1743D">
            <w:pPr>
              <w:pStyle w:val="Header"/>
              <w:rPr>
                <w:sz w:val="20"/>
              </w:rPr>
            </w:pPr>
            <w:r w:rsidRPr="00736E40">
              <w:rPr>
                <w:sz w:val="20"/>
              </w:rPr>
              <w:t>To report about progress on standardisation of increase</w:t>
            </w:r>
            <w:r w:rsidR="00962E25">
              <w:rPr>
                <w:sz w:val="20"/>
              </w:rPr>
              <w:t>d</w:t>
            </w:r>
            <w:r w:rsidRPr="00736E40">
              <w:rPr>
                <w:sz w:val="20"/>
              </w:rPr>
              <w:t xml:space="preserve"> robustness and warning capabilities against GNSS RFI and spoofing</w:t>
            </w:r>
          </w:p>
        </w:tc>
        <w:tc>
          <w:tcPr>
            <w:tcW w:w="1620" w:type="dxa"/>
            <w:shd w:val="clear" w:color="auto" w:fill="FFFFFF"/>
          </w:tcPr>
          <w:p w:rsidR="00074170" w:rsidRPr="00736E40" w:rsidRDefault="00074170" w:rsidP="00E1743D">
            <w:pPr>
              <w:pStyle w:val="Header"/>
              <w:rPr>
                <w:sz w:val="20"/>
              </w:rPr>
            </w:pPr>
            <w:r w:rsidRPr="00736E40">
              <w:rPr>
                <w:sz w:val="20"/>
              </w:rPr>
              <w:t>RTCA representative to ICAO NSP</w:t>
            </w:r>
          </w:p>
        </w:tc>
        <w:tc>
          <w:tcPr>
            <w:tcW w:w="2880" w:type="dxa"/>
            <w:shd w:val="clear" w:color="auto" w:fill="FFFFFF"/>
          </w:tcPr>
          <w:p w:rsidR="00074170" w:rsidRPr="00736E40" w:rsidRDefault="00074170" w:rsidP="00E1743D">
            <w:pPr>
              <w:pStyle w:val="Header"/>
              <w:rPr>
                <w:sz w:val="20"/>
              </w:rPr>
            </w:pPr>
            <w:r w:rsidRPr="00736E40">
              <w:rPr>
                <w:sz w:val="20"/>
              </w:rPr>
              <w:t>Open</w:t>
            </w:r>
          </w:p>
        </w:tc>
      </w:tr>
      <w:tr w:rsidR="00261095" w:rsidRPr="00736E40" w:rsidTr="00E1743D">
        <w:tc>
          <w:tcPr>
            <w:tcW w:w="1170" w:type="dxa"/>
            <w:shd w:val="clear" w:color="auto" w:fill="FFFFFF"/>
          </w:tcPr>
          <w:p w:rsidR="00074170" w:rsidRPr="00736E40" w:rsidRDefault="00074170" w:rsidP="00E1743D">
            <w:pPr>
              <w:pStyle w:val="Header"/>
              <w:rPr>
                <w:sz w:val="20"/>
              </w:rPr>
            </w:pPr>
            <w:r w:rsidRPr="00736E40">
              <w:rPr>
                <w:sz w:val="20"/>
              </w:rPr>
              <w:t>SWG01/03</w:t>
            </w:r>
          </w:p>
        </w:tc>
        <w:tc>
          <w:tcPr>
            <w:tcW w:w="3510" w:type="dxa"/>
            <w:gridSpan w:val="2"/>
            <w:shd w:val="clear" w:color="auto" w:fill="FFFFFF"/>
          </w:tcPr>
          <w:p w:rsidR="00074170" w:rsidRPr="00736E40" w:rsidRDefault="00074170" w:rsidP="00E1743D">
            <w:pPr>
              <w:rPr>
                <w:sz w:val="20"/>
              </w:rPr>
            </w:pPr>
            <w:r w:rsidRPr="00736E40">
              <w:rPr>
                <w:sz w:val="20"/>
              </w:rPr>
              <w:t>To check compatibility with Mobile Satellite Service in the band below 1559 MHz.</w:t>
            </w:r>
          </w:p>
        </w:tc>
        <w:tc>
          <w:tcPr>
            <w:tcW w:w="1620" w:type="dxa"/>
            <w:shd w:val="clear" w:color="auto" w:fill="FFFFFF"/>
          </w:tcPr>
          <w:p w:rsidR="00074170" w:rsidRPr="00736E40" w:rsidRDefault="00074170" w:rsidP="00E1743D">
            <w:pPr>
              <w:pStyle w:val="Header"/>
              <w:rPr>
                <w:sz w:val="20"/>
              </w:rPr>
            </w:pPr>
            <w:r w:rsidRPr="00736E40">
              <w:rPr>
                <w:sz w:val="20"/>
              </w:rPr>
              <w:t>Beidou experts</w:t>
            </w:r>
          </w:p>
        </w:tc>
        <w:tc>
          <w:tcPr>
            <w:tcW w:w="2880" w:type="dxa"/>
            <w:shd w:val="clear" w:color="auto" w:fill="FFFFFF"/>
          </w:tcPr>
          <w:p w:rsidR="00074170" w:rsidRPr="00736E40" w:rsidRDefault="00962E25" w:rsidP="00E1743D">
            <w:pPr>
              <w:pStyle w:val="Header"/>
              <w:rPr>
                <w:sz w:val="20"/>
              </w:rPr>
            </w:pPr>
            <w:r>
              <w:rPr>
                <w:sz w:val="20"/>
              </w:rPr>
              <w:t>Closed by SSG3/IP04</w:t>
            </w:r>
          </w:p>
        </w:tc>
      </w:tr>
      <w:tr w:rsidR="00261095" w:rsidRPr="00736E40" w:rsidTr="00E1743D">
        <w:tc>
          <w:tcPr>
            <w:tcW w:w="1170" w:type="dxa"/>
            <w:shd w:val="clear" w:color="auto" w:fill="FFFFFF"/>
          </w:tcPr>
          <w:p w:rsidR="00074170" w:rsidRPr="00736E40" w:rsidRDefault="00074170" w:rsidP="00E1743D">
            <w:pPr>
              <w:pStyle w:val="Header"/>
              <w:rPr>
                <w:sz w:val="20"/>
              </w:rPr>
            </w:pPr>
            <w:r w:rsidRPr="00736E40">
              <w:rPr>
                <w:sz w:val="20"/>
              </w:rPr>
              <w:t>SWG01/07</w:t>
            </w:r>
          </w:p>
        </w:tc>
        <w:tc>
          <w:tcPr>
            <w:tcW w:w="3510" w:type="dxa"/>
            <w:gridSpan w:val="2"/>
            <w:shd w:val="clear" w:color="auto" w:fill="FFFFFF"/>
          </w:tcPr>
          <w:p w:rsidR="00074170" w:rsidRPr="00736E40" w:rsidRDefault="00074170" w:rsidP="00D113A7">
            <w:pPr>
              <w:pStyle w:val="Header"/>
              <w:rPr>
                <w:sz w:val="20"/>
              </w:rPr>
            </w:pPr>
            <w:r w:rsidRPr="00736E40">
              <w:rPr>
                <w:sz w:val="20"/>
              </w:rPr>
              <w:t>To find a way to publish guidance on GNSS RFI reporting to ICAO and States based on SSG output in flimsy8, rev1 and Flimsy 9 rev. 1 of ICAO NSP, October 2014</w:t>
            </w:r>
            <w:r w:rsidR="00D113A7">
              <w:rPr>
                <w:sz w:val="20"/>
              </w:rPr>
              <w:t>.</w:t>
            </w:r>
          </w:p>
        </w:tc>
        <w:tc>
          <w:tcPr>
            <w:tcW w:w="1620" w:type="dxa"/>
            <w:shd w:val="clear" w:color="auto" w:fill="FFFFFF"/>
          </w:tcPr>
          <w:p w:rsidR="00074170" w:rsidRPr="00736E40" w:rsidRDefault="00074170" w:rsidP="00E1743D">
            <w:pPr>
              <w:pStyle w:val="Header"/>
              <w:rPr>
                <w:sz w:val="20"/>
              </w:rPr>
            </w:pPr>
            <w:r w:rsidRPr="00736E40">
              <w:rPr>
                <w:sz w:val="20"/>
              </w:rPr>
              <w:t>ICAO secretary</w:t>
            </w:r>
          </w:p>
        </w:tc>
        <w:tc>
          <w:tcPr>
            <w:tcW w:w="2880" w:type="dxa"/>
            <w:shd w:val="clear" w:color="auto" w:fill="FFFFFF"/>
          </w:tcPr>
          <w:p w:rsidR="00074170" w:rsidRPr="00736E40" w:rsidRDefault="00962E25" w:rsidP="00E1743D">
            <w:pPr>
              <w:pStyle w:val="Header"/>
              <w:rPr>
                <w:sz w:val="20"/>
              </w:rPr>
            </w:pPr>
            <w:r>
              <w:rPr>
                <w:sz w:val="20"/>
              </w:rPr>
              <w:t xml:space="preserve"> Closed by SSG3/WP20, rev.1</w:t>
            </w:r>
          </w:p>
        </w:tc>
      </w:tr>
      <w:tr w:rsidR="00261095" w:rsidRPr="00736E40" w:rsidTr="00E1743D">
        <w:tc>
          <w:tcPr>
            <w:tcW w:w="1170" w:type="dxa"/>
            <w:shd w:val="clear" w:color="auto" w:fill="FFFFFF"/>
          </w:tcPr>
          <w:p w:rsidR="00074170" w:rsidRPr="00736E40" w:rsidRDefault="00074170" w:rsidP="00E1743D">
            <w:pPr>
              <w:pStyle w:val="Header"/>
              <w:rPr>
                <w:sz w:val="20"/>
              </w:rPr>
            </w:pPr>
            <w:r w:rsidRPr="00736E40">
              <w:rPr>
                <w:sz w:val="20"/>
              </w:rPr>
              <w:t>SWG01/08</w:t>
            </w:r>
          </w:p>
        </w:tc>
        <w:tc>
          <w:tcPr>
            <w:tcW w:w="3510" w:type="dxa"/>
            <w:gridSpan w:val="2"/>
            <w:shd w:val="clear" w:color="auto" w:fill="FFFFFF"/>
          </w:tcPr>
          <w:p w:rsidR="00074170" w:rsidRPr="00736E40" w:rsidRDefault="00074170" w:rsidP="00E1743D">
            <w:pPr>
              <w:pStyle w:val="Header"/>
              <w:rPr>
                <w:sz w:val="20"/>
              </w:rPr>
            </w:pPr>
            <w:r w:rsidRPr="00736E40">
              <w:rPr>
                <w:sz w:val="20"/>
              </w:rPr>
              <w:t>To check the impact of the GBAS positioning service (addressed in section 7.2.1.5 of ICAO Annex 10, Vol. I, Appendix D) and the GBAS extended Service Volume on frequency coordination. (Section 3.4.4 of WP9 to NSP/2 provides new information ESV and positioning service and its need for spectrum protection.</w:t>
            </w:r>
          </w:p>
        </w:tc>
        <w:tc>
          <w:tcPr>
            <w:tcW w:w="1620" w:type="dxa"/>
            <w:shd w:val="clear" w:color="auto" w:fill="FFFFFF"/>
          </w:tcPr>
          <w:p w:rsidR="00074170" w:rsidRPr="00736E40" w:rsidRDefault="00074170" w:rsidP="00E1743D">
            <w:pPr>
              <w:pStyle w:val="Header"/>
              <w:rPr>
                <w:sz w:val="20"/>
              </w:rPr>
            </w:pPr>
            <w:r w:rsidRPr="00736E40">
              <w:rPr>
                <w:sz w:val="20"/>
              </w:rPr>
              <w:t>SWG members</w:t>
            </w:r>
          </w:p>
        </w:tc>
        <w:tc>
          <w:tcPr>
            <w:tcW w:w="2880" w:type="dxa"/>
            <w:shd w:val="clear" w:color="auto" w:fill="FFFFFF"/>
          </w:tcPr>
          <w:p w:rsidR="00074170" w:rsidRPr="00736E40" w:rsidRDefault="00074170" w:rsidP="00E1743D">
            <w:pPr>
              <w:pStyle w:val="Header"/>
              <w:rPr>
                <w:sz w:val="20"/>
              </w:rPr>
            </w:pPr>
            <w:r w:rsidRPr="00736E40">
              <w:rPr>
                <w:sz w:val="20"/>
              </w:rPr>
              <w:t>Open</w:t>
            </w:r>
          </w:p>
        </w:tc>
      </w:tr>
      <w:tr w:rsidR="00074170" w:rsidRPr="00736E40" w:rsidTr="00261095">
        <w:tc>
          <w:tcPr>
            <w:tcW w:w="9180" w:type="dxa"/>
            <w:gridSpan w:val="5"/>
            <w:shd w:val="clear" w:color="auto" w:fill="FFFFFF"/>
          </w:tcPr>
          <w:p w:rsidR="00074170" w:rsidRPr="00736E40" w:rsidRDefault="00074170" w:rsidP="00E1743D">
            <w:pPr>
              <w:pStyle w:val="Header"/>
              <w:rPr>
                <w:sz w:val="20"/>
              </w:rPr>
            </w:pPr>
          </w:p>
        </w:tc>
      </w:tr>
      <w:tr w:rsidR="00074170" w:rsidRPr="00736E40" w:rsidTr="00261095">
        <w:tc>
          <w:tcPr>
            <w:tcW w:w="9180" w:type="dxa"/>
            <w:gridSpan w:val="5"/>
            <w:shd w:val="clear" w:color="auto" w:fill="FFFFFF"/>
          </w:tcPr>
          <w:p w:rsidR="00074170" w:rsidRPr="00736E40" w:rsidRDefault="00074170" w:rsidP="00E30B50">
            <w:pPr>
              <w:rPr>
                <w:b/>
                <w:bCs/>
                <w:sz w:val="20"/>
                <w:szCs w:val="20"/>
                <w:highlight w:val="yellow"/>
              </w:rPr>
            </w:pPr>
          </w:p>
          <w:p w:rsidR="00074170" w:rsidRPr="007A64D4" w:rsidRDefault="00074170" w:rsidP="00E30B50">
            <w:pPr>
              <w:rPr>
                <w:b/>
                <w:bCs/>
                <w:sz w:val="20"/>
                <w:szCs w:val="20"/>
              </w:rPr>
            </w:pPr>
            <w:r w:rsidRPr="007A64D4">
              <w:rPr>
                <w:b/>
                <w:bCs/>
                <w:sz w:val="20"/>
                <w:szCs w:val="20"/>
              </w:rPr>
              <w:t>Actions from the Montreal meeting of SWG June 2016 (SWG2):</w:t>
            </w:r>
          </w:p>
          <w:p w:rsidR="00074170" w:rsidRPr="00736E40" w:rsidRDefault="00074170" w:rsidP="00E1743D">
            <w:pPr>
              <w:pStyle w:val="Header"/>
              <w:rPr>
                <w:sz w:val="20"/>
                <w:highlight w:val="yellow"/>
              </w:rPr>
            </w:pPr>
          </w:p>
        </w:tc>
      </w:tr>
      <w:tr w:rsidR="00261095" w:rsidRPr="00736E40" w:rsidTr="00E1743D">
        <w:tc>
          <w:tcPr>
            <w:tcW w:w="1170" w:type="dxa"/>
            <w:shd w:val="clear" w:color="auto" w:fill="FFFFFF"/>
          </w:tcPr>
          <w:p w:rsidR="00074170" w:rsidRPr="007A64D4" w:rsidRDefault="00074170" w:rsidP="00E30B50">
            <w:pPr>
              <w:pStyle w:val="Header"/>
              <w:rPr>
                <w:sz w:val="20"/>
              </w:rPr>
            </w:pPr>
            <w:r w:rsidRPr="007A64D4">
              <w:rPr>
                <w:sz w:val="20"/>
              </w:rPr>
              <w:t>SWG02/01</w:t>
            </w:r>
          </w:p>
        </w:tc>
        <w:tc>
          <w:tcPr>
            <w:tcW w:w="3510" w:type="dxa"/>
            <w:gridSpan w:val="2"/>
            <w:shd w:val="clear" w:color="auto" w:fill="FFFFFF"/>
          </w:tcPr>
          <w:p w:rsidR="00D113A7" w:rsidRPr="007A64D4" w:rsidRDefault="007A64D4" w:rsidP="00042FE6">
            <w:pPr>
              <w:pStyle w:val="Header"/>
              <w:rPr>
                <w:sz w:val="20"/>
              </w:rPr>
            </w:pPr>
            <w:r w:rsidRPr="007A64D4">
              <w:rPr>
                <w:sz w:val="20"/>
              </w:rPr>
              <w:t>Explore, if the software-tool (MANIF) used for the simulations carried out within the SESAR 15.3.7 task 11 project was suitable to carry out compatibility calculations for cases when the compatibility between existing ILS LOC and new GBAS VDB in each-other’s coverage area is analysed (Even an assumed fictitious D/U threshold of -200 dB did not allow successful planning of a new GBAS VDB at airports with existing ILS Localizers).</w:t>
            </w:r>
          </w:p>
        </w:tc>
        <w:tc>
          <w:tcPr>
            <w:tcW w:w="1620" w:type="dxa"/>
            <w:shd w:val="clear" w:color="auto" w:fill="FFFFFF"/>
          </w:tcPr>
          <w:p w:rsidR="00074170" w:rsidRPr="007A64D4" w:rsidRDefault="007A64D4" w:rsidP="00E1743D">
            <w:pPr>
              <w:pStyle w:val="Header"/>
              <w:rPr>
                <w:sz w:val="20"/>
              </w:rPr>
            </w:pPr>
            <w:r w:rsidRPr="007A64D4">
              <w:rPr>
                <w:sz w:val="20"/>
              </w:rPr>
              <w:t>Pierre Ladoux</w:t>
            </w:r>
          </w:p>
        </w:tc>
        <w:tc>
          <w:tcPr>
            <w:tcW w:w="2880" w:type="dxa"/>
            <w:shd w:val="clear" w:color="auto" w:fill="FFFFFF"/>
          </w:tcPr>
          <w:p w:rsidR="00074170" w:rsidRPr="007A64D4" w:rsidRDefault="006C7F68" w:rsidP="00E1743D">
            <w:pPr>
              <w:pStyle w:val="Header"/>
              <w:rPr>
                <w:sz w:val="20"/>
              </w:rPr>
            </w:pPr>
            <w:r>
              <w:rPr>
                <w:sz w:val="20"/>
              </w:rPr>
              <w:t xml:space="preserve"> Closed</w:t>
            </w:r>
          </w:p>
        </w:tc>
      </w:tr>
      <w:tr w:rsidR="00261095" w:rsidRPr="00736E40" w:rsidTr="00E1743D">
        <w:tc>
          <w:tcPr>
            <w:tcW w:w="1170" w:type="dxa"/>
            <w:shd w:val="clear" w:color="auto" w:fill="FFFFFF"/>
          </w:tcPr>
          <w:p w:rsidR="00074170" w:rsidRPr="007A64D4" w:rsidRDefault="00074170" w:rsidP="00E30B50">
            <w:pPr>
              <w:pStyle w:val="Header"/>
              <w:rPr>
                <w:sz w:val="20"/>
              </w:rPr>
            </w:pPr>
            <w:r w:rsidRPr="007A64D4">
              <w:rPr>
                <w:sz w:val="20"/>
              </w:rPr>
              <w:t>SWG02/02</w:t>
            </w:r>
          </w:p>
        </w:tc>
        <w:tc>
          <w:tcPr>
            <w:tcW w:w="3510" w:type="dxa"/>
            <w:gridSpan w:val="2"/>
            <w:shd w:val="clear" w:color="auto" w:fill="FFFFFF"/>
          </w:tcPr>
          <w:p w:rsidR="00074170" w:rsidRPr="007A64D4" w:rsidRDefault="007A64D4" w:rsidP="00870268">
            <w:pPr>
              <w:pStyle w:val="Header"/>
              <w:rPr>
                <w:sz w:val="20"/>
              </w:rPr>
            </w:pPr>
            <w:r w:rsidRPr="007A64D4">
              <w:rPr>
                <w:sz w:val="20"/>
              </w:rPr>
              <w:t>Develop guidance for local frequency planning i.e. ensuring compatibility between N</w:t>
            </w:r>
            <w:r w:rsidR="00870268">
              <w:rPr>
                <w:sz w:val="20"/>
              </w:rPr>
              <w:t>av</w:t>
            </w:r>
            <w:r w:rsidRPr="007A64D4">
              <w:rPr>
                <w:sz w:val="20"/>
              </w:rPr>
              <w:t>-aids and VHF-COM-</w:t>
            </w:r>
            <w:r w:rsidRPr="007A64D4">
              <w:rPr>
                <w:sz w:val="20"/>
              </w:rPr>
              <w:lastRenderedPageBreak/>
              <w:t>systems at the same airport (e.g. between existing ILS Localizers and a new GBAS VDB, between existing VORs and a new GBAS VDB, between existing VHF-COM and a new GBAS VDB)</w:t>
            </w:r>
            <w:r>
              <w:rPr>
                <w:sz w:val="20"/>
              </w:rPr>
              <w:t>.</w:t>
            </w:r>
          </w:p>
        </w:tc>
        <w:tc>
          <w:tcPr>
            <w:tcW w:w="1620" w:type="dxa"/>
            <w:shd w:val="clear" w:color="auto" w:fill="FFFFFF"/>
          </w:tcPr>
          <w:p w:rsidR="00074170" w:rsidRPr="007A64D4" w:rsidRDefault="007A64D4" w:rsidP="007A64D4">
            <w:pPr>
              <w:pStyle w:val="Header"/>
              <w:rPr>
                <w:sz w:val="20"/>
              </w:rPr>
            </w:pPr>
            <w:r w:rsidRPr="007A64D4">
              <w:rPr>
                <w:sz w:val="20"/>
              </w:rPr>
              <w:lastRenderedPageBreak/>
              <w:t>SWG members</w:t>
            </w:r>
          </w:p>
        </w:tc>
        <w:tc>
          <w:tcPr>
            <w:tcW w:w="2880" w:type="dxa"/>
            <w:shd w:val="clear" w:color="auto" w:fill="FFFFFF"/>
          </w:tcPr>
          <w:p w:rsidR="006C7F68" w:rsidRDefault="00302476" w:rsidP="00E1743D">
            <w:pPr>
              <w:pStyle w:val="Header"/>
              <w:rPr>
                <w:sz w:val="20"/>
              </w:rPr>
            </w:pPr>
            <w:r>
              <w:rPr>
                <w:sz w:val="20"/>
              </w:rPr>
              <w:t>Partly fulfilled by SWG3/flimsy 9, rev.1.</w:t>
            </w:r>
          </w:p>
          <w:p w:rsidR="00074170" w:rsidRPr="007A64D4" w:rsidRDefault="007A64D4" w:rsidP="00E1743D">
            <w:pPr>
              <w:pStyle w:val="Header"/>
              <w:rPr>
                <w:sz w:val="20"/>
              </w:rPr>
            </w:pPr>
            <w:r w:rsidRPr="007A64D4">
              <w:rPr>
                <w:sz w:val="20"/>
              </w:rPr>
              <w:t>Open</w:t>
            </w:r>
          </w:p>
        </w:tc>
      </w:tr>
      <w:tr w:rsidR="00261095" w:rsidRPr="00736E40" w:rsidTr="00E1743D">
        <w:tc>
          <w:tcPr>
            <w:tcW w:w="1170" w:type="dxa"/>
            <w:shd w:val="clear" w:color="auto" w:fill="FFFFFF"/>
          </w:tcPr>
          <w:p w:rsidR="00074170" w:rsidRPr="007A64D4" w:rsidRDefault="00074170" w:rsidP="00E30B50">
            <w:pPr>
              <w:pStyle w:val="Header"/>
              <w:rPr>
                <w:sz w:val="20"/>
              </w:rPr>
            </w:pPr>
            <w:r w:rsidRPr="007A64D4">
              <w:rPr>
                <w:sz w:val="20"/>
              </w:rPr>
              <w:lastRenderedPageBreak/>
              <w:t>SWG02/03</w:t>
            </w:r>
          </w:p>
        </w:tc>
        <w:tc>
          <w:tcPr>
            <w:tcW w:w="3510" w:type="dxa"/>
            <w:gridSpan w:val="2"/>
            <w:shd w:val="clear" w:color="auto" w:fill="FFFFFF"/>
          </w:tcPr>
          <w:p w:rsidR="00074170" w:rsidRPr="007A64D4" w:rsidRDefault="007A64D4">
            <w:pPr>
              <w:pStyle w:val="Header"/>
              <w:rPr>
                <w:sz w:val="20"/>
              </w:rPr>
            </w:pPr>
            <w:r w:rsidRPr="007A64D4">
              <w:rPr>
                <w:sz w:val="20"/>
              </w:rPr>
              <w:t>To explore, what future frequency coordination rules taking into account real signal strength of the desired signal, (i.e. to further proceed with the work described in WP17 of ICAO NSP Dec. 2015) would be needed to allow deployment of a GBAS VDB at an airport with existing ILS (Worst-case is probably overflying an ILS LOC at the opposite runway-end)</w:t>
            </w:r>
          </w:p>
        </w:tc>
        <w:tc>
          <w:tcPr>
            <w:tcW w:w="1620" w:type="dxa"/>
            <w:shd w:val="clear" w:color="auto" w:fill="FFFFFF"/>
          </w:tcPr>
          <w:p w:rsidR="00074170" w:rsidRPr="007A64D4" w:rsidRDefault="007A64D4" w:rsidP="007A64D4">
            <w:pPr>
              <w:pStyle w:val="Header"/>
              <w:rPr>
                <w:sz w:val="20"/>
              </w:rPr>
            </w:pPr>
            <w:r w:rsidRPr="007A64D4">
              <w:rPr>
                <w:sz w:val="20"/>
              </w:rPr>
              <w:t>SWG members</w:t>
            </w:r>
            <w:r w:rsidRPr="007A64D4">
              <w:rPr>
                <w:sz w:val="20"/>
              </w:rPr>
              <w:tab/>
            </w:r>
          </w:p>
        </w:tc>
        <w:tc>
          <w:tcPr>
            <w:tcW w:w="2880" w:type="dxa"/>
            <w:shd w:val="clear" w:color="auto" w:fill="FFFFFF"/>
          </w:tcPr>
          <w:p w:rsidR="00302476" w:rsidRDefault="00302476" w:rsidP="00302476">
            <w:pPr>
              <w:pStyle w:val="Header"/>
              <w:rPr>
                <w:sz w:val="20"/>
              </w:rPr>
            </w:pPr>
            <w:r>
              <w:rPr>
                <w:sz w:val="20"/>
              </w:rPr>
              <w:t>Partly fulfilled by SWG3/flimsy 9, rev.1.</w:t>
            </w:r>
          </w:p>
          <w:p w:rsidR="00074170" w:rsidRPr="007A64D4" w:rsidRDefault="007A64D4" w:rsidP="00E1743D">
            <w:pPr>
              <w:pStyle w:val="Header"/>
              <w:rPr>
                <w:sz w:val="20"/>
              </w:rPr>
            </w:pPr>
            <w:r w:rsidRPr="007A64D4">
              <w:rPr>
                <w:sz w:val="20"/>
              </w:rPr>
              <w:t>Open</w:t>
            </w:r>
          </w:p>
        </w:tc>
      </w:tr>
      <w:tr w:rsidR="007A64D4" w:rsidRPr="00736E40" w:rsidTr="00E1743D">
        <w:tc>
          <w:tcPr>
            <w:tcW w:w="1170" w:type="dxa"/>
            <w:shd w:val="clear" w:color="auto" w:fill="FFFFFF"/>
          </w:tcPr>
          <w:p w:rsidR="007A64D4" w:rsidRPr="007A64D4" w:rsidRDefault="007A64D4" w:rsidP="007A64D4">
            <w:pPr>
              <w:pStyle w:val="Header"/>
              <w:rPr>
                <w:sz w:val="20"/>
              </w:rPr>
            </w:pPr>
            <w:r w:rsidRPr="007A64D4">
              <w:rPr>
                <w:sz w:val="20"/>
              </w:rPr>
              <w:t>SWG02/04</w:t>
            </w:r>
          </w:p>
        </w:tc>
        <w:tc>
          <w:tcPr>
            <w:tcW w:w="3510" w:type="dxa"/>
            <w:gridSpan w:val="2"/>
            <w:shd w:val="clear" w:color="auto" w:fill="FFFFFF"/>
          </w:tcPr>
          <w:p w:rsidR="007A64D4" w:rsidRPr="007A64D4" w:rsidRDefault="007A64D4" w:rsidP="007A64D4">
            <w:pPr>
              <w:pStyle w:val="Header"/>
              <w:rPr>
                <w:sz w:val="20"/>
              </w:rPr>
            </w:pPr>
            <w:r w:rsidRPr="007A64D4">
              <w:rPr>
                <w:sz w:val="20"/>
              </w:rPr>
              <w:t>To explore why for ILS current frequency planning rules do not impose frequency selection restrictions at high adjacent channel numbers, although the adjacent channel suppression contained in ICAO Annex 10 Vol. I, att. C section 2.6 does specify a limited adjacent channel suppression (D/U=-46 dB at an offset of 100 kHz, -50 dB at 150 kHz and above)</w:t>
            </w:r>
            <w:r>
              <w:rPr>
                <w:sz w:val="20"/>
              </w:rPr>
              <w:t>.</w:t>
            </w:r>
          </w:p>
        </w:tc>
        <w:tc>
          <w:tcPr>
            <w:tcW w:w="1620" w:type="dxa"/>
            <w:shd w:val="clear" w:color="auto" w:fill="FFFFFF"/>
          </w:tcPr>
          <w:p w:rsidR="007A64D4" w:rsidRPr="007A64D4" w:rsidRDefault="007A64D4" w:rsidP="007A64D4">
            <w:pPr>
              <w:pStyle w:val="Header"/>
              <w:rPr>
                <w:sz w:val="20"/>
              </w:rPr>
            </w:pPr>
            <w:r w:rsidRPr="007A64D4">
              <w:rPr>
                <w:sz w:val="20"/>
              </w:rPr>
              <w:t>SWG members</w:t>
            </w:r>
          </w:p>
        </w:tc>
        <w:tc>
          <w:tcPr>
            <w:tcW w:w="2880" w:type="dxa"/>
            <w:shd w:val="clear" w:color="auto" w:fill="FFFFFF"/>
          </w:tcPr>
          <w:p w:rsidR="007A64D4" w:rsidRPr="007A64D4" w:rsidRDefault="007A64D4" w:rsidP="007A64D4">
            <w:pPr>
              <w:pStyle w:val="Header"/>
              <w:rPr>
                <w:sz w:val="20"/>
              </w:rPr>
            </w:pPr>
            <w:r w:rsidRPr="007A64D4">
              <w:rPr>
                <w:sz w:val="20"/>
              </w:rPr>
              <w:t>Open</w:t>
            </w:r>
          </w:p>
        </w:tc>
      </w:tr>
      <w:tr w:rsidR="007A64D4" w:rsidRPr="00736E40" w:rsidTr="00E1743D">
        <w:tc>
          <w:tcPr>
            <w:tcW w:w="1170" w:type="dxa"/>
            <w:shd w:val="clear" w:color="auto" w:fill="FFFFFF"/>
          </w:tcPr>
          <w:p w:rsidR="007A64D4" w:rsidRPr="007A64D4" w:rsidRDefault="007A64D4" w:rsidP="007A64D4">
            <w:pPr>
              <w:pStyle w:val="Header"/>
              <w:rPr>
                <w:sz w:val="20"/>
              </w:rPr>
            </w:pPr>
            <w:r w:rsidRPr="007A64D4">
              <w:rPr>
                <w:sz w:val="20"/>
              </w:rPr>
              <w:t>SWG02/05</w:t>
            </w:r>
          </w:p>
        </w:tc>
        <w:tc>
          <w:tcPr>
            <w:tcW w:w="3510" w:type="dxa"/>
            <w:gridSpan w:val="2"/>
            <w:shd w:val="clear" w:color="auto" w:fill="FFFFFF"/>
          </w:tcPr>
          <w:p w:rsidR="007A64D4" w:rsidRDefault="007A64D4" w:rsidP="007A64D4">
            <w:pPr>
              <w:pStyle w:val="Header"/>
              <w:rPr>
                <w:sz w:val="20"/>
              </w:rPr>
            </w:pPr>
            <w:r w:rsidRPr="007A64D4">
              <w:rPr>
                <w:sz w:val="20"/>
              </w:rPr>
              <w:t>To evaluate whether the spurious emission limit from ITU-R M.329 leading to a D/U= -65 dB (applicable for ILS and VOR) is appropriate for frequency coordination – or whether a more realistic spurious emission suppression could be assumed. (For GBAS VDB the spurious emission limit is specified in ICAO Annex 10 and RTCA DO-246).</w:t>
            </w:r>
          </w:p>
          <w:p w:rsidR="00042FE6" w:rsidRDefault="00042FE6" w:rsidP="007A64D4">
            <w:pPr>
              <w:pStyle w:val="Header"/>
              <w:rPr>
                <w:sz w:val="20"/>
              </w:rPr>
            </w:pPr>
          </w:p>
          <w:p w:rsidR="00042FE6" w:rsidRDefault="00042FE6" w:rsidP="007A64D4">
            <w:pPr>
              <w:pStyle w:val="Header"/>
              <w:rPr>
                <w:sz w:val="20"/>
              </w:rPr>
            </w:pPr>
          </w:p>
          <w:p w:rsidR="00042FE6" w:rsidRPr="007A64D4" w:rsidRDefault="00042FE6" w:rsidP="007A64D4">
            <w:pPr>
              <w:pStyle w:val="Header"/>
              <w:rPr>
                <w:sz w:val="20"/>
              </w:rPr>
            </w:pPr>
          </w:p>
        </w:tc>
        <w:tc>
          <w:tcPr>
            <w:tcW w:w="1620" w:type="dxa"/>
            <w:shd w:val="clear" w:color="auto" w:fill="FFFFFF"/>
          </w:tcPr>
          <w:p w:rsidR="007A64D4" w:rsidRPr="007A64D4" w:rsidRDefault="007A64D4" w:rsidP="007A64D4">
            <w:pPr>
              <w:pStyle w:val="Header"/>
              <w:rPr>
                <w:sz w:val="20"/>
              </w:rPr>
            </w:pPr>
            <w:r w:rsidRPr="007A64D4">
              <w:rPr>
                <w:sz w:val="20"/>
              </w:rPr>
              <w:t>SWG members</w:t>
            </w:r>
          </w:p>
        </w:tc>
        <w:tc>
          <w:tcPr>
            <w:tcW w:w="2880" w:type="dxa"/>
            <w:shd w:val="clear" w:color="auto" w:fill="FFFFFF"/>
          </w:tcPr>
          <w:p w:rsidR="007A64D4" w:rsidRPr="007A64D4" w:rsidRDefault="007A64D4" w:rsidP="007A64D4">
            <w:pPr>
              <w:pStyle w:val="Header"/>
              <w:rPr>
                <w:sz w:val="20"/>
              </w:rPr>
            </w:pPr>
            <w:r w:rsidRPr="007A64D4">
              <w:rPr>
                <w:sz w:val="20"/>
              </w:rPr>
              <w:t>Open</w:t>
            </w:r>
          </w:p>
        </w:tc>
      </w:tr>
      <w:tr w:rsidR="007A64D4" w:rsidRPr="00736E40" w:rsidTr="00E1743D">
        <w:tc>
          <w:tcPr>
            <w:tcW w:w="1170" w:type="dxa"/>
            <w:shd w:val="clear" w:color="auto" w:fill="FFFFFF"/>
          </w:tcPr>
          <w:p w:rsidR="007A64D4" w:rsidRPr="007A64D4" w:rsidRDefault="007A64D4" w:rsidP="007A64D4">
            <w:pPr>
              <w:pStyle w:val="Header"/>
              <w:rPr>
                <w:sz w:val="20"/>
              </w:rPr>
            </w:pPr>
            <w:r w:rsidRPr="007A64D4">
              <w:rPr>
                <w:sz w:val="20"/>
              </w:rPr>
              <w:t>SWG02/06</w:t>
            </w:r>
          </w:p>
        </w:tc>
        <w:tc>
          <w:tcPr>
            <w:tcW w:w="3510" w:type="dxa"/>
            <w:gridSpan w:val="2"/>
            <w:shd w:val="clear" w:color="auto" w:fill="FFFFFF"/>
          </w:tcPr>
          <w:p w:rsidR="007A64D4" w:rsidRPr="007A64D4" w:rsidRDefault="007A64D4" w:rsidP="007A64D4">
            <w:pPr>
              <w:pStyle w:val="Header"/>
              <w:rPr>
                <w:sz w:val="20"/>
              </w:rPr>
            </w:pPr>
            <w:r w:rsidRPr="007A64D4">
              <w:rPr>
                <w:sz w:val="20"/>
              </w:rPr>
              <w:t xml:space="preserve">To explore the possibility of compatibility calculations by existing software-tools for cases, when the compatibility between two Nav-aids in each-other’s coverage area need to be </w:t>
            </w:r>
            <w:r w:rsidR="00C262F2">
              <w:rPr>
                <w:sz w:val="20"/>
              </w:rPr>
              <w:t>analysed.</w:t>
            </w:r>
          </w:p>
        </w:tc>
        <w:tc>
          <w:tcPr>
            <w:tcW w:w="1620" w:type="dxa"/>
            <w:shd w:val="clear" w:color="auto" w:fill="FFFFFF"/>
          </w:tcPr>
          <w:p w:rsidR="007A64D4" w:rsidRPr="007A64D4" w:rsidRDefault="007A64D4" w:rsidP="007A64D4">
            <w:pPr>
              <w:pStyle w:val="Header"/>
              <w:rPr>
                <w:sz w:val="20"/>
              </w:rPr>
            </w:pPr>
            <w:r w:rsidRPr="007A64D4">
              <w:rPr>
                <w:sz w:val="20"/>
              </w:rPr>
              <w:t>Mike Biggs and SWG members</w:t>
            </w:r>
          </w:p>
        </w:tc>
        <w:tc>
          <w:tcPr>
            <w:tcW w:w="2880" w:type="dxa"/>
            <w:shd w:val="clear" w:color="auto" w:fill="FFFFFF"/>
          </w:tcPr>
          <w:p w:rsidR="007A64D4" w:rsidRPr="007A64D4" w:rsidRDefault="007A64D4" w:rsidP="007A64D4">
            <w:pPr>
              <w:pStyle w:val="Header"/>
              <w:rPr>
                <w:sz w:val="20"/>
              </w:rPr>
            </w:pPr>
            <w:r w:rsidRPr="007A64D4">
              <w:rPr>
                <w:sz w:val="20"/>
              </w:rPr>
              <w:t>Open</w:t>
            </w:r>
          </w:p>
        </w:tc>
      </w:tr>
      <w:tr w:rsidR="007A64D4" w:rsidRPr="00736E40" w:rsidTr="00E1743D">
        <w:tc>
          <w:tcPr>
            <w:tcW w:w="1170" w:type="dxa"/>
            <w:shd w:val="clear" w:color="auto" w:fill="FFFFFF"/>
          </w:tcPr>
          <w:p w:rsidR="007A64D4" w:rsidRPr="007A64D4" w:rsidRDefault="007A64D4" w:rsidP="007A64D4">
            <w:pPr>
              <w:pStyle w:val="Header"/>
              <w:rPr>
                <w:sz w:val="20"/>
              </w:rPr>
            </w:pPr>
            <w:r w:rsidRPr="007A64D4">
              <w:rPr>
                <w:sz w:val="20"/>
              </w:rPr>
              <w:t>SWG02/07</w:t>
            </w:r>
          </w:p>
        </w:tc>
        <w:tc>
          <w:tcPr>
            <w:tcW w:w="3510" w:type="dxa"/>
            <w:gridSpan w:val="2"/>
            <w:shd w:val="clear" w:color="auto" w:fill="FFFFFF"/>
          </w:tcPr>
          <w:p w:rsidR="007A64D4" w:rsidRPr="007A64D4" w:rsidRDefault="007A64D4" w:rsidP="007A64D4">
            <w:pPr>
              <w:pStyle w:val="Header"/>
              <w:rPr>
                <w:sz w:val="20"/>
              </w:rPr>
            </w:pPr>
            <w:r w:rsidRPr="007A64D4">
              <w:rPr>
                <w:sz w:val="20"/>
              </w:rPr>
              <w:t>To report about outcome of FAA’s query of GBAS receiver manufacturers on the performance (or expected performance) of fielded or soon-to-be-fielded equipment in regard to adjacent channel rejection (WP13 of ICAO NSP June 2016).</w:t>
            </w:r>
          </w:p>
        </w:tc>
        <w:tc>
          <w:tcPr>
            <w:tcW w:w="1620" w:type="dxa"/>
            <w:shd w:val="clear" w:color="auto" w:fill="FFFFFF"/>
          </w:tcPr>
          <w:p w:rsidR="007A64D4" w:rsidRPr="007A64D4" w:rsidRDefault="007A64D4" w:rsidP="007A64D4">
            <w:pPr>
              <w:pStyle w:val="Header"/>
              <w:rPr>
                <w:sz w:val="20"/>
              </w:rPr>
            </w:pPr>
            <w:r w:rsidRPr="007A64D4">
              <w:rPr>
                <w:sz w:val="20"/>
              </w:rPr>
              <w:t>Barbara Clark</w:t>
            </w:r>
          </w:p>
        </w:tc>
        <w:tc>
          <w:tcPr>
            <w:tcW w:w="2880" w:type="dxa"/>
            <w:shd w:val="clear" w:color="auto" w:fill="FFFFFF"/>
          </w:tcPr>
          <w:p w:rsidR="007A64D4" w:rsidRPr="007A64D4" w:rsidRDefault="00C262F2" w:rsidP="007A64D4">
            <w:pPr>
              <w:pStyle w:val="Header"/>
              <w:rPr>
                <w:sz w:val="20"/>
              </w:rPr>
            </w:pPr>
            <w:r>
              <w:rPr>
                <w:sz w:val="20"/>
              </w:rPr>
              <w:t>Discarded because the information is proprietary.</w:t>
            </w:r>
          </w:p>
        </w:tc>
      </w:tr>
      <w:tr w:rsidR="007A64D4" w:rsidRPr="00736E40" w:rsidTr="00E1743D">
        <w:tc>
          <w:tcPr>
            <w:tcW w:w="1170" w:type="dxa"/>
            <w:shd w:val="clear" w:color="auto" w:fill="FFFFFF"/>
          </w:tcPr>
          <w:p w:rsidR="007A64D4" w:rsidRPr="007A64D4" w:rsidRDefault="007A64D4" w:rsidP="007A64D4">
            <w:pPr>
              <w:pStyle w:val="Header"/>
              <w:rPr>
                <w:sz w:val="20"/>
              </w:rPr>
            </w:pPr>
            <w:r w:rsidRPr="007A64D4">
              <w:rPr>
                <w:sz w:val="20"/>
              </w:rPr>
              <w:t>SWG02/08</w:t>
            </w:r>
          </w:p>
        </w:tc>
        <w:tc>
          <w:tcPr>
            <w:tcW w:w="3510" w:type="dxa"/>
            <w:gridSpan w:val="2"/>
            <w:shd w:val="clear" w:color="auto" w:fill="FFFFFF"/>
          </w:tcPr>
          <w:p w:rsidR="007A64D4" w:rsidRDefault="007A64D4" w:rsidP="007A64D4">
            <w:pPr>
              <w:pStyle w:val="Header"/>
              <w:rPr>
                <w:sz w:val="20"/>
              </w:rPr>
            </w:pPr>
            <w:r w:rsidRPr="007A64D4">
              <w:rPr>
                <w:sz w:val="20"/>
              </w:rPr>
              <w:t xml:space="preserve">To provide typical ILS and VOR </w:t>
            </w:r>
            <w:r w:rsidR="0011601F" w:rsidRPr="007A64D4">
              <w:rPr>
                <w:sz w:val="20"/>
              </w:rPr>
              <w:t>field strength</w:t>
            </w:r>
            <w:r w:rsidRPr="007A64D4">
              <w:rPr>
                <w:sz w:val="20"/>
              </w:rPr>
              <w:t xml:space="preserve"> on the approach path to allow to realistically model the undesired signal strength into the GBAS VDB receiver (typical data from deployed systems, in particular for airports with existing </w:t>
            </w:r>
            <w:r w:rsidRPr="007A64D4">
              <w:rPr>
                <w:sz w:val="20"/>
              </w:rPr>
              <w:lastRenderedPageBreak/>
              <w:t>GBAS)</w:t>
            </w:r>
            <w:r w:rsidR="00D113A7">
              <w:rPr>
                <w:sz w:val="20"/>
              </w:rPr>
              <w:t>.</w:t>
            </w:r>
          </w:p>
          <w:p w:rsidR="00D113A7" w:rsidRPr="007A64D4" w:rsidRDefault="00D113A7" w:rsidP="007A64D4">
            <w:pPr>
              <w:pStyle w:val="Header"/>
              <w:rPr>
                <w:sz w:val="20"/>
              </w:rPr>
            </w:pPr>
          </w:p>
        </w:tc>
        <w:tc>
          <w:tcPr>
            <w:tcW w:w="1620" w:type="dxa"/>
            <w:shd w:val="clear" w:color="auto" w:fill="FFFFFF"/>
          </w:tcPr>
          <w:p w:rsidR="007A64D4" w:rsidRPr="007A64D4" w:rsidRDefault="007A64D4" w:rsidP="007A64D4">
            <w:pPr>
              <w:pStyle w:val="Header"/>
              <w:rPr>
                <w:sz w:val="20"/>
              </w:rPr>
            </w:pPr>
            <w:r w:rsidRPr="007A64D4">
              <w:rPr>
                <w:sz w:val="20"/>
              </w:rPr>
              <w:lastRenderedPageBreak/>
              <w:t>SWG members</w:t>
            </w:r>
          </w:p>
        </w:tc>
        <w:tc>
          <w:tcPr>
            <w:tcW w:w="2880" w:type="dxa"/>
            <w:shd w:val="clear" w:color="auto" w:fill="FFFFFF"/>
          </w:tcPr>
          <w:p w:rsidR="007A64D4" w:rsidRPr="007A64D4" w:rsidRDefault="00D17E11">
            <w:pPr>
              <w:pStyle w:val="Header"/>
              <w:rPr>
                <w:sz w:val="20"/>
              </w:rPr>
            </w:pPr>
            <w:r>
              <w:rPr>
                <w:sz w:val="20"/>
              </w:rPr>
              <w:t xml:space="preserve"> Closed by SWG IP25, WP16. rev.1, IP22</w:t>
            </w:r>
          </w:p>
        </w:tc>
      </w:tr>
      <w:tr w:rsidR="007A64D4" w:rsidRPr="00736E40" w:rsidTr="00E1743D">
        <w:tc>
          <w:tcPr>
            <w:tcW w:w="1170" w:type="dxa"/>
            <w:shd w:val="clear" w:color="auto" w:fill="FFFFFF"/>
          </w:tcPr>
          <w:p w:rsidR="007A64D4" w:rsidRPr="007A64D4" w:rsidRDefault="007A64D4" w:rsidP="007A64D4">
            <w:pPr>
              <w:pStyle w:val="Header"/>
              <w:rPr>
                <w:sz w:val="20"/>
              </w:rPr>
            </w:pPr>
            <w:r w:rsidRPr="007A64D4">
              <w:rPr>
                <w:sz w:val="20"/>
              </w:rPr>
              <w:lastRenderedPageBreak/>
              <w:t>SWG02/09</w:t>
            </w:r>
          </w:p>
        </w:tc>
        <w:tc>
          <w:tcPr>
            <w:tcW w:w="3510" w:type="dxa"/>
            <w:gridSpan w:val="2"/>
            <w:shd w:val="clear" w:color="auto" w:fill="FFFFFF"/>
          </w:tcPr>
          <w:p w:rsidR="007A64D4" w:rsidRPr="007A64D4" w:rsidRDefault="007A64D4" w:rsidP="007A64D4">
            <w:pPr>
              <w:pStyle w:val="Header"/>
              <w:rPr>
                <w:sz w:val="20"/>
              </w:rPr>
            </w:pPr>
            <w:r w:rsidRPr="007A64D4">
              <w:rPr>
                <w:sz w:val="20"/>
              </w:rPr>
              <w:t>Provide information</w:t>
            </w:r>
            <w:r w:rsidR="0047182C">
              <w:rPr>
                <w:sz w:val="20"/>
              </w:rPr>
              <w:t xml:space="preserve"> </w:t>
            </w:r>
            <w:r w:rsidRPr="007A64D4">
              <w:rPr>
                <w:sz w:val="20"/>
              </w:rPr>
              <w:t xml:space="preserve">regarding the ILS </w:t>
            </w:r>
            <w:r w:rsidR="0011601F" w:rsidRPr="007A64D4">
              <w:rPr>
                <w:sz w:val="20"/>
              </w:rPr>
              <w:t>field strength</w:t>
            </w:r>
            <w:r w:rsidRPr="007A64D4">
              <w:rPr>
                <w:sz w:val="20"/>
              </w:rPr>
              <w:t xml:space="preserve"> variation when overflying the ILS Localizer for the opposite approach</w:t>
            </w:r>
            <w:r w:rsidR="00C067E3">
              <w:rPr>
                <w:sz w:val="20"/>
              </w:rPr>
              <w:t>.</w:t>
            </w:r>
          </w:p>
        </w:tc>
        <w:tc>
          <w:tcPr>
            <w:tcW w:w="1620" w:type="dxa"/>
            <w:shd w:val="clear" w:color="auto" w:fill="FFFFFF"/>
          </w:tcPr>
          <w:p w:rsidR="007A64D4" w:rsidRPr="00C067E3" w:rsidRDefault="00C067E3" w:rsidP="007A64D4">
            <w:pPr>
              <w:pStyle w:val="Header"/>
              <w:rPr>
                <w:sz w:val="20"/>
                <w:lang w:val="en-US"/>
              </w:rPr>
            </w:pPr>
            <w:r w:rsidRPr="00C067E3">
              <w:rPr>
                <w:sz w:val="20"/>
              </w:rPr>
              <w:t>Jules Hermens and John Dyson.</w:t>
            </w:r>
          </w:p>
        </w:tc>
        <w:tc>
          <w:tcPr>
            <w:tcW w:w="2880" w:type="dxa"/>
            <w:shd w:val="clear" w:color="auto" w:fill="FFFFFF"/>
          </w:tcPr>
          <w:p w:rsidR="007A64D4" w:rsidRPr="007A64D4" w:rsidRDefault="00D17E11">
            <w:pPr>
              <w:pStyle w:val="Header"/>
              <w:rPr>
                <w:sz w:val="20"/>
              </w:rPr>
            </w:pPr>
            <w:r>
              <w:rPr>
                <w:sz w:val="20"/>
              </w:rPr>
              <w:t>Closed by SWG IP25, WP16. rev.1</w:t>
            </w:r>
          </w:p>
        </w:tc>
      </w:tr>
      <w:tr w:rsidR="00A03811" w:rsidRPr="00736E40" w:rsidTr="0004681D">
        <w:tc>
          <w:tcPr>
            <w:tcW w:w="9180" w:type="dxa"/>
            <w:gridSpan w:val="5"/>
            <w:shd w:val="clear" w:color="auto" w:fill="FFFFFF"/>
          </w:tcPr>
          <w:p w:rsidR="00A03811" w:rsidRDefault="00A03811" w:rsidP="007A64D4">
            <w:pPr>
              <w:pStyle w:val="Header"/>
              <w:rPr>
                <w:sz w:val="20"/>
              </w:rPr>
            </w:pPr>
          </w:p>
          <w:p w:rsidR="00A03811" w:rsidRPr="007A64D4" w:rsidRDefault="00A03811" w:rsidP="007A64D4">
            <w:pPr>
              <w:pStyle w:val="Header"/>
              <w:rPr>
                <w:sz w:val="20"/>
              </w:rPr>
            </w:pPr>
          </w:p>
        </w:tc>
      </w:tr>
      <w:tr w:rsidR="00A03811" w:rsidRPr="00736E40" w:rsidTr="0004681D">
        <w:tc>
          <w:tcPr>
            <w:tcW w:w="9180" w:type="dxa"/>
            <w:gridSpan w:val="5"/>
            <w:shd w:val="clear" w:color="auto" w:fill="FFFFFF"/>
          </w:tcPr>
          <w:p w:rsidR="00A03811" w:rsidRPr="00B07EF9" w:rsidRDefault="00A03811" w:rsidP="00A03811">
            <w:pPr>
              <w:rPr>
                <w:b/>
                <w:bCs/>
                <w:sz w:val="20"/>
                <w:szCs w:val="20"/>
              </w:rPr>
            </w:pPr>
            <w:r w:rsidRPr="00B07EF9">
              <w:rPr>
                <w:b/>
                <w:bCs/>
                <w:sz w:val="20"/>
                <w:szCs w:val="20"/>
              </w:rPr>
              <w:t>Actions from the Montreal meeting of SWG November/December 2016 (SWG3):</w:t>
            </w:r>
          </w:p>
          <w:p w:rsidR="00A03811" w:rsidRPr="00A03811" w:rsidRDefault="00A03811" w:rsidP="007A64D4">
            <w:pPr>
              <w:pStyle w:val="Header"/>
              <w:rPr>
                <w:sz w:val="20"/>
                <w:highlight w:val="yellow"/>
              </w:rPr>
            </w:pPr>
          </w:p>
        </w:tc>
      </w:tr>
      <w:tr w:rsidR="00A03811" w:rsidRPr="00736E40" w:rsidTr="00E1743D">
        <w:tc>
          <w:tcPr>
            <w:tcW w:w="1170" w:type="dxa"/>
            <w:shd w:val="clear" w:color="auto" w:fill="FFFFFF"/>
          </w:tcPr>
          <w:p w:rsidR="00A03811" w:rsidRPr="00B07EF9" w:rsidRDefault="00A03811" w:rsidP="00A03811">
            <w:pPr>
              <w:pStyle w:val="Header"/>
              <w:rPr>
                <w:sz w:val="20"/>
              </w:rPr>
            </w:pPr>
            <w:r w:rsidRPr="00B07EF9">
              <w:rPr>
                <w:sz w:val="20"/>
              </w:rPr>
              <w:t>SWG03/01</w:t>
            </w:r>
          </w:p>
        </w:tc>
        <w:tc>
          <w:tcPr>
            <w:tcW w:w="3510" w:type="dxa"/>
            <w:gridSpan w:val="2"/>
            <w:shd w:val="clear" w:color="auto" w:fill="FFFFFF"/>
          </w:tcPr>
          <w:p w:rsidR="00B07EF9" w:rsidRPr="00B07EF9" w:rsidRDefault="00B07EF9" w:rsidP="00B07EF9">
            <w:pPr>
              <w:rPr>
                <w:sz w:val="20"/>
              </w:rPr>
            </w:pPr>
            <w:r w:rsidRPr="00B07EF9">
              <w:rPr>
                <w:sz w:val="20"/>
              </w:rPr>
              <w:t>To explore the necessity to revise the geographical separation rules between ILS Localizers and VOR in ICAO Annex 10, Vol. I, Att. C, section 3.5.</w:t>
            </w:r>
          </w:p>
          <w:p w:rsidR="00A03811" w:rsidRPr="00B07EF9" w:rsidRDefault="00A03811" w:rsidP="007A64D4">
            <w:pPr>
              <w:pStyle w:val="Header"/>
              <w:rPr>
                <w:sz w:val="20"/>
              </w:rPr>
            </w:pPr>
          </w:p>
        </w:tc>
        <w:tc>
          <w:tcPr>
            <w:tcW w:w="1620" w:type="dxa"/>
            <w:shd w:val="clear" w:color="auto" w:fill="FFFFFF"/>
          </w:tcPr>
          <w:p w:rsidR="00A03811" w:rsidRPr="00B07EF9" w:rsidRDefault="00B07EF9" w:rsidP="007A64D4">
            <w:pPr>
              <w:pStyle w:val="Header"/>
              <w:rPr>
                <w:sz w:val="20"/>
              </w:rPr>
            </w:pPr>
            <w:r w:rsidRPr="00B07EF9">
              <w:rPr>
                <w:sz w:val="20"/>
              </w:rPr>
              <w:t>G. Berz and J. Hermens</w:t>
            </w:r>
          </w:p>
        </w:tc>
        <w:tc>
          <w:tcPr>
            <w:tcW w:w="2880" w:type="dxa"/>
            <w:shd w:val="clear" w:color="auto" w:fill="FFFFFF"/>
          </w:tcPr>
          <w:p w:rsidR="00A03811" w:rsidRPr="00B07EF9" w:rsidRDefault="00B07EF9" w:rsidP="007A64D4">
            <w:pPr>
              <w:pStyle w:val="Header"/>
              <w:rPr>
                <w:sz w:val="20"/>
              </w:rPr>
            </w:pPr>
            <w:r w:rsidRPr="006F4D66">
              <w:rPr>
                <w:sz w:val="20"/>
              </w:rPr>
              <w:t>Open</w:t>
            </w:r>
          </w:p>
        </w:tc>
      </w:tr>
      <w:tr w:rsidR="00A03811" w:rsidRPr="00736E40" w:rsidTr="00E1743D">
        <w:tc>
          <w:tcPr>
            <w:tcW w:w="1170" w:type="dxa"/>
            <w:shd w:val="clear" w:color="auto" w:fill="FFFFFF"/>
          </w:tcPr>
          <w:p w:rsidR="00A03811" w:rsidRPr="006F4D66" w:rsidRDefault="00A03811" w:rsidP="006F4D66">
            <w:pPr>
              <w:pStyle w:val="Header"/>
              <w:rPr>
                <w:sz w:val="20"/>
              </w:rPr>
            </w:pPr>
            <w:r w:rsidRPr="006F4D66">
              <w:rPr>
                <w:sz w:val="20"/>
              </w:rPr>
              <w:t>SWG03/02</w:t>
            </w:r>
          </w:p>
        </w:tc>
        <w:tc>
          <w:tcPr>
            <w:tcW w:w="3510" w:type="dxa"/>
            <w:gridSpan w:val="2"/>
            <w:shd w:val="clear" w:color="auto" w:fill="FFFFFF"/>
          </w:tcPr>
          <w:p w:rsidR="00A03811" w:rsidRPr="006F4D66" w:rsidRDefault="00CE7F88" w:rsidP="006F4D66">
            <w:pPr>
              <w:pStyle w:val="Header"/>
              <w:rPr>
                <w:sz w:val="20"/>
              </w:rPr>
            </w:pPr>
            <w:r w:rsidRPr="00CE7F88">
              <w:rPr>
                <w:sz w:val="20"/>
              </w:rPr>
              <w:t>SWG members to provide comments on Modifications to ICAO Doc 9718, Vol. I, contained in NSP/3-WP15 to Michael.Biggs@FAA.gov, in due time before the spring meeting of ICAO FSMP WG/4 starting at 27th of March 2017.</w:t>
            </w:r>
          </w:p>
        </w:tc>
        <w:tc>
          <w:tcPr>
            <w:tcW w:w="1620" w:type="dxa"/>
            <w:shd w:val="clear" w:color="auto" w:fill="FFFFFF"/>
          </w:tcPr>
          <w:p w:rsidR="00A03811" w:rsidRPr="006F4D66" w:rsidRDefault="006F4D66" w:rsidP="006F4D66">
            <w:pPr>
              <w:pStyle w:val="Header"/>
              <w:rPr>
                <w:sz w:val="20"/>
              </w:rPr>
            </w:pPr>
            <w:r w:rsidRPr="006F4D66">
              <w:rPr>
                <w:sz w:val="20"/>
              </w:rPr>
              <w:t>SWG members</w:t>
            </w:r>
          </w:p>
        </w:tc>
        <w:tc>
          <w:tcPr>
            <w:tcW w:w="2880" w:type="dxa"/>
            <w:shd w:val="clear" w:color="auto" w:fill="FFFFFF"/>
          </w:tcPr>
          <w:p w:rsidR="00A03811" w:rsidRPr="006F4D66" w:rsidRDefault="006F4D66" w:rsidP="006F4D66">
            <w:pPr>
              <w:pStyle w:val="Header"/>
              <w:rPr>
                <w:sz w:val="20"/>
              </w:rPr>
            </w:pPr>
            <w:r w:rsidRPr="006F4D66">
              <w:rPr>
                <w:sz w:val="20"/>
              </w:rPr>
              <w:t>Open</w:t>
            </w:r>
          </w:p>
        </w:tc>
      </w:tr>
    </w:tbl>
    <w:p w:rsidR="00074170" w:rsidRPr="00736E40" w:rsidRDefault="00074170" w:rsidP="00E30B50"/>
    <w:p w:rsidR="00074170" w:rsidRPr="00736E40" w:rsidRDefault="00074170" w:rsidP="00E30B50">
      <w:r w:rsidRPr="00736E40">
        <w:br w:type="page"/>
      </w:r>
    </w:p>
    <w:p w:rsidR="00074170" w:rsidRPr="00736E40" w:rsidRDefault="00074170" w:rsidP="00E30B50">
      <w:pPr>
        <w:rPr>
          <w:b/>
          <w:bCs/>
        </w:rPr>
      </w:pPr>
      <w:r w:rsidRPr="00736E40">
        <w:rPr>
          <w:b/>
          <w:bCs/>
        </w:rPr>
        <w:lastRenderedPageBreak/>
        <w:t xml:space="preserve">ATTACHMENT B: </w:t>
      </w:r>
      <w:r>
        <w:rPr>
          <w:b/>
          <w:bCs/>
        </w:rPr>
        <w:t>LIST OF PARTICIPANTS OF THE SWG</w:t>
      </w:r>
    </w:p>
    <w:tbl>
      <w:tblPr>
        <w:tblW w:w="88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276"/>
        <w:gridCol w:w="1842"/>
        <w:gridCol w:w="3711"/>
      </w:tblGrid>
      <w:tr w:rsidR="00074170" w:rsidRPr="00736E40" w:rsidTr="00CE14D1">
        <w:trPr>
          <w:jc w:val="right"/>
        </w:trPr>
        <w:tc>
          <w:tcPr>
            <w:tcW w:w="1980" w:type="dxa"/>
            <w:vAlign w:val="center"/>
          </w:tcPr>
          <w:p w:rsidR="00074170" w:rsidRPr="007C1998" w:rsidRDefault="00074170" w:rsidP="00E1743D">
            <w:pPr>
              <w:rPr>
                <w:b/>
                <w:sz w:val="20"/>
                <w:szCs w:val="20"/>
              </w:rPr>
            </w:pPr>
            <w:r w:rsidRPr="007C1998">
              <w:rPr>
                <w:b/>
                <w:sz w:val="20"/>
                <w:szCs w:val="20"/>
              </w:rPr>
              <w:t>Name</w:t>
            </w:r>
          </w:p>
        </w:tc>
        <w:tc>
          <w:tcPr>
            <w:tcW w:w="1276" w:type="dxa"/>
            <w:vAlign w:val="center"/>
          </w:tcPr>
          <w:p w:rsidR="00074170" w:rsidRPr="007C1998" w:rsidRDefault="00074170" w:rsidP="00E1743D">
            <w:pPr>
              <w:rPr>
                <w:b/>
                <w:sz w:val="20"/>
                <w:szCs w:val="20"/>
              </w:rPr>
            </w:pPr>
            <w:r w:rsidRPr="007C1998">
              <w:rPr>
                <w:b/>
                <w:sz w:val="20"/>
                <w:szCs w:val="20"/>
              </w:rPr>
              <w:t>Atten</w:t>
            </w:r>
            <w:r w:rsidRPr="007C1998">
              <w:rPr>
                <w:b/>
                <w:sz w:val="20"/>
                <w:szCs w:val="20"/>
              </w:rPr>
              <w:softHyphen/>
              <w:t>dance</w:t>
            </w:r>
          </w:p>
          <w:p w:rsidR="00074170" w:rsidRPr="007C1998" w:rsidRDefault="00074170" w:rsidP="00E1743D">
            <w:pPr>
              <w:rPr>
                <w:b/>
                <w:sz w:val="20"/>
                <w:szCs w:val="20"/>
              </w:rPr>
            </w:pPr>
            <w:r w:rsidRPr="007C1998">
              <w:rPr>
                <w:b/>
                <w:sz w:val="20"/>
                <w:szCs w:val="20"/>
              </w:rPr>
              <w:t>(full-time/</w:t>
            </w:r>
          </w:p>
          <w:p w:rsidR="00074170" w:rsidRPr="007C1998" w:rsidRDefault="00074170" w:rsidP="00E1743D">
            <w:pPr>
              <w:rPr>
                <w:b/>
                <w:sz w:val="20"/>
                <w:szCs w:val="20"/>
              </w:rPr>
            </w:pPr>
            <w:r w:rsidRPr="007C1998">
              <w:rPr>
                <w:b/>
                <w:sz w:val="20"/>
                <w:szCs w:val="20"/>
              </w:rPr>
              <w:t>part-time)</w:t>
            </w:r>
          </w:p>
        </w:tc>
        <w:tc>
          <w:tcPr>
            <w:tcW w:w="1842" w:type="dxa"/>
            <w:vAlign w:val="center"/>
          </w:tcPr>
          <w:p w:rsidR="00074170" w:rsidRPr="007C1998" w:rsidRDefault="00074170" w:rsidP="00E1743D">
            <w:pPr>
              <w:rPr>
                <w:b/>
                <w:sz w:val="20"/>
                <w:szCs w:val="20"/>
              </w:rPr>
            </w:pPr>
            <w:r w:rsidRPr="007C1998">
              <w:rPr>
                <w:b/>
                <w:sz w:val="20"/>
                <w:szCs w:val="20"/>
              </w:rPr>
              <w:t xml:space="preserve">Organisation </w:t>
            </w:r>
          </w:p>
        </w:tc>
        <w:tc>
          <w:tcPr>
            <w:tcW w:w="3711" w:type="dxa"/>
            <w:vAlign w:val="center"/>
          </w:tcPr>
          <w:p w:rsidR="00074170" w:rsidRPr="007C1998" w:rsidRDefault="00074170" w:rsidP="00E1743D">
            <w:pPr>
              <w:rPr>
                <w:b/>
                <w:sz w:val="20"/>
                <w:szCs w:val="20"/>
              </w:rPr>
            </w:pPr>
            <w:r w:rsidRPr="007C1998">
              <w:rPr>
                <w:b/>
                <w:sz w:val="20"/>
                <w:szCs w:val="20"/>
              </w:rPr>
              <w:t>Email</w:t>
            </w:r>
          </w:p>
        </w:tc>
      </w:tr>
      <w:tr w:rsidR="000B61C9" w:rsidRPr="00736E40" w:rsidTr="007C1998">
        <w:trPr>
          <w:trHeight w:val="483"/>
          <w:jc w:val="right"/>
        </w:trPr>
        <w:tc>
          <w:tcPr>
            <w:tcW w:w="1980" w:type="dxa"/>
            <w:vAlign w:val="center"/>
          </w:tcPr>
          <w:p w:rsidR="000B61C9" w:rsidRPr="007C1998" w:rsidRDefault="000B61C9" w:rsidP="00E1743D">
            <w:pPr>
              <w:rPr>
                <w:sz w:val="20"/>
                <w:szCs w:val="20"/>
              </w:rPr>
            </w:pPr>
            <w:r w:rsidRPr="007C1998">
              <w:rPr>
                <w:sz w:val="20"/>
                <w:szCs w:val="20"/>
              </w:rPr>
              <w:t>Alessandro Capretti</w:t>
            </w:r>
          </w:p>
        </w:tc>
        <w:tc>
          <w:tcPr>
            <w:tcW w:w="1276" w:type="dxa"/>
            <w:vAlign w:val="center"/>
          </w:tcPr>
          <w:p w:rsidR="000B61C9" w:rsidRPr="007C1998" w:rsidRDefault="000B61C9" w:rsidP="00E1743D">
            <w:pPr>
              <w:rPr>
                <w:sz w:val="20"/>
                <w:szCs w:val="20"/>
              </w:rPr>
            </w:pPr>
            <w:r w:rsidRPr="007C1998">
              <w:rPr>
                <w:sz w:val="20"/>
                <w:szCs w:val="20"/>
              </w:rPr>
              <w:t>P</w:t>
            </w:r>
          </w:p>
        </w:tc>
        <w:tc>
          <w:tcPr>
            <w:tcW w:w="1842" w:type="dxa"/>
            <w:vAlign w:val="center"/>
          </w:tcPr>
          <w:p w:rsidR="000B61C9" w:rsidRPr="007C1998" w:rsidRDefault="000B61C9" w:rsidP="00E1743D">
            <w:pPr>
              <w:rPr>
                <w:sz w:val="20"/>
                <w:szCs w:val="20"/>
              </w:rPr>
            </w:pPr>
            <w:r w:rsidRPr="007C1998">
              <w:rPr>
                <w:sz w:val="20"/>
                <w:szCs w:val="20"/>
              </w:rPr>
              <w:t>ICAO</w:t>
            </w:r>
          </w:p>
        </w:tc>
        <w:tc>
          <w:tcPr>
            <w:tcW w:w="3711" w:type="dxa"/>
            <w:vAlign w:val="center"/>
          </w:tcPr>
          <w:p w:rsidR="000B61C9" w:rsidRPr="007C1998" w:rsidRDefault="000B61C9" w:rsidP="00E1743D">
            <w:pPr>
              <w:rPr>
                <w:sz w:val="20"/>
                <w:szCs w:val="20"/>
              </w:rPr>
            </w:pPr>
            <w:r w:rsidRPr="007C1998">
              <w:rPr>
                <w:sz w:val="20"/>
                <w:szCs w:val="20"/>
              </w:rPr>
              <w:t>ACapretti@icao.int</w:t>
            </w:r>
          </w:p>
        </w:tc>
      </w:tr>
      <w:tr w:rsidR="000B61C9" w:rsidRPr="00736E40" w:rsidTr="00CE14D1">
        <w:trPr>
          <w:trHeight w:val="615"/>
          <w:jc w:val="right"/>
        </w:trPr>
        <w:tc>
          <w:tcPr>
            <w:tcW w:w="1980" w:type="dxa"/>
            <w:vAlign w:val="center"/>
          </w:tcPr>
          <w:p w:rsidR="000B61C9" w:rsidRPr="00420989" w:rsidRDefault="000B61C9" w:rsidP="000B61C9">
            <w:pPr>
              <w:rPr>
                <w:sz w:val="20"/>
                <w:szCs w:val="20"/>
              </w:rPr>
            </w:pPr>
            <w:r w:rsidRPr="00420989">
              <w:rPr>
                <w:sz w:val="20"/>
                <w:szCs w:val="20"/>
              </w:rPr>
              <w:t>Daniel Domey</w:t>
            </w:r>
          </w:p>
        </w:tc>
        <w:tc>
          <w:tcPr>
            <w:tcW w:w="1276" w:type="dxa"/>
            <w:vAlign w:val="center"/>
          </w:tcPr>
          <w:p w:rsidR="000B61C9" w:rsidRPr="00420989" w:rsidRDefault="000B61C9" w:rsidP="000B61C9">
            <w:pPr>
              <w:rPr>
                <w:sz w:val="20"/>
                <w:szCs w:val="20"/>
              </w:rPr>
            </w:pPr>
            <w:r w:rsidRPr="00420989">
              <w:rPr>
                <w:sz w:val="20"/>
                <w:szCs w:val="20"/>
              </w:rPr>
              <w:t>P</w:t>
            </w:r>
          </w:p>
        </w:tc>
        <w:tc>
          <w:tcPr>
            <w:tcW w:w="1842" w:type="dxa"/>
            <w:vAlign w:val="center"/>
          </w:tcPr>
          <w:p w:rsidR="000B61C9" w:rsidRPr="00420989" w:rsidRDefault="000B61C9" w:rsidP="00695919">
            <w:pPr>
              <w:rPr>
                <w:sz w:val="20"/>
                <w:szCs w:val="20"/>
              </w:rPr>
            </w:pPr>
            <w:proofErr w:type="spellStart"/>
            <w:r w:rsidRPr="00420989">
              <w:rPr>
                <w:sz w:val="20"/>
                <w:szCs w:val="20"/>
              </w:rPr>
              <w:t>Esterline</w:t>
            </w:r>
            <w:proofErr w:type="spellEnd"/>
            <w:r w:rsidRPr="00420989">
              <w:rPr>
                <w:sz w:val="20"/>
                <w:szCs w:val="20"/>
              </w:rPr>
              <w:t xml:space="preserve"> CMC Electronics, Canada</w:t>
            </w:r>
          </w:p>
        </w:tc>
        <w:tc>
          <w:tcPr>
            <w:tcW w:w="3711" w:type="dxa"/>
            <w:vAlign w:val="center"/>
          </w:tcPr>
          <w:p w:rsidR="000B61C9" w:rsidRPr="00420989" w:rsidRDefault="001F188D" w:rsidP="000B61C9">
            <w:pPr>
              <w:rPr>
                <w:sz w:val="20"/>
                <w:szCs w:val="20"/>
              </w:rPr>
            </w:pPr>
            <w:hyperlink r:id="rId14" w:history="1">
              <w:r w:rsidR="000B61C9" w:rsidRPr="00420989">
                <w:rPr>
                  <w:sz w:val="20"/>
                  <w:szCs w:val="20"/>
                </w:rPr>
                <w:t>Daniel.Domey@cmcelectronics</w:t>
              </w:r>
            </w:hyperlink>
            <w:r w:rsidR="000B61C9" w:rsidRPr="00420989">
              <w:rPr>
                <w:sz w:val="20"/>
                <w:szCs w:val="20"/>
              </w:rPr>
              <w:t>.ca</w:t>
            </w:r>
          </w:p>
        </w:tc>
      </w:tr>
      <w:tr w:rsidR="000B61C9" w:rsidRPr="002F7FB1" w:rsidTr="007C1998">
        <w:trPr>
          <w:trHeight w:val="427"/>
          <w:jc w:val="right"/>
        </w:trPr>
        <w:tc>
          <w:tcPr>
            <w:tcW w:w="1980" w:type="dxa"/>
            <w:vAlign w:val="center"/>
          </w:tcPr>
          <w:p w:rsidR="000B61C9" w:rsidRPr="002F7FB1" w:rsidRDefault="000B61C9" w:rsidP="00E1743D">
            <w:pPr>
              <w:rPr>
                <w:sz w:val="20"/>
                <w:szCs w:val="20"/>
              </w:rPr>
            </w:pPr>
            <w:r w:rsidRPr="002F7FB1">
              <w:rPr>
                <w:sz w:val="20"/>
                <w:szCs w:val="20"/>
              </w:rPr>
              <w:t>Felix Butsch</w:t>
            </w:r>
          </w:p>
        </w:tc>
        <w:tc>
          <w:tcPr>
            <w:tcW w:w="1276" w:type="dxa"/>
            <w:vAlign w:val="center"/>
          </w:tcPr>
          <w:p w:rsidR="000B61C9" w:rsidRPr="002F7FB1" w:rsidRDefault="000B61C9" w:rsidP="00E1743D">
            <w:pPr>
              <w:rPr>
                <w:sz w:val="20"/>
                <w:szCs w:val="20"/>
              </w:rPr>
            </w:pPr>
            <w:r w:rsidRPr="002F7FB1">
              <w:rPr>
                <w:sz w:val="20"/>
                <w:szCs w:val="20"/>
              </w:rPr>
              <w:t>F</w:t>
            </w:r>
          </w:p>
        </w:tc>
        <w:tc>
          <w:tcPr>
            <w:tcW w:w="1842" w:type="dxa"/>
            <w:vAlign w:val="center"/>
          </w:tcPr>
          <w:p w:rsidR="000B61C9" w:rsidRPr="002F7FB1" w:rsidRDefault="000B61C9" w:rsidP="00E1743D">
            <w:pPr>
              <w:rPr>
                <w:sz w:val="20"/>
                <w:szCs w:val="20"/>
              </w:rPr>
            </w:pPr>
            <w:r w:rsidRPr="002F7FB1">
              <w:rPr>
                <w:sz w:val="20"/>
                <w:szCs w:val="20"/>
              </w:rPr>
              <w:t>DFS, Germany</w:t>
            </w:r>
          </w:p>
        </w:tc>
        <w:tc>
          <w:tcPr>
            <w:tcW w:w="3711" w:type="dxa"/>
            <w:vAlign w:val="center"/>
          </w:tcPr>
          <w:p w:rsidR="000B61C9" w:rsidRPr="002F7FB1" w:rsidRDefault="001F188D" w:rsidP="00E1743D">
            <w:pPr>
              <w:rPr>
                <w:sz w:val="20"/>
                <w:szCs w:val="20"/>
              </w:rPr>
            </w:pPr>
            <w:hyperlink r:id="rId15" w:history="1">
              <w:r w:rsidR="000B61C9" w:rsidRPr="002F7FB1">
                <w:rPr>
                  <w:sz w:val="20"/>
                  <w:szCs w:val="20"/>
                </w:rPr>
                <w:t>Felix.Butsch@dfs.de</w:t>
              </w:r>
            </w:hyperlink>
            <w:r w:rsidR="000B61C9" w:rsidRPr="002F7FB1">
              <w:rPr>
                <w:sz w:val="20"/>
                <w:szCs w:val="20"/>
              </w:rPr>
              <w:t xml:space="preserve"> </w:t>
            </w:r>
          </w:p>
        </w:tc>
      </w:tr>
      <w:tr w:rsidR="000B61C9" w:rsidRPr="002F7FB1" w:rsidTr="007C1998">
        <w:trPr>
          <w:trHeight w:val="405"/>
          <w:jc w:val="right"/>
        </w:trPr>
        <w:tc>
          <w:tcPr>
            <w:tcW w:w="1980" w:type="dxa"/>
            <w:vAlign w:val="center"/>
          </w:tcPr>
          <w:p w:rsidR="000B61C9" w:rsidRPr="002F7FB1" w:rsidRDefault="000B61C9" w:rsidP="00E1743D">
            <w:pPr>
              <w:rPr>
                <w:sz w:val="20"/>
                <w:szCs w:val="20"/>
              </w:rPr>
            </w:pPr>
            <w:r w:rsidRPr="002F7FB1">
              <w:rPr>
                <w:sz w:val="20"/>
                <w:szCs w:val="20"/>
              </w:rPr>
              <w:t>Gerhard Berz</w:t>
            </w:r>
          </w:p>
        </w:tc>
        <w:tc>
          <w:tcPr>
            <w:tcW w:w="1276" w:type="dxa"/>
            <w:vAlign w:val="center"/>
          </w:tcPr>
          <w:p w:rsidR="000B61C9" w:rsidRPr="002F7FB1" w:rsidRDefault="000B61C9" w:rsidP="00E1743D">
            <w:pPr>
              <w:rPr>
                <w:sz w:val="20"/>
                <w:szCs w:val="20"/>
              </w:rPr>
            </w:pPr>
            <w:r w:rsidRPr="002F7FB1">
              <w:rPr>
                <w:sz w:val="20"/>
                <w:szCs w:val="20"/>
              </w:rPr>
              <w:t>P</w:t>
            </w:r>
          </w:p>
        </w:tc>
        <w:tc>
          <w:tcPr>
            <w:tcW w:w="1842" w:type="dxa"/>
            <w:vAlign w:val="center"/>
          </w:tcPr>
          <w:p w:rsidR="000B61C9" w:rsidRPr="002F7FB1" w:rsidRDefault="000B61C9" w:rsidP="00E1743D">
            <w:pPr>
              <w:rPr>
                <w:sz w:val="20"/>
                <w:szCs w:val="20"/>
              </w:rPr>
            </w:pPr>
            <w:r w:rsidRPr="002F7FB1">
              <w:rPr>
                <w:sz w:val="20"/>
                <w:szCs w:val="20"/>
              </w:rPr>
              <w:t>Eurocontrol</w:t>
            </w:r>
          </w:p>
        </w:tc>
        <w:tc>
          <w:tcPr>
            <w:tcW w:w="3711" w:type="dxa"/>
            <w:vAlign w:val="center"/>
          </w:tcPr>
          <w:p w:rsidR="000B61C9" w:rsidRPr="002F7FB1" w:rsidRDefault="000B61C9" w:rsidP="00E1743D">
            <w:pPr>
              <w:rPr>
                <w:sz w:val="20"/>
                <w:szCs w:val="20"/>
              </w:rPr>
            </w:pPr>
            <w:r w:rsidRPr="002F7FB1">
              <w:rPr>
                <w:sz w:val="20"/>
                <w:szCs w:val="20"/>
              </w:rPr>
              <w:t>gerhard.berz@eurocontrol.int</w:t>
            </w:r>
          </w:p>
        </w:tc>
      </w:tr>
      <w:tr w:rsidR="000B61C9" w:rsidRPr="00736E40" w:rsidTr="00CE14D1">
        <w:trPr>
          <w:trHeight w:val="615"/>
          <w:jc w:val="right"/>
        </w:trPr>
        <w:tc>
          <w:tcPr>
            <w:tcW w:w="1980" w:type="dxa"/>
            <w:vAlign w:val="center"/>
          </w:tcPr>
          <w:p w:rsidR="000B61C9" w:rsidRPr="00420989" w:rsidRDefault="000B61C9" w:rsidP="000B61C9">
            <w:pPr>
              <w:rPr>
                <w:sz w:val="20"/>
                <w:szCs w:val="20"/>
              </w:rPr>
            </w:pPr>
            <w:r>
              <w:rPr>
                <w:sz w:val="20"/>
                <w:szCs w:val="20"/>
              </w:rPr>
              <w:t>Imre Bányász</w:t>
            </w:r>
          </w:p>
        </w:tc>
        <w:tc>
          <w:tcPr>
            <w:tcW w:w="1276" w:type="dxa"/>
            <w:vAlign w:val="center"/>
          </w:tcPr>
          <w:p w:rsidR="000B61C9" w:rsidRPr="00420989" w:rsidRDefault="000B61C9" w:rsidP="000B61C9">
            <w:pPr>
              <w:rPr>
                <w:sz w:val="20"/>
                <w:szCs w:val="20"/>
              </w:rPr>
            </w:pPr>
            <w:r>
              <w:rPr>
                <w:sz w:val="20"/>
                <w:szCs w:val="20"/>
              </w:rPr>
              <w:t>F</w:t>
            </w:r>
          </w:p>
        </w:tc>
        <w:tc>
          <w:tcPr>
            <w:tcW w:w="1842" w:type="dxa"/>
            <w:vAlign w:val="center"/>
          </w:tcPr>
          <w:p w:rsidR="000B61C9" w:rsidRPr="00420989" w:rsidRDefault="000B61C9" w:rsidP="000B61C9">
            <w:pPr>
              <w:rPr>
                <w:sz w:val="20"/>
                <w:szCs w:val="20"/>
              </w:rPr>
            </w:pPr>
            <w:r>
              <w:rPr>
                <w:sz w:val="20"/>
                <w:szCs w:val="20"/>
              </w:rPr>
              <w:t>HungaroControl, Hungary</w:t>
            </w:r>
          </w:p>
        </w:tc>
        <w:tc>
          <w:tcPr>
            <w:tcW w:w="3711" w:type="dxa"/>
            <w:vAlign w:val="center"/>
          </w:tcPr>
          <w:p w:rsidR="000B61C9" w:rsidRPr="000B61C9" w:rsidRDefault="000B61C9" w:rsidP="000B61C9">
            <w:pPr>
              <w:rPr>
                <w:sz w:val="20"/>
                <w:szCs w:val="20"/>
              </w:rPr>
            </w:pPr>
            <w:r w:rsidRPr="000B61C9">
              <w:rPr>
                <w:sz w:val="20"/>
                <w:szCs w:val="20"/>
              </w:rPr>
              <w:t>imre.banyasz@hungarocontrol.hu</w:t>
            </w:r>
          </w:p>
        </w:tc>
      </w:tr>
      <w:tr w:rsidR="000B61C9" w:rsidRPr="002F7FB1" w:rsidTr="007C1998">
        <w:trPr>
          <w:trHeight w:val="411"/>
          <w:jc w:val="right"/>
        </w:trPr>
        <w:tc>
          <w:tcPr>
            <w:tcW w:w="1980" w:type="dxa"/>
            <w:vAlign w:val="center"/>
          </w:tcPr>
          <w:p w:rsidR="000B61C9" w:rsidRPr="002F7FB1" w:rsidRDefault="000B61C9" w:rsidP="00E1743D">
            <w:pPr>
              <w:rPr>
                <w:sz w:val="20"/>
                <w:szCs w:val="20"/>
              </w:rPr>
            </w:pPr>
            <w:r w:rsidRPr="002F7FB1">
              <w:rPr>
                <w:sz w:val="20"/>
                <w:szCs w:val="20"/>
              </w:rPr>
              <w:t>John F. J. Dyson</w:t>
            </w:r>
          </w:p>
        </w:tc>
        <w:tc>
          <w:tcPr>
            <w:tcW w:w="1276" w:type="dxa"/>
            <w:vAlign w:val="center"/>
          </w:tcPr>
          <w:p w:rsidR="000B61C9" w:rsidRPr="002F7FB1" w:rsidRDefault="000B61C9" w:rsidP="00E1743D">
            <w:pPr>
              <w:rPr>
                <w:sz w:val="20"/>
                <w:szCs w:val="20"/>
              </w:rPr>
            </w:pPr>
            <w:r w:rsidRPr="002F7FB1">
              <w:rPr>
                <w:sz w:val="20"/>
                <w:szCs w:val="20"/>
              </w:rPr>
              <w:t>F</w:t>
            </w:r>
          </w:p>
        </w:tc>
        <w:tc>
          <w:tcPr>
            <w:tcW w:w="1842" w:type="dxa"/>
            <w:vAlign w:val="center"/>
          </w:tcPr>
          <w:p w:rsidR="000B61C9" w:rsidRPr="002F7FB1" w:rsidRDefault="000B61C9" w:rsidP="00E1743D">
            <w:pPr>
              <w:rPr>
                <w:sz w:val="20"/>
                <w:szCs w:val="20"/>
              </w:rPr>
            </w:pPr>
            <w:r w:rsidRPr="002F7FB1">
              <w:rPr>
                <w:sz w:val="20"/>
                <w:szCs w:val="20"/>
              </w:rPr>
              <w:t>NATS, United Kingdom</w:t>
            </w:r>
          </w:p>
        </w:tc>
        <w:tc>
          <w:tcPr>
            <w:tcW w:w="3711" w:type="dxa"/>
            <w:vAlign w:val="center"/>
          </w:tcPr>
          <w:p w:rsidR="000B61C9" w:rsidRPr="002F7FB1" w:rsidRDefault="001F188D" w:rsidP="00E1743D">
            <w:pPr>
              <w:rPr>
                <w:sz w:val="20"/>
                <w:szCs w:val="20"/>
              </w:rPr>
            </w:pPr>
            <w:hyperlink r:id="rId16" w:history="1">
              <w:r w:rsidR="000B61C9" w:rsidRPr="002F7FB1">
                <w:rPr>
                  <w:sz w:val="20"/>
                  <w:szCs w:val="20"/>
                </w:rPr>
                <w:t>John.dyson@nats.co.uk</w:t>
              </w:r>
            </w:hyperlink>
          </w:p>
        </w:tc>
      </w:tr>
      <w:tr w:rsidR="000B61C9" w:rsidRPr="00736E40" w:rsidTr="007C1998">
        <w:trPr>
          <w:trHeight w:val="502"/>
          <w:jc w:val="right"/>
        </w:trPr>
        <w:tc>
          <w:tcPr>
            <w:tcW w:w="1980" w:type="dxa"/>
            <w:vAlign w:val="center"/>
          </w:tcPr>
          <w:p w:rsidR="000B61C9" w:rsidRPr="002F7FB1" w:rsidRDefault="000B61C9" w:rsidP="00E1743D">
            <w:pPr>
              <w:rPr>
                <w:sz w:val="20"/>
                <w:szCs w:val="20"/>
              </w:rPr>
            </w:pPr>
            <w:r w:rsidRPr="002F7FB1">
              <w:rPr>
                <w:sz w:val="20"/>
                <w:szCs w:val="20"/>
              </w:rPr>
              <w:t>Jules Hermens</w:t>
            </w:r>
          </w:p>
        </w:tc>
        <w:tc>
          <w:tcPr>
            <w:tcW w:w="1276" w:type="dxa"/>
            <w:vAlign w:val="center"/>
          </w:tcPr>
          <w:p w:rsidR="000B61C9" w:rsidRPr="002F7FB1" w:rsidRDefault="000B61C9" w:rsidP="00E1743D">
            <w:pPr>
              <w:rPr>
                <w:sz w:val="20"/>
                <w:szCs w:val="20"/>
              </w:rPr>
            </w:pPr>
            <w:r w:rsidRPr="002F7FB1">
              <w:rPr>
                <w:sz w:val="20"/>
                <w:szCs w:val="20"/>
              </w:rPr>
              <w:t>F</w:t>
            </w:r>
          </w:p>
        </w:tc>
        <w:tc>
          <w:tcPr>
            <w:tcW w:w="1842" w:type="dxa"/>
            <w:vAlign w:val="center"/>
          </w:tcPr>
          <w:p w:rsidR="000B61C9" w:rsidRPr="002F7FB1" w:rsidRDefault="000B61C9" w:rsidP="00E1743D">
            <w:pPr>
              <w:rPr>
                <w:sz w:val="20"/>
                <w:szCs w:val="20"/>
              </w:rPr>
            </w:pPr>
            <w:r w:rsidRPr="002F7FB1">
              <w:rPr>
                <w:sz w:val="20"/>
                <w:szCs w:val="20"/>
              </w:rPr>
              <w:t>Netherlands Civil Aviation Authority</w:t>
            </w:r>
          </w:p>
        </w:tc>
        <w:tc>
          <w:tcPr>
            <w:tcW w:w="3711" w:type="dxa"/>
            <w:vAlign w:val="center"/>
          </w:tcPr>
          <w:p w:rsidR="000B61C9" w:rsidRPr="002F7FB1" w:rsidRDefault="000B61C9" w:rsidP="00E1743D">
            <w:pPr>
              <w:rPr>
                <w:sz w:val="20"/>
                <w:szCs w:val="20"/>
              </w:rPr>
            </w:pPr>
            <w:r w:rsidRPr="002F7FB1">
              <w:rPr>
                <w:sz w:val="20"/>
                <w:szCs w:val="20"/>
              </w:rPr>
              <w:t>jules.hermens@</w:t>
            </w:r>
            <w:r w:rsidR="00695919">
              <w:rPr>
                <w:sz w:val="20"/>
                <w:szCs w:val="20"/>
              </w:rPr>
              <w:t>i</w:t>
            </w:r>
            <w:r w:rsidRPr="002F7FB1">
              <w:rPr>
                <w:sz w:val="20"/>
                <w:szCs w:val="20"/>
              </w:rPr>
              <w:t>lent.nl</w:t>
            </w:r>
          </w:p>
          <w:p w:rsidR="000B61C9" w:rsidRPr="002F7FB1" w:rsidRDefault="000B61C9" w:rsidP="00E1743D">
            <w:pPr>
              <w:rPr>
                <w:sz w:val="20"/>
                <w:szCs w:val="20"/>
              </w:rPr>
            </w:pPr>
          </w:p>
        </w:tc>
      </w:tr>
      <w:tr w:rsidR="000B61C9" w:rsidRPr="00736E40" w:rsidTr="00CE14D1">
        <w:trPr>
          <w:trHeight w:val="615"/>
          <w:jc w:val="right"/>
        </w:trPr>
        <w:tc>
          <w:tcPr>
            <w:tcW w:w="1980" w:type="dxa"/>
            <w:vAlign w:val="center"/>
          </w:tcPr>
          <w:p w:rsidR="000B61C9" w:rsidRPr="002F7FB1" w:rsidRDefault="000B61C9" w:rsidP="000B61C9">
            <w:pPr>
              <w:rPr>
                <w:sz w:val="20"/>
                <w:szCs w:val="20"/>
              </w:rPr>
            </w:pPr>
            <w:r>
              <w:rPr>
                <w:sz w:val="20"/>
                <w:szCs w:val="20"/>
              </w:rPr>
              <w:t>Lo Weng Kee</w:t>
            </w:r>
          </w:p>
        </w:tc>
        <w:tc>
          <w:tcPr>
            <w:tcW w:w="1276" w:type="dxa"/>
            <w:vAlign w:val="center"/>
          </w:tcPr>
          <w:p w:rsidR="000B61C9" w:rsidRPr="002F7FB1" w:rsidRDefault="000B61C9" w:rsidP="000B61C9">
            <w:pPr>
              <w:rPr>
                <w:sz w:val="20"/>
                <w:szCs w:val="20"/>
              </w:rPr>
            </w:pPr>
            <w:r>
              <w:rPr>
                <w:sz w:val="20"/>
                <w:szCs w:val="20"/>
              </w:rPr>
              <w:t>F</w:t>
            </w:r>
          </w:p>
        </w:tc>
        <w:tc>
          <w:tcPr>
            <w:tcW w:w="1842" w:type="dxa"/>
            <w:vAlign w:val="center"/>
          </w:tcPr>
          <w:p w:rsidR="000B61C9" w:rsidRPr="002F7FB1" w:rsidRDefault="000B61C9" w:rsidP="000B61C9">
            <w:pPr>
              <w:rPr>
                <w:sz w:val="20"/>
                <w:szCs w:val="20"/>
              </w:rPr>
            </w:pPr>
            <w:r>
              <w:rPr>
                <w:sz w:val="20"/>
                <w:szCs w:val="20"/>
              </w:rPr>
              <w:t>Civil Aviation Authority of Singapore</w:t>
            </w:r>
          </w:p>
        </w:tc>
        <w:tc>
          <w:tcPr>
            <w:tcW w:w="3711" w:type="dxa"/>
            <w:vAlign w:val="center"/>
          </w:tcPr>
          <w:p w:rsidR="000B61C9" w:rsidRDefault="000B61C9" w:rsidP="000B61C9">
            <w:pPr>
              <w:rPr>
                <w:sz w:val="20"/>
                <w:szCs w:val="20"/>
              </w:rPr>
            </w:pPr>
            <w:r>
              <w:rPr>
                <w:sz w:val="20"/>
                <w:szCs w:val="20"/>
              </w:rPr>
              <w:t>lo_weng_kee@caas.gov.sg</w:t>
            </w:r>
          </w:p>
        </w:tc>
      </w:tr>
      <w:tr w:rsidR="000B61C9" w:rsidRPr="002F7FB1" w:rsidTr="007C1998">
        <w:trPr>
          <w:trHeight w:val="339"/>
          <w:jc w:val="right"/>
        </w:trPr>
        <w:tc>
          <w:tcPr>
            <w:tcW w:w="1980" w:type="dxa"/>
            <w:vAlign w:val="center"/>
          </w:tcPr>
          <w:p w:rsidR="000B61C9" w:rsidRPr="002F7FB1" w:rsidRDefault="000B61C9" w:rsidP="00E1743D">
            <w:pPr>
              <w:rPr>
                <w:sz w:val="20"/>
                <w:szCs w:val="20"/>
              </w:rPr>
            </w:pPr>
            <w:r w:rsidRPr="002F7FB1">
              <w:rPr>
                <w:sz w:val="20"/>
                <w:szCs w:val="20"/>
              </w:rPr>
              <w:t>Mike Biggs</w:t>
            </w:r>
          </w:p>
        </w:tc>
        <w:tc>
          <w:tcPr>
            <w:tcW w:w="1276" w:type="dxa"/>
            <w:vAlign w:val="center"/>
          </w:tcPr>
          <w:p w:rsidR="000B61C9" w:rsidRPr="002F7FB1" w:rsidRDefault="000B61C9" w:rsidP="00E1743D">
            <w:pPr>
              <w:rPr>
                <w:sz w:val="20"/>
                <w:szCs w:val="20"/>
              </w:rPr>
            </w:pPr>
            <w:r w:rsidRPr="002F7FB1">
              <w:rPr>
                <w:sz w:val="20"/>
                <w:szCs w:val="20"/>
              </w:rPr>
              <w:t>F</w:t>
            </w:r>
          </w:p>
        </w:tc>
        <w:tc>
          <w:tcPr>
            <w:tcW w:w="1842" w:type="dxa"/>
            <w:vAlign w:val="center"/>
          </w:tcPr>
          <w:p w:rsidR="000B61C9" w:rsidRPr="002F7FB1" w:rsidRDefault="000B61C9" w:rsidP="00E1743D">
            <w:pPr>
              <w:rPr>
                <w:sz w:val="20"/>
                <w:szCs w:val="20"/>
              </w:rPr>
            </w:pPr>
            <w:r w:rsidRPr="002F7FB1">
              <w:rPr>
                <w:sz w:val="20"/>
                <w:szCs w:val="20"/>
              </w:rPr>
              <w:t>FAA</w:t>
            </w:r>
          </w:p>
        </w:tc>
        <w:tc>
          <w:tcPr>
            <w:tcW w:w="3711" w:type="dxa"/>
            <w:vAlign w:val="center"/>
          </w:tcPr>
          <w:p w:rsidR="000B61C9" w:rsidRPr="002F7FB1" w:rsidRDefault="001F188D" w:rsidP="00E1743D">
            <w:pPr>
              <w:rPr>
                <w:sz w:val="20"/>
                <w:szCs w:val="20"/>
              </w:rPr>
            </w:pPr>
            <w:hyperlink r:id="rId17" w:history="1">
              <w:r w:rsidR="000B61C9" w:rsidRPr="002F7FB1">
                <w:rPr>
                  <w:sz w:val="20"/>
                  <w:szCs w:val="20"/>
                </w:rPr>
                <w:t>Michael.Biggs@FAA</w:t>
              </w:r>
            </w:hyperlink>
            <w:r w:rsidR="000B61C9" w:rsidRPr="002F7FB1">
              <w:rPr>
                <w:sz w:val="20"/>
                <w:szCs w:val="20"/>
              </w:rPr>
              <w:t>.gov</w:t>
            </w:r>
          </w:p>
        </w:tc>
      </w:tr>
      <w:tr w:rsidR="000B61C9" w:rsidRPr="00736E40" w:rsidTr="00CE14D1">
        <w:trPr>
          <w:trHeight w:val="615"/>
          <w:jc w:val="right"/>
        </w:trPr>
        <w:tc>
          <w:tcPr>
            <w:tcW w:w="1980" w:type="dxa"/>
            <w:vAlign w:val="center"/>
          </w:tcPr>
          <w:p w:rsidR="000B61C9" w:rsidRPr="002F7FB1" w:rsidRDefault="000B61C9" w:rsidP="00E1743D">
            <w:pPr>
              <w:rPr>
                <w:sz w:val="20"/>
                <w:szCs w:val="20"/>
              </w:rPr>
            </w:pPr>
            <w:r w:rsidRPr="002F7FB1">
              <w:rPr>
                <w:sz w:val="20"/>
                <w:szCs w:val="20"/>
              </w:rPr>
              <w:t>Mikhail Markelov</w:t>
            </w:r>
          </w:p>
        </w:tc>
        <w:tc>
          <w:tcPr>
            <w:tcW w:w="1276" w:type="dxa"/>
            <w:vAlign w:val="center"/>
          </w:tcPr>
          <w:p w:rsidR="000B61C9" w:rsidRPr="002F7FB1" w:rsidRDefault="000B61C9" w:rsidP="00E1743D">
            <w:pPr>
              <w:rPr>
                <w:sz w:val="20"/>
                <w:szCs w:val="20"/>
              </w:rPr>
            </w:pPr>
            <w:r w:rsidRPr="002F7FB1">
              <w:rPr>
                <w:sz w:val="20"/>
                <w:szCs w:val="20"/>
              </w:rPr>
              <w:t>F</w:t>
            </w:r>
          </w:p>
        </w:tc>
        <w:tc>
          <w:tcPr>
            <w:tcW w:w="1842" w:type="dxa"/>
            <w:vAlign w:val="center"/>
          </w:tcPr>
          <w:p w:rsidR="000B61C9" w:rsidRPr="002F7FB1" w:rsidRDefault="000B61C9" w:rsidP="00E1743D">
            <w:pPr>
              <w:rPr>
                <w:sz w:val="20"/>
                <w:szCs w:val="20"/>
              </w:rPr>
            </w:pPr>
            <w:r w:rsidRPr="002F7FB1">
              <w:rPr>
                <w:sz w:val="20"/>
                <w:szCs w:val="20"/>
              </w:rPr>
              <w:t>Air Navigation</w:t>
            </w:r>
          </w:p>
          <w:p w:rsidR="000B61C9" w:rsidRPr="002F7FB1" w:rsidRDefault="000B61C9" w:rsidP="00E1743D">
            <w:pPr>
              <w:rPr>
                <w:sz w:val="20"/>
                <w:szCs w:val="20"/>
              </w:rPr>
            </w:pPr>
            <w:r w:rsidRPr="002F7FB1">
              <w:rPr>
                <w:sz w:val="20"/>
                <w:szCs w:val="20"/>
              </w:rPr>
              <w:t xml:space="preserve">State Scientific &amp; Research Institute, Russia </w:t>
            </w:r>
          </w:p>
        </w:tc>
        <w:tc>
          <w:tcPr>
            <w:tcW w:w="3711" w:type="dxa"/>
            <w:vAlign w:val="center"/>
          </w:tcPr>
          <w:p w:rsidR="000B61C9" w:rsidRPr="002F7FB1" w:rsidRDefault="001F188D" w:rsidP="00E1743D">
            <w:pPr>
              <w:rPr>
                <w:sz w:val="20"/>
                <w:szCs w:val="20"/>
              </w:rPr>
            </w:pPr>
            <w:hyperlink r:id="rId18" w:history="1">
              <w:r w:rsidR="000B61C9" w:rsidRPr="002F7FB1">
                <w:rPr>
                  <w:sz w:val="20"/>
                  <w:szCs w:val="20"/>
                </w:rPr>
                <w:t>Markelov@atminst</w:t>
              </w:r>
            </w:hyperlink>
            <w:r w:rsidR="000B61C9" w:rsidRPr="002F7FB1">
              <w:rPr>
                <w:sz w:val="20"/>
                <w:szCs w:val="20"/>
              </w:rPr>
              <w:t>.ru</w:t>
            </w:r>
          </w:p>
        </w:tc>
      </w:tr>
      <w:tr w:rsidR="000B61C9" w:rsidRPr="00736E40" w:rsidTr="004B76AD">
        <w:trPr>
          <w:trHeight w:val="615"/>
          <w:jc w:val="right"/>
        </w:trPr>
        <w:tc>
          <w:tcPr>
            <w:tcW w:w="1980" w:type="dxa"/>
            <w:shd w:val="clear" w:color="auto" w:fill="FFFFFF" w:themeFill="background1"/>
            <w:vAlign w:val="center"/>
          </w:tcPr>
          <w:p w:rsidR="000B61C9" w:rsidRPr="002406A1" w:rsidRDefault="000B61C9" w:rsidP="000B61C9">
            <w:pPr>
              <w:rPr>
                <w:sz w:val="20"/>
                <w:szCs w:val="20"/>
              </w:rPr>
            </w:pPr>
            <w:r w:rsidRPr="00420989">
              <w:rPr>
                <w:sz w:val="20"/>
                <w:szCs w:val="20"/>
              </w:rPr>
              <w:t xml:space="preserve">Noppadol </w:t>
            </w:r>
            <w:proofErr w:type="spellStart"/>
            <w:r w:rsidRPr="00420989">
              <w:rPr>
                <w:sz w:val="20"/>
                <w:szCs w:val="20"/>
              </w:rPr>
              <w:t>Pringvanich</w:t>
            </w:r>
            <w:proofErr w:type="spellEnd"/>
          </w:p>
        </w:tc>
        <w:tc>
          <w:tcPr>
            <w:tcW w:w="1276" w:type="dxa"/>
            <w:shd w:val="clear" w:color="auto" w:fill="FFFFFF" w:themeFill="background1"/>
            <w:vAlign w:val="center"/>
          </w:tcPr>
          <w:p w:rsidR="000B61C9" w:rsidRPr="002406A1" w:rsidRDefault="000B61C9" w:rsidP="000B61C9">
            <w:pPr>
              <w:rPr>
                <w:sz w:val="20"/>
                <w:szCs w:val="20"/>
              </w:rPr>
            </w:pPr>
            <w:r w:rsidRPr="002406A1">
              <w:rPr>
                <w:sz w:val="20"/>
                <w:szCs w:val="20"/>
              </w:rPr>
              <w:t>F</w:t>
            </w:r>
          </w:p>
        </w:tc>
        <w:tc>
          <w:tcPr>
            <w:tcW w:w="1842" w:type="dxa"/>
            <w:shd w:val="clear" w:color="auto" w:fill="FFFFFF" w:themeFill="background1"/>
            <w:vAlign w:val="center"/>
          </w:tcPr>
          <w:p w:rsidR="000B61C9" w:rsidRPr="002406A1" w:rsidRDefault="000B61C9" w:rsidP="000B61C9">
            <w:pPr>
              <w:rPr>
                <w:sz w:val="20"/>
                <w:szCs w:val="20"/>
              </w:rPr>
            </w:pPr>
            <w:r w:rsidRPr="002406A1">
              <w:rPr>
                <w:sz w:val="20"/>
                <w:szCs w:val="20"/>
              </w:rPr>
              <w:t>IATA</w:t>
            </w:r>
          </w:p>
        </w:tc>
        <w:tc>
          <w:tcPr>
            <w:tcW w:w="3711" w:type="dxa"/>
            <w:shd w:val="clear" w:color="auto" w:fill="FFFFFF" w:themeFill="background1"/>
            <w:vAlign w:val="center"/>
          </w:tcPr>
          <w:p w:rsidR="000B61C9" w:rsidRPr="002406A1" w:rsidRDefault="000B61C9" w:rsidP="000B61C9">
            <w:pPr>
              <w:rPr>
                <w:sz w:val="20"/>
                <w:szCs w:val="20"/>
              </w:rPr>
            </w:pPr>
            <w:r w:rsidRPr="002406A1">
              <w:rPr>
                <w:sz w:val="20"/>
                <w:szCs w:val="20"/>
              </w:rPr>
              <w:t>PRINGVANIN@IATA.ORG</w:t>
            </w:r>
          </w:p>
        </w:tc>
      </w:tr>
      <w:tr w:rsidR="000B61C9" w:rsidRPr="00736E40" w:rsidTr="00CE14D1">
        <w:trPr>
          <w:trHeight w:val="615"/>
          <w:jc w:val="right"/>
        </w:trPr>
        <w:tc>
          <w:tcPr>
            <w:tcW w:w="1980" w:type="dxa"/>
            <w:vAlign w:val="center"/>
          </w:tcPr>
          <w:p w:rsidR="000B61C9" w:rsidRPr="0021615F" w:rsidRDefault="000B61C9" w:rsidP="00B655FB">
            <w:pPr>
              <w:rPr>
                <w:sz w:val="20"/>
                <w:szCs w:val="20"/>
              </w:rPr>
            </w:pPr>
            <w:r w:rsidRPr="0021615F">
              <w:rPr>
                <w:sz w:val="20"/>
                <w:szCs w:val="20"/>
              </w:rPr>
              <w:t>Takeshi Ono</w:t>
            </w:r>
          </w:p>
        </w:tc>
        <w:tc>
          <w:tcPr>
            <w:tcW w:w="1276" w:type="dxa"/>
            <w:vAlign w:val="center"/>
          </w:tcPr>
          <w:p w:rsidR="000B61C9" w:rsidRPr="0021615F" w:rsidRDefault="000B61C9" w:rsidP="00E1743D">
            <w:pPr>
              <w:rPr>
                <w:sz w:val="20"/>
                <w:szCs w:val="20"/>
              </w:rPr>
            </w:pPr>
            <w:r w:rsidRPr="0021615F">
              <w:rPr>
                <w:sz w:val="20"/>
                <w:szCs w:val="20"/>
              </w:rPr>
              <w:t>F</w:t>
            </w:r>
          </w:p>
        </w:tc>
        <w:tc>
          <w:tcPr>
            <w:tcW w:w="1842" w:type="dxa"/>
            <w:vAlign w:val="center"/>
          </w:tcPr>
          <w:p w:rsidR="000B61C9" w:rsidRPr="0021615F" w:rsidRDefault="000B61C9" w:rsidP="00E1743D">
            <w:pPr>
              <w:rPr>
                <w:sz w:val="20"/>
                <w:szCs w:val="20"/>
              </w:rPr>
            </w:pPr>
            <w:r w:rsidRPr="0021615F">
              <w:rPr>
                <w:sz w:val="20"/>
                <w:szCs w:val="20"/>
              </w:rPr>
              <w:t>Japan Radio Navigation Systems Association</w:t>
            </w:r>
          </w:p>
        </w:tc>
        <w:tc>
          <w:tcPr>
            <w:tcW w:w="3711" w:type="dxa"/>
            <w:vAlign w:val="center"/>
          </w:tcPr>
          <w:p w:rsidR="000B61C9" w:rsidRPr="0021615F" w:rsidRDefault="000B61C9" w:rsidP="00E1743D">
            <w:pPr>
              <w:rPr>
                <w:sz w:val="20"/>
                <w:szCs w:val="20"/>
              </w:rPr>
            </w:pPr>
            <w:r w:rsidRPr="0021615F">
              <w:rPr>
                <w:sz w:val="20"/>
                <w:szCs w:val="20"/>
              </w:rPr>
              <w:t>ono-t178@jransa.or.jp</w:t>
            </w:r>
          </w:p>
        </w:tc>
      </w:tr>
      <w:tr w:rsidR="000B61C9" w:rsidRPr="00736E40" w:rsidTr="00CE14D1">
        <w:trPr>
          <w:trHeight w:val="615"/>
          <w:jc w:val="right"/>
        </w:trPr>
        <w:tc>
          <w:tcPr>
            <w:tcW w:w="1980" w:type="dxa"/>
            <w:vAlign w:val="center"/>
          </w:tcPr>
          <w:p w:rsidR="000B61C9" w:rsidRPr="002F7FB1" w:rsidRDefault="000B61C9" w:rsidP="000B61C9">
            <w:pPr>
              <w:rPr>
                <w:sz w:val="20"/>
                <w:szCs w:val="20"/>
              </w:rPr>
            </w:pPr>
            <w:r w:rsidRPr="002F7FB1">
              <w:rPr>
                <w:sz w:val="20"/>
                <w:szCs w:val="20"/>
              </w:rPr>
              <w:t>Wei Wang</w:t>
            </w:r>
          </w:p>
        </w:tc>
        <w:tc>
          <w:tcPr>
            <w:tcW w:w="1276" w:type="dxa"/>
            <w:vAlign w:val="center"/>
          </w:tcPr>
          <w:p w:rsidR="000B61C9" w:rsidRPr="002F7FB1" w:rsidRDefault="000B61C9" w:rsidP="000B61C9">
            <w:pPr>
              <w:rPr>
                <w:sz w:val="20"/>
                <w:szCs w:val="20"/>
              </w:rPr>
            </w:pPr>
            <w:r w:rsidRPr="002F7FB1">
              <w:rPr>
                <w:sz w:val="20"/>
                <w:szCs w:val="20"/>
              </w:rPr>
              <w:t>F</w:t>
            </w:r>
          </w:p>
        </w:tc>
        <w:tc>
          <w:tcPr>
            <w:tcW w:w="1842" w:type="dxa"/>
            <w:vAlign w:val="center"/>
          </w:tcPr>
          <w:p w:rsidR="000B61C9" w:rsidRPr="002F7FB1" w:rsidRDefault="000B61C9" w:rsidP="000B61C9">
            <w:pPr>
              <w:rPr>
                <w:sz w:val="20"/>
                <w:szCs w:val="20"/>
              </w:rPr>
            </w:pPr>
            <w:r w:rsidRPr="002F7FB1">
              <w:rPr>
                <w:sz w:val="20"/>
                <w:szCs w:val="20"/>
              </w:rPr>
              <w:t>ATMB CAAC, Peoples Republic of China</w:t>
            </w:r>
          </w:p>
        </w:tc>
        <w:tc>
          <w:tcPr>
            <w:tcW w:w="3711" w:type="dxa"/>
            <w:vAlign w:val="center"/>
          </w:tcPr>
          <w:p w:rsidR="000B61C9" w:rsidRPr="002F7FB1" w:rsidRDefault="000B61C9" w:rsidP="000B61C9">
            <w:pPr>
              <w:rPr>
                <w:sz w:val="20"/>
                <w:szCs w:val="20"/>
              </w:rPr>
            </w:pPr>
            <w:r>
              <w:rPr>
                <w:sz w:val="20"/>
                <w:szCs w:val="20"/>
              </w:rPr>
              <w:t>wangwei_caac</w:t>
            </w:r>
            <w:r w:rsidRPr="002F7FB1">
              <w:rPr>
                <w:sz w:val="20"/>
                <w:szCs w:val="20"/>
              </w:rPr>
              <w:t>@sina.com</w:t>
            </w:r>
          </w:p>
        </w:tc>
      </w:tr>
      <w:tr w:rsidR="000B61C9" w:rsidRPr="00736E40" w:rsidTr="00CE14D1">
        <w:trPr>
          <w:trHeight w:val="615"/>
          <w:jc w:val="right"/>
        </w:trPr>
        <w:tc>
          <w:tcPr>
            <w:tcW w:w="1980" w:type="dxa"/>
            <w:vAlign w:val="center"/>
          </w:tcPr>
          <w:p w:rsidR="000B61C9" w:rsidRPr="0021615F" w:rsidRDefault="000B61C9" w:rsidP="000B61C9">
            <w:pPr>
              <w:rPr>
                <w:sz w:val="20"/>
                <w:szCs w:val="20"/>
              </w:rPr>
            </w:pPr>
            <w:r>
              <w:rPr>
                <w:sz w:val="20"/>
                <w:szCs w:val="20"/>
              </w:rPr>
              <w:t>Xiaomin Fan</w:t>
            </w:r>
          </w:p>
        </w:tc>
        <w:tc>
          <w:tcPr>
            <w:tcW w:w="1276" w:type="dxa"/>
            <w:vAlign w:val="center"/>
          </w:tcPr>
          <w:p w:rsidR="000B61C9" w:rsidRPr="0021615F" w:rsidRDefault="000B61C9" w:rsidP="000B61C9">
            <w:pPr>
              <w:rPr>
                <w:sz w:val="20"/>
                <w:szCs w:val="20"/>
              </w:rPr>
            </w:pPr>
            <w:r>
              <w:rPr>
                <w:sz w:val="20"/>
                <w:szCs w:val="20"/>
              </w:rPr>
              <w:t>F</w:t>
            </w:r>
          </w:p>
        </w:tc>
        <w:tc>
          <w:tcPr>
            <w:tcW w:w="1842" w:type="dxa"/>
            <w:vAlign w:val="center"/>
          </w:tcPr>
          <w:p w:rsidR="000B61C9" w:rsidRPr="0021615F" w:rsidRDefault="000B61C9" w:rsidP="000B61C9">
            <w:pPr>
              <w:rPr>
                <w:sz w:val="20"/>
                <w:szCs w:val="20"/>
              </w:rPr>
            </w:pPr>
            <w:r>
              <w:rPr>
                <w:sz w:val="20"/>
                <w:szCs w:val="20"/>
              </w:rPr>
              <w:t xml:space="preserve">AAC, </w:t>
            </w:r>
            <w:r w:rsidRPr="00B52125">
              <w:rPr>
                <w:sz w:val="20"/>
                <w:szCs w:val="20"/>
              </w:rPr>
              <w:t>Peoples Republic of China</w:t>
            </w:r>
          </w:p>
        </w:tc>
        <w:tc>
          <w:tcPr>
            <w:tcW w:w="3711" w:type="dxa"/>
            <w:vAlign w:val="center"/>
          </w:tcPr>
          <w:p w:rsidR="000B61C9" w:rsidRPr="0021615F" w:rsidRDefault="000B61C9" w:rsidP="000B61C9">
            <w:pPr>
              <w:rPr>
                <w:sz w:val="20"/>
                <w:szCs w:val="20"/>
              </w:rPr>
            </w:pPr>
            <w:r w:rsidRPr="000B61C9">
              <w:rPr>
                <w:sz w:val="20"/>
                <w:szCs w:val="20"/>
              </w:rPr>
              <w:t>fanxm@nwcaac.gov.cn</w:t>
            </w:r>
          </w:p>
        </w:tc>
      </w:tr>
      <w:tr w:rsidR="000B61C9" w:rsidRPr="00736E40" w:rsidTr="007C1998">
        <w:trPr>
          <w:trHeight w:val="352"/>
          <w:jc w:val="right"/>
        </w:trPr>
        <w:tc>
          <w:tcPr>
            <w:tcW w:w="1980" w:type="dxa"/>
            <w:vAlign w:val="center"/>
          </w:tcPr>
          <w:p w:rsidR="000B61C9" w:rsidRPr="00B52125" w:rsidRDefault="000B61C9" w:rsidP="000B61C9">
            <w:pPr>
              <w:rPr>
                <w:sz w:val="20"/>
                <w:szCs w:val="20"/>
              </w:rPr>
            </w:pPr>
            <w:r w:rsidRPr="00B52125">
              <w:rPr>
                <w:sz w:val="20"/>
                <w:szCs w:val="20"/>
              </w:rPr>
              <w:t>Zhipeng Wang</w:t>
            </w:r>
          </w:p>
        </w:tc>
        <w:tc>
          <w:tcPr>
            <w:tcW w:w="1276" w:type="dxa"/>
            <w:vAlign w:val="center"/>
          </w:tcPr>
          <w:p w:rsidR="000B61C9" w:rsidRPr="00B52125" w:rsidRDefault="000B61C9" w:rsidP="000B61C9">
            <w:pPr>
              <w:rPr>
                <w:sz w:val="20"/>
                <w:szCs w:val="20"/>
              </w:rPr>
            </w:pPr>
            <w:r>
              <w:rPr>
                <w:sz w:val="20"/>
                <w:szCs w:val="20"/>
              </w:rPr>
              <w:t>F</w:t>
            </w:r>
          </w:p>
        </w:tc>
        <w:tc>
          <w:tcPr>
            <w:tcW w:w="1842" w:type="dxa"/>
            <w:vAlign w:val="center"/>
          </w:tcPr>
          <w:p w:rsidR="000B61C9" w:rsidRPr="00B52125" w:rsidRDefault="000B61C9" w:rsidP="000B61C9">
            <w:pPr>
              <w:rPr>
                <w:sz w:val="20"/>
                <w:szCs w:val="20"/>
              </w:rPr>
            </w:pPr>
            <w:r w:rsidRPr="00B52125">
              <w:rPr>
                <w:sz w:val="20"/>
                <w:szCs w:val="20"/>
              </w:rPr>
              <w:t>ADCC Peoples Republic of China</w:t>
            </w:r>
          </w:p>
        </w:tc>
        <w:tc>
          <w:tcPr>
            <w:tcW w:w="3711" w:type="dxa"/>
            <w:vAlign w:val="center"/>
          </w:tcPr>
          <w:p w:rsidR="000B61C9" w:rsidRPr="00B52125" w:rsidRDefault="000B61C9" w:rsidP="000B61C9">
            <w:pPr>
              <w:rPr>
                <w:sz w:val="20"/>
                <w:szCs w:val="20"/>
              </w:rPr>
            </w:pPr>
            <w:r>
              <w:rPr>
                <w:sz w:val="20"/>
                <w:szCs w:val="20"/>
              </w:rPr>
              <w:t>wangzhipeng@buaa.edu.cn</w:t>
            </w:r>
          </w:p>
        </w:tc>
      </w:tr>
    </w:tbl>
    <w:p w:rsidR="00074170" w:rsidRPr="00736E40" w:rsidRDefault="00074170" w:rsidP="00E30B50">
      <w:pPr>
        <w:rPr>
          <w:b/>
          <w:bCs/>
        </w:rPr>
      </w:pPr>
    </w:p>
    <w:p w:rsidR="00074170" w:rsidRDefault="003F1BF4" w:rsidP="00422F52">
      <w:pPr>
        <w:rPr>
          <w:b/>
          <w:bCs/>
          <w:lang w:val="fr-FR"/>
        </w:rPr>
      </w:pPr>
      <w:r w:rsidRPr="003F1BF4">
        <w:rPr>
          <w:b/>
          <w:bCs/>
          <w:lang w:val="fr-FR"/>
        </w:rPr>
        <w:t>E-mail Distribution List</w:t>
      </w:r>
      <w:r w:rsidR="00DE5939">
        <w:rPr>
          <w:b/>
          <w:bCs/>
          <w:lang w:val="fr-FR"/>
        </w:rPr>
        <w:t xml:space="preserve"> of SWG</w:t>
      </w:r>
      <w:r w:rsidRPr="003F1BF4">
        <w:rPr>
          <w:b/>
          <w:bCs/>
          <w:lang w:val="fr-FR"/>
        </w:rPr>
        <w:t>:</w:t>
      </w:r>
    </w:p>
    <w:p w:rsidR="003F1BF4" w:rsidRPr="008C7A61" w:rsidRDefault="003F1BF4" w:rsidP="00422F52">
      <w:pPr>
        <w:rPr>
          <w:rStyle w:val="Hyperlink"/>
          <w:sz w:val="20"/>
          <w:szCs w:val="20"/>
          <w:lang w:val="fr-FR"/>
        </w:rPr>
      </w:pPr>
    </w:p>
    <w:p w:rsidR="007B77D0" w:rsidRPr="007B77D0" w:rsidRDefault="00CF448A" w:rsidP="007B77D0">
      <w:pPr>
        <w:rPr>
          <w:bCs/>
          <w:sz w:val="20"/>
          <w:szCs w:val="20"/>
          <w:lang w:val="fr-FR"/>
        </w:rPr>
      </w:pPr>
      <w:r w:rsidRPr="00042FE6">
        <w:rPr>
          <w:bCs/>
          <w:sz w:val="20"/>
          <w:szCs w:val="20"/>
          <w:lang w:val="fr-FR"/>
        </w:rPr>
        <w:t>ACapretti@icao.int</w:t>
      </w:r>
      <w:r>
        <w:rPr>
          <w:bCs/>
          <w:sz w:val="20"/>
          <w:szCs w:val="20"/>
          <w:lang w:val="fr-FR"/>
        </w:rPr>
        <w:t>;</w:t>
      </w:r>
      <w:r w:rsidR="007B77D0" w:rsidRPr="007B77D0">
        <w:rPr>
          <w:bCs/>
          <w:sz w:val="20"/>
          <w:szCs w:val="20"/>
          <w:lang w:val="fr-FR"/>
        </w:rPr>
        <w:t>Andreas.Lipp@eurocontrol.int; gerhard.berz@eurocontrol.int;barbara.clark@faa.gov; Bruce.Johnson@honeywell.com;tim.murphy@boeing.com;chegarty@mitre.org; Michael.Biggs@FAA.gov; Mark.Dickinson@FAA.gov; Joel.Wichgers@rockwellcollins.com; Daniel.Domey@cmcelectronics.ca; rcassell@systems-enginuity.com; Orville.Nyhus@honeywell.com; Joel.Wichgers@rockwellcollins.com; Adrian.Hiliuta@cmcelectronics.ca; Mike.Spanner@NATS.co.uk; jules.hermens@ilent.nl;Markelov@atminst.ru;aronov@geyser-telecom.ru; John.dyson@nats.co.uk;susaito@enri.go.jp;Kawazu-y2g2@mlit.go.jp</w:t>
      </w:r>
    </w:p>
    <w:p w:rsidR="003F1BF4" w:rsidRDefault="007B77D0" w:rsidP="007B77D0">
      <w:pPr>
        <w:rPr>
          <w:bCs/>
          <w:sz w:val="20"/>
          <w:szCs w:val="20"/>
          <w:lang w:val="fr-FR"/>
        </w:rPr>
      </w:pPr>
      <w:r w:rsidRPr="007B77D0">
        <w:rPr>
          <w:bCs/>
          <w:sz w:val="20"/>
          <w:szCs w:val="20"/>
          <w:lang w:val="fr-FR"/>
        </w:rPr>
        <w:t xml:space="preserve">wangzhipeng@buaa.edu.cn; wangwei_caac@sina.com; lo_weng_kee@caas.gov.sg; qinzhi@atmb.net.cn; FanXiaomin@nwcaac.gov.cn; gao_shu@caas.gov.sg; Andre.SCHUETTPELZ@thalesgroup.com; Ed.Williams@AirservicesAustralia.com; christophe.dehaynain@aviation-civile.gouv.fr; pierre.ladoux@aviation-civile.gouv.fr; Laurent.AZOULAI@airbus.com; pierre.ladoux@aviation-civile.gouv.fr; PRINGVANIN@IATA.ORG; pansingh@aai.aero; imre.banyasz@hungarocontrol.hu; achim.hornbostel@dlr.de; winfried.dunkel@dfs.de; </w:t>
      </w:r>
      <w:hyperlink r:id="rId19" w:history="1">
        <w:r w:rsidR="00042FE6" w:rsidRPr="00042FE6">
          <w:rPr>
            <w:lang w:val="fr-FR"/>
          </w:rPr>
          <w:t>Stefan.naerlich@dfs.de</w:t>
        </w:r>
      </w:hyperlink>
    </w:p>
    <w:p w:rsidR="00042FE6" w:rsidRPr="00042FE6" w:rsidRDefault="00042FE6" w:rsidP="00042FE6">
      <w:pPr>
        <w:rPr>
          <w:b/>
          <w:sz w:val="28"/>
          <w:lang w:val="en-US"/>
        </w:rPr>
      </w:pPr>
      <w:r w:rsidRPr="00042FE6">
        <w:rPr>
          <w:b/>
          <w:sz w:val="28"/>
          <w:lang w:val="en-US"/>
        </w:rPr>
        <w:lastRenderedPageBreak/>
        <w:t xml:space="preserve">Attachment C: Flimsy 9, rev. 1, </w:t>
      </w:r>
      <w:r>
        <w:rPr>
          <w:b/>
          <w:sz w:val="28"/>
          <w:lang w:val="en-US"/>
        </w:rPr>
        <w:t>“</w:t>
      </w:r>
      <w:r w:rsidRPr="00474210">
        <w:rPr>
          <w:b/>
          <w:sz w:val="28"/>
          <w:lang w:val="en-US"/>
        </w:rPr>
        <w:t>ICAO NSP recommendations</w:t>
      </w:r>
      <w:r>
        <w:rPr>
          <w:b/>
          <w:sz w:val="28"/>
          <w:lang w:val="en-US"/>
        </w:rPr>
        <w:t xml:space="preserve"> </w:t>
      </w:r>
      <w:r w:rsidRPr="00474210">
        <w:rPr>
          <w:b/>
          <w:sz w:val="28"/>
          <w:lang w:val="en-US"/>
        </w:rPr>
        <w:t xml:space="preserve">on necessary interference suppression improvement </w:t>
      </w:r>
      <w:r>
        <w:rPr>
          <w:b/>
          <w:sz w:val="28"/>
          <w:lang w:val="en-US"/>
        </w:rPr>
        <w:t xml:space="preserve">of the </w:t>
      </w:r>
      <w:r w:rsidRPr="00474210">
        <w:rPr>
          <w:b/>
          <w:sz w:val="28"/>
          <w:lang w:val="en-US"/>
        </w:rPr>
        <w:t xml:space="preserve">GBAS VDB </w:t>
      </w:r>
      <w:r>
        <w:rPr>
          <w:b/>
          <w:sz w:val="28"/>
          <w:lang w:val="en-US"/>
        </w:rPr>
        <w:t xml:space="preserve">receiver” </w:t>
      </w:r>
    </w:p>
    <w:p w:rsidR="00042FE6" w:rsidRDefault="00042FE6" w:rsidP="00042FE6">
      <w:pPr>
        <w:rPr>
          <w:lang w:val="en-US"/>
        </w:rPr>
      </w:pPr>
    </w:p>
    <w:p w:rsidR="00042FE6" w:rsidRDefault="00042FE6" w:rsidP="00042FE6">
      <w:pPr>
        <w:rPr>
          <w:i/>
          <w:lang w:val="en-US"/>
        </w:rPr>
      </w:pPr>
    </w:p>
    <w:p w:rsidR="00042FE6" w:rsidRDefault="00042FE6" w:rsidP="00042FE6">
      <w:pPr>
        <w:rPr>
          <w:i/>
          <w:lang w:val="en-US"/>
        </w:rPr>
      </w:pPr>
      <w:r w:rsidRPr="0094571D">
        <w:rPr>
          <w:i/>
          <w:lang w:val="en-US"/>
        </w:rPr>
        <w:t xml:space="preserve">Note: This </w:t>
      </w:r>
      <w:r>
        <w:rPr>
          <w:i/>
          <w:lang w:val="en-US"/>
        </w:rPr>
        <w:t xml:space="preserve">paper was presented via WebEx to </w:t>
      </w:r>
      <w:r w:rsidRPr="0094571D">
        <w:rPr>
          <w:i/>
          <w:lang w:val="en-US"/>
        </w:rPr>
        <w:t>RTCA SC-159 WG4</w:t>
      </w:r>
      <w:r>
        <w:rPr>
          <w:i/>
          <w:lang w:val="en-US"/>
        </w:rPr>
        <w:t xml:space="preserve"> at its meeting at the12</w:t>
      </w:r>
      <w:r w:rsidRPr="00277D43">
        <w:rPr>
          <w:i/>
          <w:vertAlign w:val="superscript"/>
          <w:lang w:val="en-US"/>
        </w:rPr>
        <w:t>th</w:t>
      </w:r>
      <w:r>
        <w:rPr>
          <w:i/>
          <w:lang w:val="en-US"/>
        </w:rPr>
        <w:t xml:space="preserve"> Decembers 2016.</w:t>
      </w:r>
    </w:p>
    <w:p w:rsidR="00042FE6" w:rsidRDefault="00042FE6" w:rsidP="00042FE6">
      <w:pPr>
        <w:rPr>
          <w:i/>
          <w:lang w:val="en-US"/>
        </w:rPr>
      </w:pPr>
    </w:p>
    <w:p w:rsidR="00042FE6" w:rsidRPr="005D2C89" w:rsidRDefault="00042FE6" w:rsidP="00042FE6">
      <w:pPr>
        <w:rPr>
          <w:b/>
          <w:sz w:val="28"/>
          <w:lang w:val="en-US"/>
        </w:rPr>
      </w:pPr>
      <w:r w:rsidRPr="005D2C89">
        <w:rPr>
          <w:b/>
          <w:sz w:val="28"/>
          <w:lang w:val="en-US"/>
        </w:rPr>
        <w:t>Introduction</w:t>
      </w:r>
    </w:p>
    <w:p w:rsidR="00042FE6" w:rsidRDefault="00042FE6" w:rsidP="00042FE6">
      <w:pPr>
        <w:rPr>
          <w:lang w:val="en-US"/>
        </w:rPr>
      </w:pPr>
      <w:r>
        <w:rPr>
          <w:lang w:val="en-US"/>
        </w:rPr>
        <w:t xml:space="preserve">Several papers were presented to ICAO NSP/2 and NSP/3 which demonstrated that ILS and VOR Undesired signal sources exceed the adjacent channel suppression performance (D/U) and maximum received signal power specified by the GBAS MOPS, RTCA DO-253() in operationally relevant areas. This poses a serious problem for the derivation of frequency coordination criteria. In particular, for airports with existing ILS and VOR transmitters deployment of GBAS may not be possible with the current criteria. One paper presented to NSP/3 reported about successful deployment of 29 GBAS stations at airports with ILS Localizers without experiencing any interference problems. Moreover, test-results of GBAS VDB receivers presented to ICAO NSP indicate that interference suppression performance of some of today’s receivers are significantly exceeding what is specified in the MOPS.  </w:t>
      </w:r>
      <w:r w:rsidRPr="00A3525E">
        <w:rPr>
          <w:lang w:val="en-US"/>
        </w:rPr>
        <w:t xml:space="preserve">One of these GBAS stations was operating without interference even with a frequency-offset as little as 650 kHz from the ILS at the same airport </w:t>
      </w:r>
      <w:r w:rsidR="00091FE2">
        <w:rPr>
          <w:lang w:val="en-US"/>
        </w:rPr>
        <w:t>.</w:t>
      </w:r>
      <w:r>
        <w:rPr>
          <w:lang w:val="en-US"/>
        </w:rPr>
        <w:t>Therefore a more stringent specification of the on-board GBAS VDB interference suppression performance may be possible. That would lead to more practicable frequency coordination criteria. The goal of this document is to provide RTCA basic recommendations on how to revise the GBAS VDB interference suppression specifications.</w:t>
      </w:r>
    </w:p>
    <w:p w:rsidR="00042FE6" w:rsidRDefault="00042FE6" w:rsidP="00042FE6">
      <w:pPr>
        <w:rPr>
          <w:lang w:val="en-US"/>
        </w:rPr>
      </w:pPr>
    </w:p>
    <w:p w:rsidR="00042FE6" w:rsidRDefault="00042FE6" w:rsidP="00042FE6">
      <w:pPr>
        <w:rPr>
          <w:b/>
          <w:sz w:val="28"/>
          <w:lang w:val="en-US"/>
        </w:rPr>
      </w:pPr>
    </w:p>
    <w:p w:rsidR="00042FE6" w:rsidRDefault="00042FE6" w:rsidP="00042FE6">
      <w:pPr>
        <w:rPr>
          <w:b/>
          <w:sz w:val="28"/>
          <w:lang w:val="en-US"/>
        </w:rPr>
      </w:pPr>
      <w:r w:rsidRPr="00854077">
        <w:rPr>
          <w:b/>
          <w:sz w:val="28"/>
          <w:lang w:val="en-US"/>
        </w:rPr>
        <w:t>Assumptions to be taken into account</w:t>
      </w:r>
    </w:p>
    <w:p w:rsidR="00042FE6" w:rsidRDefault="00042FE6" w:rsidP="00042FE6">
      <w:pPr>
        <w:pStyle w:val="ListParagraph"/>
        <w:numPr>
          <w:ilvl w:val="0"/>
          <w:numId w:val="20"/>
        </w:numPr>
        <w:rPr>
          <w:lang w:val="en-US"/>
        </w:rPr>
      </w:pPr>
      <w:r>
        <w:rPr>
          <w:lang w:val="en-US"/>
        </w:rPr>
        <w:t>Overflights of transmitting ILS Localizers will occur except for CAT II/III operations.</w:t>
      </w:r>
    </w:p>
    <w:p w:rsidR="00042FE6" w:rsidRDefault="00042FE6" w:rsidP="00042FE6">
      <w:pPr>
        <w:pStyle w:val="ListParagraph"/>
        <w:numPr>
          <w:ilvl w:val="0"/>
          <w:numId w:val="20"/>
        </w:numPr>
        <w:rPr>
          <w:lang w:val="en-US"/>
        </w:rPr>
      </w:pPr>
      <w:r w:rsidRPr="003A3444">
        <w:rPr>
          <w:lang w:val="en-US"/>
        </w:rPr>
        <w:t>H</w:t>
      </w:r>
      <w:r w:rsidRPr="000B55F4">
        <w:rPr>
          <w:lang w:val="en-US"/>
        </w:rPr>
        <w:t>igh undesired signal level</w:t>
      </w:r>
      <w:r>
        <w:rPr>
          <w:lang w:val="en-US"/>
        </w:rPr>
        <w:t>s</w:t>
      </w:r>
      <w:r w:rsidRPr="000B55F4">
        <w:rPr>
          <w:lang w:val="en-US"/>
        </w:rPr>
        <w:t xml:space="preserve"> from ILS Localizers can be expected during the roll-out phase</w:t>
      </w:r>
      <w:r w:rsidRPr="000B55F4">
        <w:t xml:space="preserve"> </w:t>
      </w:r>
      <w:r w:rsidRPr="000B55F4">
        <w:rPr>
          <w:lang w:val="en-US"/>
        </w:rPr>
        <w:t>close to the runway stop-end</w:t>
      </w:r>
      <w:r w:rsidRPr="003A3444">
        <w:rPr>
          <w:lang w:val="en-US"/>
        </w:rPr>
        <w:t>. This applies to Autoland and CAT II/III operations, depending on the distance between ILS LLZ and runway stop-end. Guidance only need to be provided up to ILS-point E</w:t>
      </w:r>
      <w:r w:rsidRPr="000B55F4">
        <w:rPr>
          <w:lang w:val="en-US"/>
        </w:rPr>
        <w:t>.</w:t>
      </w:r>
    </w:p>
    <w:p w:rsidR="00042FE6" w:rsidRPr="008B5F78" w:rsidRDefault="00042FE6" w:rsidP="00042FE6">
      <w:pPr>
        <w:pStyle w:val="ListParagraph"/>
        <w:numPr>
          <w:ilvl w:val="0"/>
          <w:numId w:val="20"/>
        </w:numPr>
        <w:rPr>
          <w:lang w:val="en-US"/>
        </w:rPr>
      </w:pPr>
      <w:r w:rsidRPr="008B5F78">
        <w:rPr>
          <w:lang w:val="en-US"/>
        </w:rPr>
        <w:t>The GBAS guidance for guided take-off needs to be available until</w:t>
      </w:r>
      <w:r w:rsidRPr="003A3444">
        <w:rPr>
          <w:lang w:val="en-US"/>
        </w:rPr>
        <w:t xml:space="preserve"> the Departure End of the runway (typically the opposite runway threshold)</w:t>
      </w:r>
      <w:r w:rsidRPr="008B5F78">
        <w:rPr>
          <w:lang w:val="en-US"/>
        </w:rPr>
        <w:t>.</w:t>
      </w:r>
    </w:p>
    <w:p w:rsidR="00042FE6" w:rsidRDefault="00042FE6" w:rsidP="00042FE6">
      <w:pPr>
        <w:pStyle w:val="ListParagraph"/>
        <w:numPr>
          <w:ilvl w:val="0"/>
          <w:numId w:val="20"/>
        </w:numPr>
        <w:rPr>
          <w:lang w:val="en-US"/>
        </w:rPr>
      </w:pPr>
      <w:r>
        <w:rPr>
          <w:lang w:val="en-US"/>
        </w:rPr>
        <w:t>ILS localizers are located in distances between 100 m and 1200 m from runway-thresholds and runway stop-ends. At the majority of airports this distance is between 300 m and 400 m.</w:t>
      </w:r>
    </w:p>
    <w:p w:rsidR="00042FE6" w:rsidRDefault="00042FE6" w:rsidP="00042FE6">
      <w:pPr>
        <w:pStyle w:val="ListParagraph"/>
        <w:numPr>
          <w:ilvl w:val="0"/>
          <w:numId w:val="20"/>
        </w:numPr>
        <w:rPr>
          <w:lang w:val="en-US"/>
        </w:rPr>
      </w:pPr>
      <w:r>
        <w:rPr>
          <w:lang w:val="en-US"/>
        </w:rPr>
        <w:t>For autoland and CAT-II/III operations undisturbed GBAS VDB reception during the roll-out needs to be ensured. The time period of overflight and roll-out in conditions where the D/U exceed the RTCA specification may exceed the GBAS VDB Message loss tolerable times.</w:t>
      </w:r>
    </w:p>
    <w:p w:rsidR="00042FE6" w:rsidRDefault="00042FE6" w:rsidP="00042FE6">
      <w:pPr>
        <w:pStyle w:val="ListParagraph"/>
        <w:numPr>
          <w:ilvl w:val="0"/>
          <w:numId w:val="20"/>
        </w:numPr>
        <w:rPr>
          <w:lang w:val="en-US"/>
        </w:rPr>
      </w:pPr>
      <w:r w:rsidRPr="005F5D6D">
        <w:rPr>
          <w:lang w:val="en-US"/>
        </w:rPr>
        <w:t>The tolerable time for GBAS VDB Message loss is specified in section 3.6.8.3.4 of the new GBAS draft SARPs (</w:t>
      </w:r>
      <w:r>
        <w:rPr>
          <w:lang w:val="en-US"/>
        </w:rPr>
        <w:t>ICAO NSP/3, WP3).</w:t>
      </w:r>
    </w:p>
    <w:p w:rsidR="00042FE6" w:rsidRDefault="00042FE6" w:rsidP="00042FE6">
      <w:pPr>
        <w:pStyle w:val="ListParagraph"/>
        <w:numPr>
          <w:ilvl w:val="0"/>
          <w:numId w:val="20"/>
        </w:numPr>
        <w:rPr>
          <w:lang w:val="en-US"/>
        </w:rPr>
      </w:pPr>
      <w:r w:rsidRPr="00826348">
        <w:rPr>
          <w:lang w:val="en-US"/>
        </w:rPr>
        <w:t xml:space="preserve">Flight inspection results conducted at a major international airport demonstrated that a Signal-in-Space Desired-to-Undesired signal ratio of -59 dB was encountered at an overflight of an ILS Localizer (NSP/3, WP16). With an assumption of 15 dB on-board horizontal antenna gain variation and 6 dB transmission line loss variation this would lead to a D/U at the GBAS VDB receiver input of -80 dB. The </w:t>
      </w:r>
      <w:r w:rsidRPr="003A3444">
        <w:rPr>
          <w:lang w:val="en-US"/>
        </w:rPr>
        <w:t xml:space="preserve">current </w:t>
      </w:r>
      <w:r w:rsidRPr="00826348">
        <w:rPr>
          <w:lang w:val="en-US"/>
        </w:rPr>
        <w:t xml:space="preserve">-46 dB D/U </w:t>
      </w:r>
      <w:r w:rsidRPr="003A3444">
        <w:rPr>
          <w:lang w:val="en-US"/>
        </w:rPr>
        <w:t xml:space="preserve">threshold </w:t>
      </w:r>
      <w:r w:rsidRPr="00A11446">
        <w:rPr>
          <w:lang w:val="en-US"/>
        </w:rPr>
        <w:t xml:space="preserve">at the GBAS VDB receiver </w:t>
      </w:r>
      <w:r w:rsidRPr="00826348">
        <w:rPr>
          <w:lang w:val="en-US"/>
        </w:rPr>
        <w:t xml:space="preserve">is exceeded for approximately </w:t>
      </w:r>
      <w:r w:rsidRPr="003A3444">
        <w:rPr>
          <w:lang w:val="en-US"/>
        </w:rPr>
        <w:t>10</w:t>
      </w:r>
      <w:r w:rsidRPr="00826348">
        <w:rPr>
          <w:lang w:val="en-US"/>
        </w:rPr>
        <w:t xml:space="preserve"> seconds during this scenario</w:t>
      </w:r>
      <w:r w:rsidRPr="003A3444">
        <w:rPr>
          <w:lang w:val="en-US"/>
        </w:rPr>
        <w:t>, assuming 60 m/sec aircraft speed</w:t>
      </w:r>
      <w:r w:rsidRPr="00826348">
        <w:rPr>
          <w:lang w:val="en-US"/>
        </w:rPr>
        <w:t>.</w:t>
      </w:r>
    </w:p>
    <w:p w:rsidR="00042FE6" w:rsidRDefault="00042FE6" w:rsidP="00042FE6">
      <w:pPr>
        <w:rPr>
          <w:lang w:val="en-US"/>
        </w:rPr>
      </w:pPr>
    </w:p>
    <w:p w:rsidR="00042FE6" w:rsidRPr="00042FE6" w:rsidRDefault="00042FE6" w:rsidP="00042FE6">
      <w:pPr>
        <w:rPr>
          <w:lang w:val="en-US"/>
        </w:rPr>
      </w:pPr>
    </w:p>
    <w:p w:rsidR="00042FE6" w:rsidRPr="003A3444" w:rsidRDefault="00042FE6" w:rsidP="00042FE6">
      <w:pPr>
        <w:pStyle w:val="ListParagraph"/>
        <w:numPr>
          <w:ilvl w:val="0"/>
          <w:numId w:val="20"/>
        </w:numPr>
        <w:rPr>
          <w:lang w:val="en-US"/>
        </w:rPr>
      </w:pPr>
      <w:r w:rsidRPr="00A11446">
        <w:rPr>
          <w:lang w:val="en-US"/>
        </w:rPr>
        <w:t xml:space="preserve">Flight inspection results conducted at a major international airport (ILS LLZ backset of 400 m) demonstrated that a Signal-in-Space Desired-to-Undesired signal ratio of -46 dB caused by </w:t>
      </w:r>
      <w:r w:rsidRPr="00A11446">
        <w:rPr>
          <w:lang w:val="en-US"/>
        </w:rPr>
        <w:lastRenderedPageBreak/>
        <w:t>an ILS Localizer was encountered close to the runway stop-end. With an assumption of 15 dB on-board antenna gain variation and 6 dB transmission line loss variation this would lead to a D/U at the GBAS VDB receiver input of  -67 dB (NSP/3, WP16) exceeding the RTCA specified D/U within 600 m of the runway stop-end. The</w:t>
      </w:r>
      <w:r w:rsidRPr="003A3444">
        <w:rPr>
          <w:lang w:val="en-US"/>
        </w:rPr>
        <w:t xml:space="preserve"> current</w:t>
      </w:r>
      <w:r w:rsidRPr="00A11446">
        <w:rPr>
          <w:lang w:val="en-US"/>
        </w:rPr>
        <w:t xml:space="preserve"> -46 dB D/U</w:t>
      </w:r>
      <w:r w:rsidRPr="003A3444">
        <w:rPr>
          <w:lang w:val="en-US"/>
        </w:rPr>
        <w:t xml:space="preserve"> at the GBAS VDB receiver</w:t>
      </w:r>
      <w:r w:rsidRPr="00A11446">
        <w:rPr>
          <w:lang w:val="en-US"/>
        </w:rPr>
        <w:t xml:space="preserve"> is exceeded for approximately </w:t>
      </w:r>
      <w:r w:rsidRPr="003A3444">
        <w:rPr>
          <w:lang w:val="en-US"/>
        </w:rPr>
        <w:t xml:space="preserve">40 </w:t>
      </w:r>
      <w:r w:rsidRPr="00A11446">
        <w:rPr>
          <w:lang w:val="en-US"/>
        </w:rPr>
        <w:t>seconds during this scenario assuming an aircraft speed of 15 m/sec.</w:t>
      </w:r>
    </w:p>
    <w:p w:rsidR="00042FE6" w:rsidRPr="003A3444" w:rsidRDefault="00042FE6" w:rsidP="00042FE6">
      <w:pPr>
        <w:pStyle w:val="ListParagraph"/>
        <w:numPr>
          <w:ilvl w:val="0"/>
          <w:numId w:val="20"/>
        </w:numPr>
        <w:rPr>
          <w:lang w:val="en-US"/>
        </w:rPr>
      </w:pPr>
      <w:r w:rsidRPr="00552FF6">
        <w:rPr>
          <w:lang w:val="en-US"/>
        </w:rPr>
        <w:t xml:space="preserve">Siting of  VOR positioned </w:t>
      </w:r>
      <w:r>
        <w:rPr>
          <w:lang w:val="en-US"/>
        </w:rPr>
        <w:t>near</w:t>
      </w:r>
      <w:r w:rsidRPr="00552FF6">
        <w:rPr>
          <w:lang w:val="en-US"/>
        </w:rPr>
        <w:t xml:space="preserve"> the extended runway center-line</w:t>
      </w:r>
      <w:r>
        <w:rPr>
          <w:lang w:val="en-US"/>
        </w:rPr>
        <w:t xml:space="preserve"> or</w:t>
      </w:r>
      <w:r w:rsidRPr="00552FF6">
        <w:rPr>
          <w:lang w:val="en-US"/>
        </w:rPr>
        <w:t xml:space="preserve"> close to the runway</w:t>
      </w:r>
      <w:r>
        <w:rPr>
          <w:lang w:val="en-US"/>
        </w:rPr>
        <w:t xml:space="preserve"> (as close as 120 m for CVOR and 160 m for DVOR) are very common</w:t>
      </w:r>
      <w:r w:rsidRPr="00552FF6">
        <w:rPr>
          <w:lang w:val="en-US"/>
        </w:rPr>
        <w:t xml:space="preserve"> must </w:t>
      </w:r>
      <w:r>
        <w:rPr>
          <w:lang w:val="en-US"/>
        </w:rPr>
        <w:t xml:space="preserve">therefore </w:t>
      </w:r>
      <w:r w:rsidRPr="00552FF6">
        <w:rPr>
          <w:lang w:val="en-US"/>
        </w:rPr>
        <w:t>be accommodated. Initial simulation results predict VOR strengths as high as +5 dBm</w:t>
      </w:r>
      <w:r>
        <w:rPr>
          <w:lang w:val="en-US"/>
        </w:rPr>
        <w:t xml:space="preserve"> at the on-board receive antenna</w:t>
      </w:r>
      <w:r w:rsidRPr="00552FF6">
        <w:rPr>
          <w:lang w:val="en-US"/>
        </w:rPr>
        <w:t xml:space="preserve"> for VOR directly below the approach path and for VOR within a few hundred feet of the runway.  If this VOR strength is combined with minimum VDB strength of -72 dBm, this results in a signal-in-space D/U ratio of -77 dB (NSP/3, IP25).  The </w:t>
      </w:r>
      <w:r w:rsidRPr="003A3444">
        <w:rPr>
          <w:lang w:val="en-US"/>
        </w:rPr>
        <w:t xml:space="preserve">current </w:t>
      </w:r>
      <w:r w:rsidRPr="00552FF6">
        <w:rPr>
          <w:lang w:val="en-US"/>
        </w:rPr>
        <w:t>-46</w:t>
      </w:r>
      <w:r w:rsidRPr="003A3444">
        <w:rPr>
          <w:lang w:val="en-US"/>
        </w:rPr>
        <w:t xml:space="preserve"> </w:t>
      </w:r>
      <w:r w:rsidRPr="00552FF6">
        <w:rPr>
          <w:lang w:val="en-US"/>
        </w:rPr>
        <w:t xml:space="preserve">dB D/U </w:t>
      </w:r>
      <w:r w:rsidRPr="003A3444">
        <w:rPr>
          <w:lang w:val="en-US"/>
        </w:rPr>
        <w:t xml:space="preserve">at the GBAS VDB receiver </w:t>
      </w:r>
      <w:r w:rsidRPr="00552FF6">
        <w:rPr>
          <w:lang w:val="en-US"/>
        </w:rPr>
        <w:t xml:space="preserve">is exceeded for approximately </w:t>
      </w:r>
      <w:r w:rsidRPr="003A3444">
        <w:rPr>
          <w:lang w:val="en-US"/>
        </w:rPr>
        <w:t>60</w:t>
      </w:r>
      <w:r>
        <w:rPr>
          <w:lang w:val="en-US"/>
        </w:rPr>
        <w:t> </w:t>
      </w:r>
      <w:r w:rsidRPr="00552FF6">
        <w:rPr>
          <w:lang w:val="en-US"/>
        </w:rPr>
        <w:t>seconds during this scenario</w:t>
      </w:r>
      <w:r w:rsidRPr="003A3444">
        <w:rPr>
          <w:lang w:val="en-US"/>
        </w:rPr>
        <w:t xml:space="preserve"> assuming 1</w:t>
      </w:r>
      <w:r>
        <w:rPr>
          <w:lang w:val="en-US"/>
        </w:rPr>
        <w:t xml:space="preserve"> </w:t>
      </w:r>
      <w:r w:rsidRPr="003A3444">
        <w:rPr>
          <w:lang w:val="en-US"/>
        </w:rPr>
        <w:t>NM of interference radius from the VOR and 60 m/sec aircraft speed</w:t>
      </w:r>
      <w:r>
        <w:rPr>
          <w:lang w:val="en-US"/>
        </w:rPr>
        <w:t>, not accounting for on-board antenna gain</w:t>
      </w:r>
      <w:r w:rsidRPr="00552FF6">
        <w:rPr>
          <w:lang w:val="en-US"/>
        </w:rPr>
        <w:t>.</w:t>
      </w:r>
    </w:p>
    <w:p w:rsidR="00042FE6" w:rsidRPr="008B5F78" w:rsidRDefault="00042FE6" w:rsidP="00042FE6">
      <w:pPr>
        <w:pStyle w:val="ListParagraph"/>
        <w:numPr>
          <w:ilvl w:val="0"/>
          <w:numId w:val="20"/>
        </w:numPr>
        <w:rPr>
          <w:lang w:val="en-US"/>
        </w:rPr>
      </w:pPr>
      <w:r w:rsidRPr="008B5F78">
        <w:rPr>
          <w:lang w:val="en-US"/>
        </w:rPr>
        <w:t>The maximum tolerable undesired signal level at the GBAS VDB receiver input</w:t>
      </w:r>
      <w:r>
        <w:rPr>
          <w:lang w:val="en-US"/>
        </w:rPr>
        <w:t>,</w:t>
      </w:r>
      <w:r w:rsidRPr="008B5F78">
        <w:rPr>
          <w:lang w:val="en-US"/>
        </w:rPr>
        <w:t xml:space="preserve"> </w:t>
      </w:r>
      <w:proofErr w:type="spellStart"/>
      <w:r w:rsidRPr="008B5F78">
        <w:rPr>
          <w:lang w:val="en-US"/>
        </w:rPr>
        <w:t>S</w:t>
      </w:r>
      <w:r w:rsidRPr="00091FE2">
        <w:rPr>
          <w:vertAlign w:val="subscript"/>
          <w:lang w:val="en-US"/>
        </w:rPr>
        <w:t>max</w:t>
      </w:r>
      <w:proofErr w:type="spellEnd"/>
      <w:r w:rsidRPr="008B5F78">
        <w:rPr>
          <w:lang w:val="en-US"/>
        </w:rPr>
        <w:t xml:space="preserve"> shall be such to be compatible with the maximum signal powers from ILS Localizers and VOR transmitters</w:t>
      </w:r>
      <w:r w:rsidRPr="003A3444">
        <w:rPr>
          <w:lang w:val="en-US"/>
        </w:rPr>
        <w:t xml:space="preserve"> during overflight of these Navaids</w:t>
      </w:r>
      <w:r w:rsidRPr="008B5F78">
        <w:rPr>
          <w:lang w:val="en-US"/>
        </w:rPr>
        <w:t>.</w:t>
      </w:r>
      <w:r>
        <w:rPr>
          <w:lang w:val="en-US"/>
        </w:rPr>
        <w:t xml:space="preserve"> The need to take the impact of additional high power FM broadcasting signals in scenarios with high ILS LLZ and VOR signal power into account should to be further explored.</w:t>
      </w:r>
    </w:p>
    <w:p w:rsidR="00042FE6" w:rsidRPr="003A3444" w:rsidRDefault="00042FE6" w:rsidP="00042FE6">
      <w:pPr>
        <w:pStyle w:val="ListParagraph"/>
        <w:numPr>
          <w:ilvl w:val="0"/>
          <w:numId w:val="20"/>
        </w:numPr>
        <w:rPr>
          <w:lang w:val="en-US"/>
        </w:rPr>
      </w:pPr>
      <w:r w:rsidRPr="008B5F78">
        <w:rPr>
          <w:lang w:val="en-US"/>
        </w:rPr>
        <w:t xml:space="preserve">Simulations </w:t>
      </w:r>
      <w:r w:rsidRPr="003A3444">
        <w:rPr>
          <w:lang w:val="en-US"/>
        </w:rPr>
        <w:t>and measurements (NSP3/WP16) indicate</w:t>
      </w:r>
      <w:r w:rsidRPr="008B5F78">
        <w:rPr>
          <w:lang w:val="en-US"/>
        </w:rPr>
        <w:t xml:space="preserve"> a</w:t>
      </w:r>
      <w:r>
        <w:rPr>
          <w:lang w:val="en-US"/>
        </w:rPr>
        <w:t>n</w:t>
      </w:r>
      <w:r w:rsidRPr="008B5F78">
        <w:rPr>
          <w:lang w:val="en-US"/>
        </w:rPr>
        <w:t xml:space="preserve"> undesired received signal power of up to about +10 dBm from the ILS being overflown on a 3-degree approach path with a 60 foot threshold crossing height and an ILS at 305 meters prior to the threshold.  This can possibly increase by another 1</w:t>
      </w:r>
      <w:r>
        <w:rPr>
          <w:lang w:val="en-US"/>
        </w:rPr>
        <w:t xml:space="preserve"> dB</w:t>
      </w:r>
      <w:r w:rsidRPr="008B5F78">
        <w:rPr>
          <w:lang w:val="en-US"/>
        </w:rPr>
        <w:t xml:space="preserve"> or 2 dB for an aircraft up to half of full scale low path following error, and up to 5 dB more if that is combined with a large navigation sensor error (NSP/3, IP25).</w:t>
      </w:r>
    </w:p>
    <w:p w:rsidR="00042FE6" w:rsidRPr="008B5F78" w:rsidRDefault="00042FE6" w:rsidP="00042FE6">
      <w:pPr>
        <w:pStyle w:val="ListParagraph"/>
        <w:numPr>
          <w:ilvl w:val="0"/>
          <w:numId w:val="20"/>
        </w:numPr>
        <w:rPr>
          <w:lang w:val="en-US"/>
        </w:rPr>
      </w:pPr>
      <w:r w:rsidRPr="003A3444">
        <w:rPr>
          <w:lang w:val="en-US"/>
        </w:rPr>
        <w:t xml:space="preserve">As noted above, </w:t>
      </w:r>
      <w:r w:rsidRPr="008B5F78">
        <w:rPr>
          <w:lang w:val="en-US"/>
        </w:rPr>
        <w:t xml:space="preserve">initial simulation results predict VOR strengths as high as +5 dBm </w:t>
      </w:r>
      <w:r>
        <w:rPr>
          <w:lang w:val="en-US"/>
        </w:rPr>
        <w:t xml:space="preserve">at the GBAS VDB antenna </w:t>
      </w:r>
      <w:r w:rsidRPr="008B5F78">
        <w:rPr>
          <w:lang w:val="en-US"/>
        </w:rPr>
        <w:t xml:space="preserve">for VOR directly below the approach path and for VOR within a few hundred feet of the runway.  </w:t>
      </w:r>
      <w:r>
        <w:rPr>
          <w:lang w:val="en-US"/>
        </w:rPr>
        <w:t>This is expected to occur at any airport with VOR approaches.</w:t>
      </w:r>
    </w:p>
    <w:p w:rsidR="00042FE6" w:rsidRDefault="00042FE6" w:rsidP="00042FE6">
      <w:pPr>
        <w:rPr>
          <w:lang w:val="en-US"/>
        </w:rPr>
      </w:pPr>
    </w:p>
    <w:p w:rsidR="00042FE6" w:rsidRPr="0094571D" w:rsidRDefault="00042FE6" w:rsidP="00042FE6">
      <w:pPr>
        <w:rPr>
          <w:lang w:val="en-US"/>
        </w:rPr>
      </w:pPr>
    </w:p>
    <w:p w:rsidR="00042FE6" w:rsidRPr="003E1DC4" w:rsidRDefault="00042FE6" w:rsidP="00042FE6">
      <w:pPr>
        <w:rPr>
          <w:szCs w:val="22"/>
          <w:lang w:val="en-US"/>
        </w:rPr>
      </w:pPr>
      <w:r w:rsidRPr="003A3444">
        <w:rPr>
          <w:b/>
          <w:sz w:val="28"/>
          <w:szCs w:val="28"/>
          <w:lang w:val="en-US"/>
        </w:rPr>
        <w:t>Conclusions</w:t>
      </w:r>
    </w:p>
    <w:p w:rsidR="00042FE6" w:rsidRPr="003E1DC4" w:rsidRDefault="00042FE6" w:rsidP="00042FE6">
      <w:pPr>
        <w:rPr>
          <w:szCs w:val="22"/>
          <w:lang w:val="en-US"/>
        </w:rPr>
      </w:pPr>
    </w:p>
    <w:p w:rsidR="00042FE6" w:rsidRPr="003E1DC4" w:rsidRDefault="00042FE6" w:rsidP="00042FE6">
      <w:pPr>
        <w:pStyle w:val="ListParagraph"/>
        <w:numPr>
          <w:ilvl w:val="0"/>
          <w:numId w:val="21"/>
        </w:numPr>
        <w:rPr>
          <w:szCs w:val="22"/>
          <w:lang w:val="en-US"/>
        </w:rPr>
      </w:pPr>
      <w:r w:rsidRPr="003E1DC4">
        <w:rPr>
          <w:szCs w:val="22"/>
          <w:lang w:val="en-US"/>
        </w:rPr>
        <w:t>Addressing this D/U problem will require a combination of many factors. Improving the tolerable D/U for the GBAS VDB receiver is one of those factors. The lack of reported interference to GBAS receivers, together with measurements of existing equipment, indicate that GBAS VDB equipment may be more robust to interference than specified in the MOPS; especially for large frequency separations</w:t>
      </w:r>
      <w:r w:rsidRPr="003A3444">
        <w:rPr>
          <w:szCs w:val="22"/>
          <w:lang w:val="en-US"/>
        </w:rPr>
        <w:t xml:space="preserve"> between Desired and Undesired stations</w:t>
      </w:r>
      <w:r w:rsidRPr="003E1DC4">
        <w:rPr>
          <w:szCs w:val="22"/>
          <w:lang w:val="en-US"/>
        </w:rPr>
        <w:t>.</w:t>
      </w:r>
    </w:p>
    <w:p w:rsidR="00042FE6" w:rsidRDefault="00042FE6" w:rsidP="00042FE6">
      <w:pPr>
        <w:pStyle w:val="ListParagraph"/>
        <w:numPr>
          <w:ilvl w:val="0"/>
          <w:numId w:val="21"/>
        </w:numPr>
        <w:rPr>
          <w:szCs w:val="22"/>
          <w:lang w:val="en-US"/>
        </w:rPr>
      </w:pPr>
      <w:r w:rsidRPr="006D44EA">
        <w:rPr>
          <w:szCs w:val="22"/>
          <w:lang w:val="en-US"/>
        </w:rPr>
        <w:t>Based on the above, it is the recommendation of the NSP that RTCA consider inclusion of requirement</w:t>
      </w:r>
      <w:r>
        <w:rPr>
          <w:szCs w:val="22"/>
          <w:lang w:val="en-US"/>
        </w:rPr>
        <w:t>s</w:t>
      </w:r>
      <w:r w:rsidRPr="006D44EA">
        <w:rPr>
          <w:szCs w:val="22"/>
          <w:lang w:val="en-US"/>
        </w:rPr>
        <w:t xml:space="preserve"> that </w:t>
      </w:r>
      <w:r>
        <w:rPr>
          <w:szCs w:val="22"/>
          <w:lang w:val="en-US"/>
        </w:rPr>
        <w:t xml:space="preserve">would enable </w:t>
      </w:r>
      <w:r w:rsidRPr="006D44EA">
        <w:rPr>
          <w:szCs w:val="22"/>
          <w:lang w:val="en-US"/>
        </w:rPr>
        <w:t xml:space="preserve">GBAS VDB receivers to tolerate </w:t>
      </w:r>
      <w:r>
        <w:rPr>
          <w:szCs w:val="22"/>
          <w:lang w:val="en-US"/>
        </w:rPr>
        <w:t>the expected</w:t>
      </w:r>
      <w:r w:rsidRPr="006D44EA">
        <w:rPr>
          <w:szCs w:val="22"/>
          <w:lang w:val="en-US"/>
        </w:rPr>
        <w:t xml:space="preserve"> </w:t>
      </w:r>
      <w:r w:rsidRPr="003A3444">
        <w:rPr>
          <w:szCs w:val="22"/>
          <w:lang w:val="en-US"/>
        </w:rPr>
        <w:t xml:space="preserve">‘Signal-in-Space </w:t>
      </w:r>
      <w:r w:rsidRPr="006D44EA">
        <w:rPr>
          <w:szCs w:val="22"/>
          <w:lang w:val="en-US"/>
        </w:rPr>
        <w:t>D/U</w:t>
      </w:r>
      <w:r>
        <w:rPr>
          <w:szCs w:val="22"/>
          <w:lang w:val="en-US"/>
        </w:rPr>
        <w:t>’</w:t>
      </w:r>
      <w:r w:rsidRPr="006D44EA">
        <w:rPr>
          <w:szCs w:val="22"/>
          <w:lang w:val="en-US"/>
        </w:rPr>
        <w:t xml:space="preserve"> when the undesired signal is at or beyond </w:t>
      </w:r>
      <w:r>
        <w:rPr>
          <w:szCs w:val="22"/>
          <w:lang w:val="en-US"/>
        </w:rPr>
        <w:t xml:space="preserve">1 MHz (40 channels) </w:t>
      </w:r>
      <w:r w:rsidRPr="006D44EA">
        <w:rPr>
          <w:szCs w:val="22"/>
          <w:lang w:val="en-US"/>
        </w:rPr>
        <w:t>from the desired signal.</w:t>
      </w:r>
    </w:p>
    <w:p w:rsidR="00042FE6" w:rsidRDefault="00042FE6" w:rsidP="00042FE6">
      <w:pPr>
        <w:pStyle w:val="ListParagraph"/>
        <w:numPr>
          <w:ilvl w:val="0"/>
          <w:numId w:val="21"/>
        </w:numPr>
        <w:rPr>
          <w:szCs w:val="22"/>
          <w:lang w:val="en-US"/>
        </w:rPr>
      </w:pPr>
      <w:r>
        <w:rPr>
          <w:szCs w:val="22"/>
          <w:lang w:val="en-US"/>
        </w:rPr>
        <w:t xml:space="preserve">To find the appropriate value for the </w:t>
      </w:r>
      <w:r w:rsidRPr="003A3444">
        <w:rPr>
          <w:szCs w:val="22"/>
          <w:lang w:val="en-US"/>
        </w:rPr>
        <w:t xml:space="preserve">‘Signal-in-Space </w:t>
      </w:r>
      <w:r w:rsidRPr="006D44EA">
        <w:rPr>
          <w:szCs w:val="22"/>
          <w:lang w:val="en-US"/>
        </w:rPr>
        <w:t>D/U</w:t>
      </w:r>
      <w:r>
        <w:rPr>
          <w:szCs w:val="22"/>
          <w:lang w:val="en-US"/>
        </w:rPr>
        <w:t>’ and the maximum undesired power to be tolerated will require further coordination between ICAO and RTCA.</w:t>
      </w:r>
    </w:p>
    <w:p w:rsidR="00042FE6" w:rsidRDefault="00042FE6" w:rsidP="00042FE6">
      <w:pPr>
        <w:pStyle w:val="ListParagraph"/>
        <w:numPr>
          <w:ilvl w:val="0"/>
          <w:numId w:val="21"/>
        </w:numPr>
        <w:rPr>
          <w:szCs w:val="22"/>
          <w:lang w:val="en-US"/>
        </w:rPr>
      </w:pPr>
      <w:r>
        <w:rPr>
          <w:szCs w:val="22"/>
          <w:lang w:val="en-US"/>
        </w:rPr>
        <w:t>The expected outcome of this cooperation is a new specification of the maximum ‘</w:t>
      </w:r>
      <w:r w:rsidRPr="003A3444">
        <w:rPr>
          <w:szCs w:val="22"/>
          <w:lang w:val="en-US"/>
        </w:rPr>
        <w:t xml:space="preserve">Signal-in-Space </w:t>
      </w:r>
      <w:r w:rsidRPr="006D44EA">
        <w:rPr>
          <w:szCs w:val="22"/>
          <w:lang w:val="en-US"/>
        </w:rPr>
        <w:t>D/U</w:t>
      </w:r>
      <w:r>
        <w:rPr>
          <w:szCs w:val="22"/>
          <w:lang w:val="en-US"/>
        </w:rPr>
        <w:t>’ and maximum ‘</w:t>
      </w:r>
      <w:r w:rsidRPr="003A3444">
        <w:rPr>
          <w:szCs w:val="22"/>
          <w:lang w:val="en-US"/>
        </w:rPr>
        <w:t xml:space="preserve">Signal-in-Space </w:t>
      </w:r>
      <w:r>
        <w:rPr>
          <w:szCs w:val="22"/>
          <w:lang w:val="en-US"/>
        </w:rPr>
        <w:t>undesired signal power’ to be tolerated by the GBAS VDB on-board receiver.</w:t>
      </w:r>
    </w:p>
    <w:p w:rsidR="00042FE6" w:rsidRDefault="00042FE6" w:rsidP="00042FE6">
      <w:pPr>
        <w:rPr>
          <w:szCs w:val="22"/>
          <w:highlight w:val="yellow"/>
          <w:lang w:val="en-US"/>
        </w:rPr>
      </w:pPr>
    </w:p>
    <w:p w:rsidR="00042FE6" w:rsidRPr="00042FE6" w:rsidRDefault="00042FE6" w:rsidP="007B77D0">
      <w:pPr>
        <w:rPr>
          <w:b/>
        </w:rPr>
      </w:pPr>
    </w:p>
    <w:sectPr w:rsidR="00042FE6" w:rsidRPr="00042FE6" w:rsidSect="00042FE6">
      <w:headerReference w:type="default" r:id="rId20"/>
      <w:footerReference w:type="default" r:id="rId21"/>
      <w:headerReference w:type="first" r:id="rId22"/>
      <w:pgSz w:w="11906" w:h="16838" w:code="9"/>
      <w:pgMar w:top="64" w:right="1418" w:bottom="1134" w:left="1418" w:header="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88D" w:rsidRDefault="001F188D">
      <w:r>
        <w:separator/>
      </w:r>
    </w:p>
  </w:endnote>
  <w:endnote w:type="continuationSeparator" w:id="0">
    <w:p w:rsidR="001F188D" w:rsidRDefault="001F188D">
      <w:r>
        <w:continuationSeparator/>
      </w:r>
    </w:p>
  </w:endnote>
  <w:endnote w:type="continuationNotice" w:id="1">
    <w:p w:rsidR="001F188D" w:rsidRDefault="001F1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FE2" w:rsidRDefault="00091FE2">
    <w:pPr>
      <w:jc w:val="center"/>
      <w:rPr>
        <w:lang w:val="de-DE"/>
      </w:rPr>
    </w:pPr>
    <w:r>
      <w:rPr>
        <w:lang w:val="de-DE"/>
      </w:rPr>
      <w:t xml:space="preserve">Page </w:t>
    </w:r>
    <w:r>
      <w:rPr>
        <w:rStyle w:val="PageNumber"/>
      </w:rPr>
      <w:fldChar w:fldCharType="begin"/>
    </w:r>
    <w:r>
      <w:rPr>
        <w:rStyle w:val="PageNumber"/>
      </w:rPr>
      <w:instrText xml:space="preserve"> PAGE </w:instrText>
    </w:r>
    <w:r>
      <w:rPr>
        <w:rStyle w:val="PageNumber"/>
      </w:rPr>
      <w:fldChar w:fldCharType="separate"/>
    </w:r>
    <w:r w:rsidR="00E000A5">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00A5">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88D" w:rsidRDefault="001F188D">
      <w:r>
        <w:separator/>
      </w:r>
    </w:p>
  </w:footnote>
  <w:footnote w:type="continuationSeparator" w:id="0">
    <w:p w:rsidR="001F188D" w:rsidRDefault="001F188D">
      <w:r>
        <w:continuationSeparator/>
      </w:r>
    </w:p>
  </w:footnote>
  <w:footnote w:type="continuationNotice" w:id="1">
    <w:p w:rsidR="001F188D" w:rsidRDefault="001F18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FE2" w:rsidRDefault="00091FE2" w:rsidP="002E2A31">
    <w:pPr>
      <w:pStyle w:val="Header"/>
      <w:ind w:left="708"/>
      <w:rPr>
        <w:lang w:val="en-US"/>
      </w:rPr>
    </w:pPr>
  </w:p>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091FE2" w:rsidTr="00091FE2">
      <w:trPr>
        <w:trHeight w:val="1790"/>
      </w:trPr>
      <w:tc>
        <w:tcPr>
          <w:tcW w:w="1915" w:type="dxa"/>
          <w:shd w:val="clear" w:color="auto" w:fill="FFFFFF"/>
        </w:tcPr>
        <w:p w:rsidR="00091FE2" w:rsidRDefault="00091FE2" w:rsidP="00013B5C"/>
      </w:tc>
      <w:tc>
        <w:tcPr>
          <w:tcW w:w="3895" w:type="dxa"/>
          <w:shd w:val="clear" w:color="auto" w:fill="FFFFFF"/>
          <w:tcMar>
            <w:right w:w="0" w:type="dxa"/>
          </w:tcMar>
        </w:tcPr>
        <w:p w:rsidR="00091FE2" w:rsidRPr="00066AB7" w:rsidRDefault="00091FE2" w:rsidP="00013B5C">
          <w:pPr>
            <w:rPr>
              <w:rFonts w:ascii="Arial" w:hAnsi="Arial" w:cs="Arial"/>
              <w:b/>
              <w:sz w:val="24"/>
              <w:szCs w:val="22"/>
            </w:rPr>
          </w:pPr>
        </w:p>
      </w:tc>
      <w:tc>
        <w:tcPr>
          <w:tcW w:w="3766" w:type="dxa"/>
          <w:shd w:val="clear" w:color="auto" w:fill="FFFFFF"/>
        </w:tcPr>
        <w:p w:rsidR="00091FE2" w:rsidRPr="00066AB7" w:rsidRDefault="00091FE2" w:rsidP="00013B5C">
          <w:pPr>
            <w:tabs>
              <w:tab w:val="left" w:pos="720"/>
              <w:tab w:val="left" w:pos="1440"/>
              <w:tab w:val="left" w:pos="1800"/>
              <w:tab w:val="left" w:pos="2160"/>
              <w:tab w:val="left" w:pos="2520"/>
              <w:tab w:val="left" w:pos="2880"/>
            </w:tabs>
            <w:ind w:left="4320"/>
            <w:rPr>
              <w:b/>
              <w:sz w:val="18"/>
              <w:szCs w:val="18"/>
            </w:rPr>
          </w:pPr>
        </w:p>
      </w:tc>
    </w:tr>
  </w:tbl>
  <w:p w:rsidR="00091FE2" w:rsidRDefault="00091FE2" w:rsidP="007A3AEB">
    <w:pPr>
      <w:pStyle w:val="3para0"/>
      <w:tabs>
        <w:tab w:val="clear" w:pos="1440"/>
        <w:tab w:val="left" w:pos="6480"/>
      </w:tabs>
      <w:spacing w:after="0"/>
      <w:outlineLvl w:val="9"/>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622" w:rsidRDefault="00753622" w:rsidP="00013B5C">
    <w:pPr>
      <w:pStyle w:val="Header"/>
      <w:ind w:left="708"/>
      <w:rPr>
        <w:lang w:val="en-US"/>
      </w:rPr>
    </w:pPr>
  </w:p>
  <w:p w:rsidR="00091FE2" w:rsidRDefault="00091FE2" w:rsidP="00013B5C">
    <w:pPr>
      <w:pStyle w:val="Header"/>
      <w:ind w:left="708"/>
      <w:rPr>
        <w:lang w:val="en-US"/>
      </w:rPr>
    </w:pPr>
    <w:r>
      <w:rPr>
        <w:lang w:val="en-US"/>
      </w:rPr>
      <w:tab/>
    </w:r>
  </w:p>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091FE2" w:rsidTr="00091FE2">
      <w:trPr>
        <w:trHeight w:val="1790"/>
      </w:trPr>
      <w:tc>
        <w:tcPr>
          <w:tcW w:w="1915" w:type="dxa"/>
          <w:shd w:val="clear" w:color="auto" w:fill="FFFFFF"/>
        </w:tcPr>
        <w:p w:rsidR="00091FE2" w:rsidRDefault="00091FE2" w:rsidP="00013B5C">
          <w:r>
            <w:rPr>
              <w:noProof/>
              <w:lang w:eastAsia="zh-CN"/>
            </w:rPr>
            <w:drawing>
              <wp:inline distT="0" distB="0" distL="0" distR="0" wp14:anchorId="4409DFD7" wp14:editId="49DD25F4">
                <wp:extent cx="1089660" cy="876300"/>
                <wp:effectExtent l="0" t="0" r="0" b="0"/>
                <wp:docPr id="26" name="Picture 4"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876300"/>
                        </a:xfrm>
                        <a:prstGeom prst="rect">
                          <a:avLst/>
                        </a:prstGeom>
                        <a:noFill/>
                        <a:ln>
                          <a:noFill/>
                        </a:ln>
                      </pic:spPr>
                    </pic:pic>
                  </a:graphicData>
                </a:graphic>
              </wp:inline>
            </w:drawing>
          </w:r>
        </w:p>
      </w:tc>
      <w:tc>
        <w:tcPr>
          <w:tcW w:w="3895" w:type="dxa"/>
          <w:shd w:val="clear" w:color="auto" w:fill="FFFFFF"/>
          <w:tcMar>
            <w:right w:w="0" w:type="dxa"/>
          </w:tcMar>
        </w:tcPr>
        <w:p w:rsidR="00091FE2" w:rsidRPr="00066AB7" w:rsidRDefault="00091FE2" w:rsidP="00013B5C">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61312" behindDoc="0" locked="0" layoutInCell="1" allowOverlap="1" wp14:anchorId="4405DC3B" wp14:editId="2FDE8E10">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31106B" id="Lin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Hl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SZ6mTymYRu9nCSnugcY6/4HrDoVJiSVojsTktHUepAP0Dgn3KL0RUkaz&#10;pUJ9iRfTyTQGOC0FC4cB5uxhX0mLTiS0S/xCHYDsAWb1UbFI1nLC1re5J0Je54CXKvBBKiDnNrv2&#10;w7dFuljP1/N8lE9m61Ge1vXo/abKR7NN9m5aP9VVVWffg7QsL1rBGFdB3b03s/zvvL+9kmtXDd05&#10;lCF5ZI8pgtj7P4qOXgb7ro2w1+yys6EawVZoxwi+PZ3Q77+uI+rnA1/9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Ola0eUS&#10;AgAAKAQAAA4AAAAAAAAAAAAAAAAALgIAAGRycy9lMm9Eb2MueG1sUEsBAi0AFAAGAAgAAAAhABes&#10;0mLbAAAABwEAAA8AAAAAAAAAAAAAAAAAbAQAAGRycy9kb3ducmV2LnhtbFBLBQYAAAAABAAEAPMA&#10;AAB0BQAAAAA=&#10;"/>
                </w:pict>
              </mc:Fallback>
            </mc:AlternateContent>
          </w:r>
        </w:p>
        <w:p w:rsidR="00091FE2" w:rsidRPr="00066AB7" w:rsidRDefault="00091FE2" w:rsidP="00013B5C">
          <w:pPr>
            <w:rPr>
              <w:rFonts w:ascii="Arial" w:hAnsi="Arial" w:cs="Arial"/>
              <w:szCs w:val="22"/>
            </w:rPr>
          </w:pPr>
          <w:r w:rsidRPr="00066AB7">
            <w:rPr>
              <w:rFonts w:ascii="Arial" w:hAnsi="Arial" w:cs="Arial"/>
              <w:szCs w:val="22"/>
            </w:rPr>
            <w:t>International Civil Aviation Organization</w:t>
          </w:r>
        </w:p>
        <w:p w:rsidR="00091FE2" w:rsidRPr="00066AB7" w:rsidRDefault="00091FE2" w:rsidP="00013B5C">
          <w:pPr>
            <w:rPr>
              <w:rFonts w:ascii="Arial" w:hAnsi="Arial" w:cs="Arial"/>
              <w:szCs w:val="22"/>
            </w:rPr>
          </w:pPr>
        </w:p>
        <w:p w:rsidR="00091FE2" w:rsidRPr="00066AB7" w:rsidRDefault="00091FE2" w:rsidP="00013B5C">
          <w:pPr>
            <w:rPr>
              <w:rFonts w:ascii="Arial" w:hAnsi="Arial" w:cs="Arial"/>
              <w:b/>
              <w:sz w:val="24"/>
              <w:szCs w:val="22"/>
            </w:rPr>
          </w:pPr>
          <w:r>
            <w:rPr>
              <w:rFonts w:ascii="Arial" w:hAnsi="Arial" w:cs="Arial"/>
              <w:b/>
              <w:sz w:val="24"/>
              <w:szCs w:val="22"/>
            </w:rPr>
            <w:t>INFORMATION</w:t>
          </w:r>
          <w:r w:rsidRPr="00066AB7">
            <w:rPr>
              <w:rFonts w:ascii="Arial" w:hAnsi="Arial" w:cs="Arial"/>
              <w:b/>
              <w:sz w:val="24"/>
              <w:szCs w:val="22"/>
            </w:rPr>
            <w:t xml:space="preserve">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922"/>
          </w:tblGrid>
          <w:tr w:rsidR="00091FE2" w:rsidTr="00091FE2">
            <w:trPr>
              <w:jc w:val="right"/>
            </w:trPr>
            <w:tc>
              <w:tcPr>
                <w:tcW w:w="0" w:type="auto"/>
              </w:tcPr>
              <w:p w:rsidR="00091FE2" w:rsidRPr="00066AB7" w:rsidRDefault="00091FE2" w:rsidP="00E000A5">
                <w:pPr>
                  <w:framePr w:hSpace="180" w:wrap="around" w:vAnchor="text" w:hAnchor="text" w:y="1"/>
                  <w:suppressOverlap/>
                  <w:rPr>
                    <w:szCs w:val="22"/>
                  </w:rPr>
                </w:pPr>
                <w:r>
                  <w:rPr>
                    <w:szCs w:val="22"/>
                  </w:rPr>
                  <w:t>FSMP-WG</w:t>
                </w:r>
                <w:r w:rsidRPr="00066AB7">
                  <w:rPr>
                    <w:szCs w:val="22"/>
                  </w:rPr>
                  <w:t>/</w:t>
                </w:r>
                <w:r>
                  <w:rPr>
                    <w:szCs w:val="22"/>
                  </w:rPr>
                  <w:t xml:space="preserve">4 </w:t>
                </w:r>
                <w:r w:rsidR="008265DC">
                  <w:rPr>
                    <w:szCs w:val="22"/>
                  </w:rPr>
                  <w:t>I</w:t>
                </w:r>
                <w:r w:rsidRPr="00066AB7">
                  <w:rPr>
                    <w:szCs w:val="22"/>
                  </w:rPr>
                  <w:t>P/</w:t>
                </w:r>
                <w:r w:rsidR="00E000A5">
                  <w:rPr>
                    <w:szCs w:val="22"/>
                  </w:rPr>
                  <w:t>04</w:t>
                </w:r>
              </w:p>
              <w:p w:rsidR="00091FE2" w:rsidRPr="00066AB7" w:rsidRDefault="00091FE2" w:rsidP="00E000A5">
                <w:pPr>
                  <w:framePr w:hSpace="180" w:wrap="around" w:vAnchor="text" w:hAnchor="text" w:y="1"/>
                  <w:suppressOverlap/>
                  <w:rPr>
                    <w:b/>
                  </w:rPr>
                </w:pPr>
              </w:p>
            </w:tc>
          </w:tr>
          <w:tr w:rsidR="00091FE2" w:rsidTr="00091FE2">
            <w:trPr>
              <w:jc w:val="right"/>
            </w:trPr>
            <w:tc>
              <w:tcPr>
                <w:tcW w:w="0" w:type="auto"/>
              </w:tcPr>
              <w:p w:rsidR="00091FE2" w:rsidRPr="00066AB7" w:rsidRDefault="00091FE2" w:rsidP="00E000A5">
                <w:pPr>
                  <w:framePr w:hSpace="180" w:wrap="around" w:vAnchor="text" w:hAnchor="text" w:y="1"/>
                  <w:suppressOverlap/>
                  <w:rPr>
                    <w:szCs w:val="22"/>
                  </w:rPr>
                </w:pPr>
              </w:p>
            </w:tc>
          </w:tr>
        </w:tbl>
        <w:p w:rsidR="00091FE2" w:rsidRPr="00066AB7" w:rsidRDefault="00091FE2" w:rsidP="00013B5C">
          <w:pPr>
            <w:tabs>
              <w:tab w:val="left" w:pos="720"/>
              <w:tab w:val="left" w:pos="1440"/>
              <w:tab w:val="left" w:pos="1800"/>
              <w:tab w:val="left" w:pos="2160"/>
              <w:tab w:val="left" w:pos="2520"/>
              <w:tab w:val="left" w:pos="2880"/>
            </w:tabs>
            <w:ind w:left="4320"/>
            <w:rPr>
              <w:b/>
              <w:sz w:val="18"/>
              <w:szCs w:val="18"/>
            </w:rPr>
          </w:pPr>
        </w:p>
      </w:tc>
    </w:tr>
  </w:tbl>
  <w:p w:rsidR="00091FE2" w:rsidRDefault="00091FE2" w:rsidP="007A3AEB">
    <w:pPr>
      <w:pStyle w:val="Header"/>
      <w:ind w:left="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32A2B7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8EF641D"/>
    <w:multiLevelType w:val="multilevel"/>
    <w:tmpl w:val="1AFA305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
    <w:nsid w:val="0A650308"/>
    <w:multiLevelType w:val="multilevel"/>
    <w:tmpl w:val="0FD0E5B0"/>
    <w:lvl w:ilvl="0">
      <w:start w:val="1"/>
      <w:numFmt w:val="decimal"/>
      <w:pStyle w:val="1Heading"/>
      <w:lvlText w:val="%1."/>
      <w:lvlJc w:val="left"/>
      <w:pPr>
        <w:tabs>
          <w:tab w:val="num" w:pos="360"/>
        </w:tabs>
      </w:pPr>
      <w:rPr>
        <w:rFonts w:cs="Times New Roman"/>
      </w:rPr>
    </w:lvl>
    <w:lvl w:ilvl="1">
      <w:start w:val="1"/>
      <w:numFmt w:val="decimal"/>
      <w:suff w:val="nothing"/>
      <w:lvlText w:val=" %1.%2."/>
      <w:lvlJc w:val="left"/>
      <w:pPr>
        <w:ind w:left="1512" w:hanging="151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nsid w:val="13107704"/>
    <w:multiLevelType w:val="hybridMultilevel"/>
    <w:tmpl w:val="2DA67F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3473028"/>
    <w:multiLevelType w:val="hybridMultilevel"/>
    <w:tmpl w:val="339E9CB4"/>
    <w:lvl w:ilvl="0" w:tplc="A1F00EC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C397838"/>
    <w:multiLevelType w:val="hybridMultilevel"/>
    <w:tmpl w:val="9738D478"/>
    <w:lvl w:ilvl="0" w:tplc="842E5A3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895A54"/>
    <w:multiLevelType w:val="hybridMultilevel"/>
    <w:tmpl w:val="276A6242"/>
    <w:lvl w:ilvl="0" w:tplc="04070017">
      <w:start w:val="1"/>
      <w:numFmt w:val="lowerLetter"/>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7">
    <w:nsid w:val="34CD6098"/>
    <w:multiLevelType w:val="hybridMultilevel"/>
    <w:tmpl w:val="DBF84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C4E3C89"/>
    <w:multiLevelType w:val="hybridMultilevel"/>
    <w:tmpl w:val="3112F0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C7629F8"/>
    <w:multiLevelType w:val="hybridMultilevel"/>
    <w:tmpl w:val="97CA8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7165A82"/>
    <w:multiLevelType w:val="hybridMultilevel"/>
    <w:tmpl w:val="0AC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5B1CF2"/>
    <w:multiLevelType w:val="hybridMultilevel"/>
    <w:tmpl w:val="843A2F44"/>
    <w:lvl w:ilvl="0" w:tplc="C414D0B4">
      <w:start w:val="1"/>
      <w:numFmt w:val="decimal"/>
      <w:lvlText w:val="%1."/>
      <w:lvlJc w:val="left"/>
      <w:pPr>
        <w:ind w:left="773" w:hanging="360"/>
      </w:pPr>
    </w:lvl>
    <w:lvl w:ilvl="1" w:tplc="D20A784C">
      <w:start w:val="1"/>
      <w:numFmt w:val="decimal"/>
      <w:lvlText w:val="%2)"/>
      <w:lvlJc w:val="left"/>
      <w:pPr>
        <w:ind w:left="1493" w:hanging="360"/>
      </w:pPr>
      <w:rPr>
        <w:rFonts w:hint="default"/>
      </w:r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2">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3">
    <w:nsid w:val="4DF73E6D"/>
    <w:multiLevelType w:val="hybridMultilevel"/>
    <w:tmpl w:val="438E2C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2D611F5"/>
    <w:multiLevelType w:val="hybridMultilevel"/>
    <w:tmpl w:val="80F6BCD6"/>
    <w:lvl w:ilvl="0" w:tplc="12B29798">
      <w:start w:val="1"/>
      <w:numFmt w:val="bullet"/>
      <w:pStyle w:val="Mainlist"/>
      <w:lvlText w:val=""/>
      <w:lvlJc w:val="left"/>
      <w:pPr>
        <w:tabs>
          <w:tab w:val="num" w:pos="851"/>
        </w:tabs>
        <w:ind w:left="851" w:hanging="284"/>
      </w:pPr>
      <w:rPr>
        <w:rFonts w:ascii="Symbol" w:hAnsi="Symbol" w:hint="default"/>
      </w:rPr>
    </w:lvl>
    <w:lvl w:ilvl="1" w:tplc="E51AAD90">
      <w:start w:val="1"/>
      <w:numFmt w:val="bullet"/>
      <w:pStyle w:val="ListSecondLevel"/>
      <w:lvlText w:val="o"/>
      <w:lvlJc w:val="left"/>
      <w:pPr>
        <w:tabs>
          <w:tab w:val="num" w:pos="1440"/>
        </w:tabs>
        <w:ind w:left="1440" w:hanging="360"/>
      </w:pPr>
      <w:rPr>
        <w:rFonts w:ascii="Courier New" w:hAnsi="Courier New" w:cs="Courier New" w:hint="default"/>
      </w:rPr>
    </w:lvl>
    <w:lvl w:ilvl="2" w:tplc="0C9C06C2">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52111BD"/>
    <w:multiLevelType w:val="hybridMultilevel"/>
    <w:tmpl w:val="339E9CB4"/>
    <w:lvl w:ilvl="0" w:tplc="A1F00EC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57580888"/>
    <w:multiLevelType w:val="hybridMultilevel"/>
    <w:tmpl w:val="CE447C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08B7E38"/>
    <w:multiLevelType w:val="hybridMultilevel"/>
    <w:tmpl w:val="0CE02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9302C97"/>
    <w:multiLevelType w:val="multilevel"/>
    <w:tmpl w:val="0EFC213E"/>
    <w:lvl w:ilvl="0">
      <w:start w:val="1"/>
      <w:numFmt w:val="decimal"/>
      <w:pStyle w:val="Table"/>
      <w:lvlText w:val="Table %1"/>
      <w:lvlJc w:val="left"/>
      <w:pPr>
        <w:tabs>
          <w:tab w:val="num" w:pos="1531"/>
        </w:tabs>
        <w:ind w:left="1531" w:hanging="1171"/>
      </w:pPr>
      <w:rPr>
        <w:rFonts w:ascii="Times New Roman" w:hAnsi="Times New Roman" w:cs="Times New Roman" w:hint="default"/>
        <w:b w:val="0"/>
        <w:i/>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nsid w:val="7A87679E"/>
    <w:multiLevelType w:val="hybridMultilevel"/>
    <w:tmpl w:val="A5D6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BF6DA2"/>
    <w:multiLevelType w:val="hybridMultilevel"/>
    <w:tmpl w:val="1C88E046"/>
    <w:lvl w:ilvl="0" w:tplc="842E5A3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8"/>
  </w:num>
  <w:num w:numId="5">
    <w:abstractNumId w:val="8"/>
  </w:num>
  <w:num w:numId="6">
    <w:abstractNumId w:val="7"/>
  </w:num>
  <w:num w:numId="7">
    <w:abstractNumId w:val="4"/>
  </w:num>
  <w:num w:numId="8">
    <w:abstractNumId w:val="15"/>
  </w:num>
  <w:num w:numId="9">
    <w:abstractNumId w:val="13"/>
  </w:num>
  <w:num w:numId="10">
    <w:abstractNumId w:val="14"/>
  </w:num>
  <w:num w:numId="11">
    <w:abstractNumId w:val="16"/>
  </w:num>
  <w:num w:numId="12">
    <w:abstractNumId w:val="6"/>
  </w:num>
  <w:num w:numId="13">
    <w:abstractNumId w:val="11"/>
  </w:num>
  <w:num w:numId="14">
    <w:abstractNumId w:val="3"/>
  </w:num>
  <w:num w:numId="15">
    <w:abstractNumId w:val="9"/>
  </w:num>
  <w:num w:numId="16">
    <w:abstractNumId w:val="20"/>
  </w:num>
  <w:num w:numId="17">
    <w:abstractNumId w:val="5"/>
  </w:num>
  <w:num w:numId="18">
    <w:abstractNumId w:val="19"/>
  </w:num>
  <w:num w:numId="19">
    <w:abstractNumId w:val="12"/>
  </w:num>
  <w:num w:numId="20">
    <w:abstractNumId w:val="17"/>
  </w:num>
  <w:num w:numId="2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de-DE"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2AB"/>
    <w:rsid w:val="00000EB4"/>
    <w:rsid w:val="00005FC5"/>
    <w:rsid w:val="00007C81"/>
    <w:rsid w:val="00007FB9"/>
    <w:rsid w:val="00012D6B"/>
    <w:rsid w:val="00013B5C"/>
    <w:rsid w:val="000142EC"/>
    <w:rsid w:val="00014FBD"/>
    <w:rsid w:val="000164A5"/>
    <w:rsid w:val="00016D40"/>
    <w:rsid w:val="000219E5"/>
    <w:rsid w:val="00022260"/>
    <w:rsid w:val="00025AF7"/>
    <w:rsid w:val="00026E4B"/>
    <w:rsid w:val="000302E2"/>
    <w:rsid w:val="000306F1"/>
    <w:rsid w:val="0003367A"/>
    <w:rsid w:val="00037608"/>
    <w:rsid w:val="00042FE6"/>
    <w:rsid w:val="000467ED"/>
    <w:rsid w:val="0004681D"/>
    <w:rsid w:val="00046A99"/>
    <w:rsid w:val="00046E0E"/>
    <w:rsid w:val="000536FC"/>
    <w:rsid w:val="00057C9E"/>
    <w:rsid w:val="00064E3A"/>
    <w:rsid w:val="00074170"/>
    <w:rsid w:val="0007698E"/>
    <w:rsid w:val="000813E3"/>
    <w:rsid w:val="00081462"/>
    <w:rsid w:val="00081CBD"/>
    <w:rsid w:val="00082A6B"/>
    <w:rsid w:val="00086C74"/>
    <w:rsid w:val="00090156"/>
    <w:rsid w:val="00091FE2"/>
    <w:rsid w:val="000A04DE"/>
    <w:rsid w:val="000A1653"/>
    <w:rsid w:val="000A3AE2"/>
    <w:rsid w:val="000A3F85"/>
    <w:rsid w:val="000A44C5"/>
    <w:rsid w:val="000A54F4"/>
    <w:rsid w:val="000A6192"/>
    <w:rsid w:val="000A7C50"/>
    <w:rsid w:val="000B4AEB"/>
    <w:rsid w:val="000B61C9"/>
    <w:rsid w:val="000C35F1"/>
    <w:rsid w:val="000C58C1"/>
    <w:rsid w:val="000D018A"/>
    <w:rsid w:val="000D0302"/>
    <w:rsid w:val="000D0A84"/>
    <w:rsid w:val="000D4E72"/>
    <w:rsid w:val="000E014D"/>
    <w:rsid w:val="000E30D2"/>
    <w:rsid w:val="000E64AB"/>
    <w:rsid w:val="000E6DBA"/>
    <w:rsid w:val="00100482"/>
    <w:rsid w:val="00104F86"/>
    <w:rsid w:val="00105E66"/>
    <w:rsid w:val="001105AD"/>
    <w:rsid w:val="001105FB"/>
    <w:rsid w:val="00114AA9"/>
    <w:rsid w:val="00114C25"/>
    <w:rsid w:val="001156EC"/>
    <w:rsid w:val="0011601F"/>
    <w:rsid w:val="00116876"/>
    <w:rsid w:val="00117CBD"/>
    <w:rsid w:val="001200A0"/>
    <w:rsid w:val="00121F6B"/>
    <w:rsid w:val="001227C3"/>
    <w:rsid w:val="00125267"/>
    <w:rsid w:val="00125F5C"/>
    <w:rsid w:val="00125FC1"/>
    <w:rsid w:val="001264F6"/>
    <w:rsid w:val="001272AD"/>
    <w:rsid w:val="0013013C"/>
    <w:rsid w:val="00130B41"/>
    <w:rsid w:val="00137358"/>
    <w:rsid w:val="00142929"/>
    <w:rsid w:val="0014675E"/>
    <w:rsid w:val="00147214"/>
    <w:rsid w:val="00147285"/>
    <w:rsid w:val="00150C53"/>
    <w:rsid w:val="00153860"/>
    <w:rsid w:val="0015450F"/>
    <w:rsid w:val="00161510"/>
    <w:rsid w:val="00162B97"/>
    <w:rsid w:val="0016576C"/>
    <w:rsid w:val="001708C1"/>
    <w:rsid w:val="0017092C"/>
    <w:rsid w:val="00172207"/>
    <w:rsid w:val="00172A71"/>
    <w:rsid w:val="0017365F"/>
    <w:rsid w:val="00175976"/>
    <w:rsid w:val="0018062A"/>
    <w:rsid w:val="001806EE"/>
    <w:rsid w:val="00182078"/>
    <w:rsid w:val="00182108"/>
    <w:rsid w:val="001830C4"/>
    <w:rsid w:val="00183B00"/>
    <w:rsid w:val="0018429F"/>
    <w:rsid w:val="0018558E"/>
    <w:rsid w:val="0018741A"/>
    <w:rsid w:val="00187941"/>
    <w:rsid w:val="00192FF4"/>
    <w:rsid w:val="00194115"/>
    <w:rsid w:val="00195342"/>
    <w:rsid w:val="00195390"/>
    <w:rsid w:val="001A3673"/>
    <w:rsid w:val="001A40AC"/>
    <w:rsid w:val="001A59EF"/>
    <w:rsid w:val="001A78B0"/>
    <w:rsid w:val="001B29C6"/>
    <w:rsid w:val="001B77B5"/>
    <w:rsid w:val="001D0240"/>
    <w:rsid w:val="001D1240"/>
    <w:rsid w:val="001D2BD5"/>
    <w:rsid w:val="001D35E8"/>
    <w:rsid w:val="001D420F"/>
    <w:rsid w:val="001D433D"/>
    <w:rsid w:val="001D646A"/>
    <w:rsid w:val="001E12D9"/>
    <w:rsid w:val="001E1AAC"/>
    <w:rsid w:val="001E2AC5"/>
    <w:rsid w:val="001E3BC5"/>
    <w:rsid w:val="001E7178"/>
    <w:rsid w:val="001E7497"/>
    <w:rsid w:val="001F0AC5"/>
    <w:rsid w:val="001F1812"/>
    <w:rsid w:val="001F188D"/>
    <w:rsid w:val="001F1C41"/>
    <w:rsid w:val="001F3E30"/>
    <w:rsid w:val="001F4565"/>
    <w:rsid w:val="001F6FA9"/>
    <w:rsid w:val="00200DEF"/>
    <w:rsid w:val="002016C8"/>
    <w:rsid w:val="00202B40"/>
    <w:rsid w:val="00205074"/>
    <w:rsid w:val="00205858"/>
    <w:rsid w:val="00206C68"/>
    <w:rsid w:val="00207C6F"/>
    <w:rsid w:val="00210AC3"/>
    <w:rsid w:val="00212823"/>
    <w:rsid w:val="002142C4"/>
    <w:rsid w:val="0021615F"/>
    <w:rsid w:val="0021763C"/>
    <w:rsid w:val="00221B02"/>
    <w:rsid w:val="00222173"/>
    <w:rsid w:val="0022619F"/>
    <w:rsid w:val="002267D6"/>
    <w:rsid w:val="002277F7"/>
    <w:rsid w:val="00234746"/>
    <w:rsid w:val="002370EA"/>
    <w:rsid w:val="002406A1"/>
    <w:rsid w:val="002427E0"/>
    <w:rsid w:val="00246544"/>
    <w:rsid w:val="00247DF7"/>
    <w:rsid w:val="0025184B"/>
    <w:rsid w:val="00253EF0"/>
    <w:rsid w:val="002542DC"/>
    <w:rsid w:val="002552A4"/>
    <w:rsid w:val="00261095"/>
    <w:rsid w:val="0026223A"/>
    <w:rsid w:val="002627CF"/>
    <w:rsid w:val="002631EB"/>
    <w:rsid w:val="00263683"/>
    <w:rsid w:val="00264877"/>
    <w:rsid w:val="002667CD"/>
    <w:rsid w:val="00266AAF"/>
    <w:rsid w:val="002703C4"/>
    <w:rsid w:val="0027150B"/>
    <w:rsid w:val="0027174F"/>
    <w:rsid w:val="00274795"/>
    <w:rsid w:val="00275145"/>
    <w:rsid w:val="00281EEB"/>
    <w:rsid w:val="00283111"/>
    <w:rsid w:val="00285797"/>
    <w:rsid w:val="00292096"/>
    <w:rsid w:val="002939F7"/>
    <w:rsid w:val="0029757C"/>
    <w:rsid w:val="002A0841"/>
    <w:rsid w:val="002A0F58"/>
    <w:rsid w:val="002A1EBC"/>
    <w:rsid w:val="002A3FC0"/>
    <w:rsid w:val="002A476C"/>
    <w:rsid w:val="002B0F60"/>
    <w:rsid w:val="002B3AE8"/>
    <w:rsid w:val="002B4173"/>
    <w:rsid w:val="002B5B90"/>
    <w:rsid w:val="002C02F4"/>
    <w:rsid w:val="002C3B2E"/>
    <w:rsid w:val="002D5A56"/>
    <w:rsid w:val="002D60B1"/>
    <w:rsid w:val="002E2A31"/>
    <w:rsid w:val="002E4DAF"/>
    <w:rsid w:val="002E4E6F"/>
    <w:rsid w:val="002E7E14"/>
    <w:rsid w:val="002F1862"/>
    <w:rsid w:val="002F2D83"/>
    <w:rsid w:val="002F3B41"/>
    <w:rsid w:val="002F7FB1"/>
    <w:rsid w:val="003001C6"/>
    <w:rsid w:val="00301571"/>
    <w:rsid w:val="003022C5"/>
    <w:rsid w:val="00302476"/>
    <w:rsid w:val="00303EA5"/>
    <w:rsid w:val="00312A91"/>
    <w:rsid w:val="00312DC3"/>
    <w:rsid w:val="00314E20"/>
    <w:rsid w:val="00323458"/>
    <w:rsid w:val="00331048"/>
    <w:rsid w:val="003327FA"/>
    <w:rsid w:val="003343F8"/>
    <w:rsid w:val="0033522F"/>
    <w:rsid w:val="00335942"/>
    <w:rsid w:val="003372B9"/>
    <w:rsid w:val="00342F0A"/>
    <w:rsid w:val="0034371A"/>
    <w:rsid w:val="00344026"/>
    <w:rsid w:val="0034459A"/>
    <w:rsid w:val="003458D9"/>
    <w:rsid w:val="003471ED"/>
    <w:rsid w:val="003506BD"/>
    <w:rsid w:val="00352C19"/>
    <w:rsid w:val="00352DA5"/>
    <w:rsid w:val="0035514B"/>
    <w:rsid w:val="00356164"/>
    <w:rsid w:val="00356EF3"/>
    <w:rsid w:val="003634C7"/>
    <w:rsid w:val="00363FA5"/>
    <w:rsid w:val="003657D7"/>
    <w:rsid w:val="00370BAD"/>
    <w:rsid w:val="00373140"/>
    <w:rsid w:val="003743F9"/>
    <w:rsid w:val="00375117"/>
    <w:rsid w:val="00375E7A"/>
    <w:rsid w:val="00377310"/>
    <w:rsid w:val="003832E8"/>
    <w:rsid w:val="003851CE"/>
    <w:rsid w:val="00386914"/>
    <w:rsid w:val="0039001C"/>
    <w:rsid w:val="0039413C"/>
    <w:rsid w:val="00395F77"/>
    <w:rsid w:val="003A219C"/>
    <w:rsid w:val="003A341F"/>
    <w:rsid w:val="003B2A4D"/>
    <w:rsid w:val="003B3498"/>
    <w:rsid w:val="003B3504"/>
    <w:rsid w:val="003B6259"/>
    <w:rsid w:val="003B7617"/>
    <w:rsid w:val="003B7A08"/>
    <w:rsid w:val="003C3838"/>
    <w:rsid w:val="003C483B"/>
    <w:rsid w:val="003C6F59"/>
    <w:rsid w:val="003C7CA9"/>
    <w:rsid w:val="003D0B8C"/>
    <w:rsid w:val="003D1E69"/>
    <w:rsid w:val="003D5281"/>
    <w:rsid w:val="003D7EE6"/>
    <w:rsid w:val="003D7FD1"/>
    <w:rsid w:val="003E0A21"/>
    <w:rsid w:val="003E0E9A"/>
    <w:rsid w:val="003E13A9"/>
    <w:rsid w:val="003E176B"/>
    <w:rsid w:val="003E3DDF"/>
    <w:rsid w:val="003E5FAD"/>
    <w:rsid w:val="003F0724"/>
    <w:rsid w:val="003F1016"/>
    <w:rsid w:val="003F1BF4"/>
    <w:rsid w:val="003F6A9B"/>
    <w:rsid w:val="00405077"/>
    <w:rsid w:val="00416EC2"/>
    <w:rsid w:val="004200AE"/>
    <w:rsid w:val="0042069D"/>
    <w:rsid w:val="00420989"/>
    <w:rsid w:val="00422F52"/>
    <w:rsid w:val="0042655B"/>
    <w:rsid w:val="00430ABD"/>
    <w:rsid w:val="00431880"/>
    <w:rsid w:val="004321A8"/>
    <w:rsid w:val="00432A75"/>
    <w:rsid w:val="0043438D"/>
    <w:rsid w:val="00434B44"/>
    <w:rsid w:val="00436583"/>
    <w:rsid w:val="00437FC0"/>
    <w:rsid w:val="004455FE"/>
    <w:rsid w:val="00447380"/>
    <w:rsid w:val="00447D8D"/>
    <w:rsid w:val="0045016F"/>
    <w:rsid w:val="00460F8A"/>
    <w:rsid w:val="00464E03"/>
    <w:rsid w:val="0046711D"/>
    <w:rsid w:val="004677F9"/>
    <w:rsid w:val="0047060B"/>
    <w:rsid w:val="0047182C"/>
    <w:rsid w:val="0047182E"/>
    <w:rsid w:val="004836B0"/>
    <w:rsid w:val="00484908"/>
    <w:rsid w:val="00486B89"/>
    <w:rsid w:val="004927DC"/>
    <w:rsid w:val="00492D87"/>
    <w:rsid w:val="004960E7"/>
    <w:rsid w:val="004962A9"/>
    <w:rsid w:val="004A518A"/>
    <w:rsid w:val="004B077E"/>
    <w:rsid w:val="004B3BC3"/>
    <w:rsid w:val="004B3F31"/>
    <w:rsid w:val="004B647A"/>
    <w:rsid w:val="004B76AD"/>
    <w:rsid w:val="004C1270"/>
    <w:rsid w:val="004C4A9C"/>
    <w:rsid w:val="004D487A"/>
    <w:rsid w:val="004E1355"/>
    <w:rsid w:val="004E20AC"/>
    <w:rsid w:val="004E4505"/>
    <w:rsid w:val="004F1CCB"/>
    <w:rsid w:val="004F43F6"/>
    <w:rsid w:val="004F4F69"/>
    <w:rsid w:val="005029C5"/>
    <w:rsid w:val="00502B8F"/>
    <w:rsid w:val="00502DE3"/>
    <w:rsid w:val="00505382"/>
    <w:rsid w:val="005067A8"/>
    <w:rsid w:val="0051047A"/>
    <w:rsid w:val="005148D8"/>
    <w:rsid w:val="00515D08"/>
    <w:rsid w:val="00516532"/>
    <w:rsid w:val="00521808"/>
    <w:rsid w:val="00525977"/>
    <w:rsid w:val="00527A8D"/>
    <w:rsid w:val="005315B6"/>
    <w:rsid w:val="00533EB4"/>
    <w:rsid w:val="005355A6"/>
    <w:rsid w:val="005355E0"/>
    <w:rsid w:val="00537527"/>
    <w:rsid w:val="0053785A"/>
    <w:rsid w:val="00540948"/>
    <w:rsid w:val="00540BFC"/>
    <w:rsid w:val="00541B47"/>
    <w:rsid w:val="00543A29"/>
    <w:rsid w:val="00544B2F"/>
    <w:rsid w:val="00550576"/>
    <w:rsid w:val="00550C05"/>
    <w:rsid w:val="00550C21"/>
    <w:rsid w:val="005530B9"/>
    <w:rsid w:val="005620E4"/>
    <w:rsid w:val="005644D6"/>
    <w:rsid w:val="00565BFC"/>
    <w:rsid w:val="00565E7F"/>
    <w:rsid w:val="005706BC"/>
    <w:rsid w:val="00570980"/>
    <w:rsid w:val="00571E4F"/>
    <w:rsid w:val="00576C66"/>
    <w:rsid w:val="00576F75"/>
    <w:rsid w:val="00580109"/>
    <w:rsid w:val="00585825"/>
    <w:rsid w:val="00586CB8"/>
    <w:rsid w:val="00591B1D"/>
    <w:rsid w:val="00593748"/>
    <w:rsid w:val="00596419"/>
    <w:rsid w:val="005969BF"/>
    <w:rsid w:val="0059790C"/>
    <w:rsid w:val="005A0734"/>
    <w:rsid w:val="005A37AE"/>
    <w:rsid w:val="005A551D"/>
    <w:rsid w:val="005A6CA4"/>
    <w:rsid w:val="005B1186"/>
    <w:rsid w:val="005B2C49"/>
    <w:rsid w:val="005B64E1"/>
    <w:rsid w:val="005B75E6"/>
    <w:rsid w:val="005C0EBD"/>
    <w:rsid w:val="005C130B"/>
    <w:rsid w:val="005C1D96"/>
    <w:rsid w:val="005C1DB2"/>
    <w:rsid w:val="005C1F24"/>
    <w:rsid w:val="005C5811"/>
    <w:rsid w:val="005D0735"/>
    <w:rsid w:val="005D23AC"/>
    <w:rsid w:val="005D361B"/>
    <w:rsid w:val="005E4066"/>
    <w:rsid w:val="005E7574"/>
    <w:rsid w:val="005F29B0"/>
    <w:rsid w:val="0060168F"/>
    <w:rsid w:val="006018C9"/>
    <w:rsid w:val="00602DCD"/>
    <w:rsid w:val="00603166"/>
    <w:rsid w:val="00607C03"/>
    <w:rsid w:val="006121CF"/>
    <w:rsid w:val="006121DD"/>
    <w:rsid w:val="0061523B"/>
    <w:rsid w:val="00616ABB"/>
    <w:rsid w:val="00616DBD"/>
    <w:rsid w:val="00630D2C"/>
    <w:rsid w:val="006329EF"/>
    <w:rsid w:val="00634CF3"/>
    <w:rsid w:val="00635D6A"/>
    <w:rsid w:val="00637021"/>
    <w:rsid w:val="0064039A"/>
    <w:rsid w:val="00651B60"/>
    <w:rsid w:val="00657A02"/>
    <w:rsid w:val="00657EC6"/>
    <w:rsid w:val="00660B7C"/>
    <w:rsid w:val="006646DA"/>
    <w:rsid w:val="00670349"/>
    <w:rsid w:val="00673E9F"/>
    <w:rsid w:val="006740B4"/>
    <w:rsid w:val="00677469"/>
    <w:rsid w:val="0068046D"/>
    <w:rsid w:val="006830C7"/>
    <w:rsid w:val="00684040"/>
    <w:rsid w:val="006841D0"/>
    <w:rsid w:val="006936C4"/>
    <w:rsid w:val="00693C78"/>
    <w:rsid w:val="00695919"/>
    <w:rsid w:val="0069629B"/>
    <w:rsid w:val="006A1F3A"/>
    <w:rsid w:val="006B3ED6"/>
    <w:rsid w:val="006B7181"/>
    <w:rsid w:val="006C7F68"/>
    <w:rsid w:val="006D1874"/>
    <w:rsid w:val="006D2E17"/>
    <w:rsid w:val="006D37F3"/>
    <w:rsid w:val="006D3D6E"/>
    <w:rsid w:val="006D725C"/>
    <w:rsid w:val="006E4800"/>
    <w:rsid w:val="006E6BEE"/>
    <w:rsid w:val="006E6D2D"/>
    <w:rsid w:val="006E6D4A"/>
    <w:rsid w:val="006F1AF8"/>
    <w:rsid w:val="006F46CA"/>
    <w:rsid w:val="006F49FA"/>
    <w:rsid w:val="006F4D66"/>
    <w:rsid w:val="006F7081"/>
    <w:rsid w:val="00700931"/>
    <w:rsid w:val="00703DB5"/>
    <w:rsid w:val="00704027"/>
    <w:rsid w:val="00704237"/>
    <w:rsid w:val="007100F1"/>
    <w:rsid w:val="00711DF8"/>
    <w:rsid w:val="00716B71"/>
    <w:rsid w:val="00716CAD"/>
    <w:rsid w:val="00723836"/>
    <w:rsid w:val="007255C1"/>
    <w:rsid w:val="00727997"/>
    <w:rsid w:val="00730B19"/>
    <w:rsid w:val="00732296"/>
    <w:rsid w:val="00732B26"/>
    <w:rsid w:val="00732F88"/>
    <w:rsid w:val="00735575"/>
    <w:rsid w:val="007356AE"/>
    <w:rsid w:val="00736E40"/>
    <w:rsid w:val="0073761E"/>
    <w:rsid w:val="00737DCF"/>
    <w:rsid w:val="00740E3D"/>
    <w:rsid w:val="00742E5A"/>
    <w:rsid w:val="00743496"/>
    <w:rsid w:val="00752D3F"/>
    <w:rsid w:val="00753622"/>
    <w:rsid w:val="00756C05"/>
    <w:rsid w:val="007605F8"/>
    <w:rsid w:val="00766303"/>
    <w:rsid w:val="00767C7A"/>
    <w:rsid w:val="00770E57"/>
    <w:rsid w:val="007730BB"/>
    <w:rsid w:val="007736B9"/>
    <w:rsid w:val="00777564"/>
    <w:rsid w:val="00782468"/>
    <w:rsid w:val="00783265"/>
    <w:rsid w:val="00787097"/>
    <w:rsid w:val="00787DBE"/>
    <w:rsid w:val="00790098"/>
    <w:rsid w:val="007914E5"/>
    <w:rsid w:val="007927CC"/>
    <w:rsid w:val="0079530A"/>
    <w:rsid w:val="00795676"/>
    <w:rsid w:val="00796649"/>
    <w:rsid w:val="00796DE6"/>
    <w:rsid w:val="00797DF9"/>
    <w:rsid w:val="007A0136"/>
    <w:rsid w:val="007A2CA1"/>
    <w:rsid w:val="007A389C"/>
    <w:rsid w:val="007A3AEB"/>
    <w:rsid w:val="007A64D4"/>
    <w:rsid w:val="007B77D0"/>
    <w:rsid w:val="007C1998"/>
    <w:rsid w:val="007C2C19"/>
    <w:rsid w:val="007C587E"/>
    <w:rsid w:val="007D6621"/>
    <w:rsid w:val="00800DE9"/>
    <w:rsid w:val="00810578"/>
    <w:rsid w:val="00810E09"/>
    <w:rsid w:val="008119EA"/>
    <w:rsid w:val="00820E8C"/>
    <w:rsid w:val="00825006"/>
    <w:rsid w:val="00825C08"/>
    <w:rsid w:val="008265DC"/>
    <w:rsid w:val="00827F2A"/>
    <w:rsid w:val="00831428"/>
    <w:rsid w:val="0084292B"/>
    <w:rsid w:val="00847640"/>
    <w:rsid w:val="00851BF8"/>
    <w:rsid w:val="00852379"/>
    <w:rsid w:val="008537B5"/>
    <w:rsid w:val="00855608"/>
    <w:rsid w:val="008606A5"/>
    <w:rsid w:val="00863532"/>
    <w:rsid w:val="00864CE6"/>
    <w:rsid w:val="008657C4"/>
    <w:rsid w:val="0086634D"/>
    <w:rsid w:val="00870268"/>
    <w:rsid w:val="00874644"/>
    <w:rsid w:val="0087578C"/>
    <w:rsid w:val="0087705A"/>
    <w:rsid w:val="00877284"/>
    <w:rsid w:val="008772EF"/>
    <w:rsid w:val="00884173"/>
    <w:rsid w:val="00887106"/>
    <w:rsid w:val="00893B10"/>
    <w:rsid w:val="00893C45"/>
    <w:rsid w:val="00895097"/>
    <w:rsid w:val="008A05F3"/>
    <w:rsid w:val="008A2C56"/>
    <w:rsid w:val="008A33A9"/>
    <w:rsid w:val="008A5019"/>
    <w:rsid w:val="008A5C71"/>
    <w:rsid w:val="008A660C"/>
    <w:rsid w:val="008B373A"/>
    <w:rsid w:val="008B5624"/>
    <w:rsid w:val="008B7BE7"/>
    <w:rsid w:val="008C0C81"/>
    <w:rsid w:val="008C11B1"/>
    <w:rsid w:val="008C21C3"/>
    <w:rsid w:val="008C2251"/>
    <w:rsid w:val="008C67C4"/>
    <w:rsid w:val="008C7A61"/>
    <w:rsid w:val="008D09F6"/>
    <w:rsid w:val="008D1903"/>
    <w:rsid w:val="008D3C99"/>
    <w:rsid w:val="008D49CE"/>
    <w:rsid w:val="008D6AD8"/>
    <w:rsid w:val="008D7C90"/>
    <w:rsid w:val="008F230F"/>
    <w:rsid w:val="008F7A13"/>
    <w:rsid w:val="009026B2"/>
    <w:rsid w:val="00902E5C"/>
    <w:rsid w:val="0090352D"/>
    <w:rsid w:val="00907157"/>
    <w:rsid w:val="0091071E"/>
    <w:rsid w:val="00911159"/>
    <w:rsid w:val="00911D5D"/>
    <w:rsid w:val="00917817"/>
    <w:rsid w:val="00921152"/>
    <w:rsid w:val="00921607"/>
    <w:rsid w:val="009226AB"/>
    <w:rsid w:val="00926E58"/>
    <w:rsid w:val="00930A50"/>
    <w:rsid w:val="00930F9A"/>
    <w:rsid w:val="00933E74"/>
    <w:rsid w:val="0093732C"/>
    <w:rsid w:val="009374C3"/>
    <w:rsid w:val="00937A41"/>
    <w:rsid w:val="0094140F"/>
    <w:rsid w:val="0094252E"/>
    <w:rsid w:val="009426E1"/>
    <w:rsid w:val="0094462E"/>
    <w:rsid w:val="00945177"/>
    <w:rsid w:val="0095278E"/>
    <w:rsid w:val="00954920"/>
    <w:rsid w:val="00954D67"/>
    <w:rsid w:val="00955580"/>
    <w:rsid w:val="00955AC9"/>
    <w:rsid w:val="00956DD4"/>
    <w:rsid w:val="00962E25"/>
    <w:rsid w:val="009662ED"/>
    <w:rsid w:val="0096654A"/>
    <w:rsid w:val="00972A54"/>
    <w:rsid w:val="00972D09"/>
    <w:rsid w:val="00973033"/>
    <w:rsid w:val="0097589C"/>
    <w:rsid w:val="00976095"/>
    <w:rsid w:val="00976E53"/>
    <w:rsid w:val="00983184"/>
    <w:rsid w:val="0098649D"/>
    <w:rsid w:val="00987BF1"/>
    <w:rsid w:val="00993204"/>
    <w:rsid w:val="00993AC4"/>
    <w:rsid w:val="00994ACB"/>
    <w:rsid w:val="00994F1D"/>
    <w:rsid w:val="009954DE"/>
    <w:rsid w:val="009957AC"/>
    <w:rsid w:val="009A11ED"/>
    <w:rsid w:val="009A19EB"/>
    <w:rsid w:val="009A4095"/>
    <w:rsid w:val="009B38DA"/>
    <w:rsid w:val="009B4409"/>
    <w:rsid w:val="009B543D"/>
    <w:rsid w:val="009C2FF0"/>
    <w:rsid w:val="009C3BBE"/>
    <w:rsid w:val="009C7DC8"/>
    <w:rsid w:val="009D2F33"/>
    <w:rsid w:val="009D3E48"/>
    <w:rsid w:val="009D4091"/>
    <w:rsid w:val="009D5686"/>
    <w:rsid w:val="009D5D47"/>
    <w:rsid w:val="009F53EA"/>
    <w:rsid w:val="009F606A"/>
    <w:rsid w:val="00A015D3"/>
    <w:rsid w:val="00A03811"/>
    <w:rsid w:val="00A101C2"/>
    <w:rsid w:val="00A16F03"/>
    <w:rsid w:val="00A20547"/>
    <w:rsid w:val="00A22CAA"/>
    <w:rsid w:val="00A23A70"/>
    <w:rsid w:val="00A25096"/>
    <w:rsid w:val="00A304BF"/>
    <w:rsid w:val="00A32BA6"/>
    <w:rsid w:val="00A40340"/>
    <w:rsid w:val="00A4430C"/>
    <w:rsid w:val="00A46D4E"/>
    <w:rsid w:val="00A5241C"/>
    <w:rsid w:val="00A52A00"/>
    <w:rsid w:val="00A561C2"/>
    <w:rsid w:val="00A5743B"/>
    <w:rsid w:val="00A639B2"/>
    <w:rsid w:val="00A65CF9"/>
    <w:rsid w:val="00A66BEB"/>
    <w:rsid w:val="00A734A8"/>
    <w:rsid w:val="00A744BE"/>
    <w:rsid w:val="00A75EA3"/>
    <w:rsid w:val="00A76CB3"/>
    <w:rsid w:val="00A77860"/>
    <w:rsid w:val="00A84436"/>
    <w:rsid w:val="00A84CA0"/>
    <w:rsid w:val="00A8539D"/>
    <w:rsid w:val="00A85EDB"/>
    <w:rsid w:val="00A86CD2"/>
    <w:rsid w:val="00A917BF"/>
    <w:rsid w:val="00A92FD1"/>
    <w:rsid w:val="00A93AF1"/>
    <w:rsid w:val="00A95C18"/>
    <w:rsid w:val="00A95C61"/>
    <w:rsid w:val="00A95F7C"/>
    <w:rsid w:val="00AA0344"/>
    <w:rsid w:val="00AA1851"/>
    <w:rsid w:val="00AA1BBF"/>
    <w:rsid w:val="00AA3887"/>
    <w:rsid w:val="00AA489F"/>
    <w:rsid w:val="00AA628F"/>
    <w:rsid w:val="00AA7331"/>
    <w:rsid w:val="00AA7B5F"/>
    <w:rsid w:val="00AB35D1"/>
    <w:rsid w:val="00AB3912"/>
    <w:rsid w:val="00AB42AB"/>
    <w:rsid w:val="00AB6D6C"/>
    <w:rsid w:val="00AB79BA"/>
    <w:rsid w:val="00AB7B09"/>
    <w:rsid w:val="00AC1AD7"/>
    <w:rsid w:val="00AC69C2"/>
    <w:rsid w:val="00AC7770"/>
    <w:rsid w:val="00AD12B5"/>
    <w:rsid w:val="00AD2E40"/>
    <w:rsid w:val="00AD350A"/>
    <w:rsid w:val="00AD4950"/>
    <w:rsid w:val="00AE28D4"/>
    <w:rsid w:val="00AE32E9"/>
    <w:rsid w:val="00AE65FE"/>
    <w:rsid w:val="00AF6614"/>
    <w:rsid w:val="00AF6F30"/>
    <w:rsid w:val="00B00C24"/>
    <w:rsid w:val="00B016CD"/>
    <w:rsid w:val="00B017EA"/>
    <w:rsid w:val="00B01F44"/>
    <w:rsid w:val="00B0239E"/>
    <w:rsid w:val="00B07EF9"/>
    <w:rsid w:val="00B12D38"/>
    <w:rsid w:val="00B16E82"/>
    <w:rsid w:val="00B17CFF"/>
    <w:rsid w:val="00B17DC2"/>
    <w:rsid w:val="00B201F5"/>
    <w:rsid w:val="00B229D2"/>
    <w:rsid w:val="00B23236"/>
    <w:rsid w:val="00B26055"/>
    <w:rsid w:val="00B26D74"/>
    <w:rsid w:val="00B27370"/>
    <w:rsid w:val="00B32AD6"/>
    <w:rsid w:val="00B36A06"/>
    <w:rsid w:val="00B423B8"/>
    <w:rsid w:val="00B42C57"/>
    <w:rsid w:val="00B44E7C"/>
    <w:rsid w:val="00B47542"/>
    <w:rsid w:val="00B50DAF"/>
    <w:rsid w:val="00B52125"/>
    <w:rsid w:val="00B534C0"/>
    <w:rsid w:val="00B5435E"/>
    <w:rsid w:val="00B544F9"/>
    <w:rsid w:val="00B55982"/>
    <w:rsid w:val="00B55CC2"/>
    <w:rsid w:val="00B60EFF"/>
    <w:rsid w:val="00B61572"/>
    <w:rsid w:val="00B62140"/>
    <w:rsid w:val="00B62A55"/>
    <w:rsid w:val="00B65540"/>
    <w:rsid w:val="00B655FB"/>
    <w:rsid w:val="00B7578D"/>
    <w:rsid w:val="00B76BCB"/>
    <w:rsid w:val="00B81929"/>
    <w:rsid w:val="00B81F69"/>
    <w:rsid w:val="00B8329E"/>
    <w:rsid w:val="00B85406"/>
    <w:rsid w:val="00B8552D"/>
    <w:rsid w:val="00B8609C"/>
    <w:rsid w:val="00B87CE8"/>
    <w:rsid w:val="00B9229B"/>
    <w:rsid w:val="00B93146"/>
    <w:rsid w:val="00B95474"/>
    <w:rsid w:val="00B971D5"/>
    <w:rsid w:val="00BA2C81"/>
    <w:rsid w:val="00BA4798"/>
    <w:rsid w:val="00BA6D36"/>
    <w:rsid w:val="00BB00FB"/>
    <w:rsid w:val="00BB1044"/>
    <w:rsid w:val="00BB1225"/>
    <w:rsid w:val="00BB220E"/>
    <w:rsid w:val="00BB27B4"/>
    <w:rsid w:val="00BB4BD2"/>
    <w:rsid w:val="00BC0BFC"/>
    <w:rsid w:val="00BC2FE0"/>
    <w:rsid w:val="00BC7B11"/>
    <w:rsid w:val="00BD0574"/>
    <w:rsid w:val="00BD2194"/>
    <w:rsid w:val="00BD3089"/>
    <w:rsid w:val="00BD7CB0"/>
    <w:rsid w:val="00BE04B4"/>
    <w:rsid w:val="00BE6043"/>
    <w:rsid w:val="00BF0967"/>
    <w:rsid w:val="00BF1038"/>
    <w:rsid w:val="00BF24AA"/>
    <w:rsid w:val="00BF5378"/>
    <w:rsid w:val="00BF5A47"/>
    <w:rsid w:val="00C021E6"/>
    <w:rsid w:val="00C02BB2"/>
    <w:rsid w:val="00C067E3"/>
    <w:rsid w:val="00C1129F"/>
    <w:rsid w:val="00C11F03"/>
    <w:rsid w:val="00C25032"/>
    <w:rsid w:val="00C251F3"/>
    <w:rsid w:val="00C262F2"/>
    <w:rsid w:val="00C2658C"/>
    <w:rsid w:val="00C26A7E"/>
    <w:rsid w:val="00C272B3"/>
    <w:rsid w:val="00C30172"/>
    <w:rsid w:val="00C30BC7"/>
    <w:rsid w:val="00C30FDE"/>
    <w:rsid w:val="00C31ED0"/>
    <w:rsid w:val="00C35284"/>
    <w:rsid w:val="00C35A41"/>
    <w:rsid w:val="00C35A86"/>
    <w:rsid w:val="00C365B5"/>
    <w:rsid w:val="00C4070E"/>
    <w:rsid w:val="00C40B6C"/>
    <w:rsid w:val="00C4204F"/>
    <w:rsid w:val="00C443DF"/>
    <w:rsid w:val="00C50770"/>
    <w:rsid w:val="00C511D2"/>
    <w:rsid w:val="00C5665E"/>
    <w:rsid w:val="00C56DB4"/>
    <w:rsid w:val="00C570E7"/>
    <w:rsid w:val="00C6053C"/>
    <w:rsid w:val="00C612DB"/>
    <w:rsid w:val="00C63386"/>
    <w:rsid w:val="00C65D2D"/>
    <w:rsid w:val="00C66181"/>
    <w:rsid w:val="00C73F16"/>
    <w:rsid w:val="00C74057"/>
    <w:rsid w:val="00C86A5D"/>
    <w:rsid w:val="00C86D86"/>
    <w:rsid w:val="00C877F8"/>
    <w:rsid w:val="00C87A67"/>
    <w:rsid w:val="00C910D2"/>
    <w:rsid w:val="00C95632"/>
    <w:rsid w:val="00C961A4"/>
    <w:rsid w:val="00CA2FD5"/>
    <w:rsid w:val="00CA3800"/>
    <w:rsid w:val="00CA3EBB"/>
    <w:rsid w:val="00CA7CD1"/>
    <w:rsid w:val="00CB2B40"/>
    <w:rsid w:val="00CB3A97"/>
    <w:rsid w:val="00CB4FAE"/>
    <w:rsid w:val="00CB60B6"/>
    <w:rsid w:val="00CB6DBB"/>
    <w:rsid w:val="00CC13DA"/>
    <w:rsid w:val="00CC3650"/>
    <w:rsid w:val="00CC44BD"/>
    <w:rsid w:val="00CC5BE7"/>
    <w:rsid w:val="00CC7D44"/>
    <w:rsid w:val="00CD2B05"/>
    <w:rsid w:val="00CD62D0"/>
    <w:rsid w:val="00CE14D1"/>
    <w:rsid w:val="00CE24BD"/>
    <w:rsid w:val="00CE3E82"/>
    <w:rsid w:val="00CE7461"/>
    <w:rsid w:val="00CE7F88"/>
    <w:rsid w:val="00CF1C18"/>
    <w:rsid w:val="00CF448A"/>
    <w:rsid w:val="00CF6C89"/>
    <w:rsid w:val="00CF7355"/>
    <w:rsid w:val="00CF778B"/>
    <w:rsid w:val="00D0192E"/>
    <w:rsid w:val="00D03C0D"/>
    <w:rsid w:val="00D10D83"/>
    <w:rsid w:val="00D113A7"/>
    <w:rsid w:val="00D130D8"/>
    <w:rsid w:val="00D17E11"/>
    <w:rsid w:val="00D20B39"/>
    <w:rsid w:val="00D244D6"/>
    <w:rsid w:val="00D259F4"/>
    <w:rsid w:val="00D31F1A"/>
    <w:rsid w:val="00D33F45"/>
    <w:rsid w:val="00D3405E"/>
    <w:rsid w:val="00D374F7"/>
    <w:rsid w:val="00D422C1"/>
    <w:rsid w:val="00D549C7"/>
    <w:rsid w:val="00D60210"/>
    <w:rsid w:val="00D631F7"/>
    <w:rsid w:val="00D63B75"/>
    <w:rsid w:val="00D674BE"/>
    <w:rsid w:val="00D74417"/>
    <w:rsid w:val="00D75D52"/>
    <w:rsid w:val="00D76E7F"/>
    <w:rsid w:val="00D8027A"/>
    <w:rsid w:val="00D805EE"/>
    <w:rsid w:val="00D827A2"/>
    <w:rsid w:val="00D8283D"/>
    <w:rsid w:val="00D84022"/>
    <w:rsid w:val="00D85053"/>
    <w:rsid w:val="00D90655"/>
    <w:rsid w:val="00D93A2D"/>
    <w:rsid w:val="00D94783"/>
    <w:rsid w:val="00DA2664"/>
    <w:rsid w:val="00DA377A"/>
    <w:rsid w:val="00DA4773"/>
    <w:rsid w:val="00DA4F19"/>
    <w:rsid w:val="00DA5DCD"/>
    <w:rsid w:val="00DB177D"/>
    <w:rsid w:val="00DB1C14"/>
    <w:rsid w:val="00DB4961"/>
    <w:rsid w:val="00DC3B58"/>
    <w:rsid w:val="00DD4C88"/>
    <w:rsid w:val="00DD4CF8"/>
    <w:rsid w:val="00DE5315"/>
    <w:rsid w:val="00DE5939"/>
    <w:rsid w:val="00DF3244"/>
    <w:rsid w:val="00DF3610"/>
    <w:rsid w:val="00DF62F6"/>
    <w:rsid w:val="00DF73C9"/>
    <w:rsid w:val="00E000A5"/>
    <w:rsid w:val="00E01522"/>
    <w:rsid w:val="00E0175B"/>
    <w:rsid w:val="00E0598A"/>
    <w:rsid w:val="00E07A49"/>
    <w:rsid w:val="00E10559"/>
    <w:rsid w:val="00E12710"/>
    <w:rsid w:val="00E13E30"/>
    <w:rsid w:val="00E15736"/>
    <w:rsid w:val="00E15A94"/>
    <w:rsid w:val="00E162F8"/>
    <w:rsid w:val="00E1743D"/>
    <w:rsid w:val="00E1783E"/>
    <w:rsid w:val="00E30B50"/>
    <w:rsid w:val="00E33050"/>
    <w:rsid w:val="00E411BE"/>
    <w:rsid w:val="00E43A15"/>
    <w:rsid w:val="00E44CCD"/>
    <w:rsid w:val="00E50E27"/>
    <w:rsid w:val="00E54B81"/>
    <w:rsid w:val="00E558EE"/>
    <w:rsid w:val="00E56010"/>
    <w:rsid w:val="00E56FB8"/>
    <w:rsid w:val="00E6155E"/>
    <w:rsid w:val="00E64A7F"/>
    <w:rsid w:val="00E72F3E"/>
    <w:rsid w:val="00E74A70"/>
    <w:rsid w:val="00E840CD"/>
    <w:rsid w:val="00E85892"/>
    <w:rsid w:val="00E86F07"/>
    <w:rsid w:val="00E941EE"/>
    <w:rsid w:val="00E94445"/>
    <w:rsid w:val="00E9570D"/>
    <w:rsid w:val="00E9631C"/>
    <w:rsid w:val="00EA2C15"/>
    <w:rsid w:val="00EA3087"/>
    <w:rsid w:val="00EA37C4"/>
    <w:rsid w:val="00EA5896"/>
    <w:rsid w:val="00EA6D40"/>
    <w:rsid w:val="00EB0009"/>
    <w:rsid w:val="00EB320A"/>
    <w:rsid w:val="00EB4825"/>
    <w:rsid w:val="00EB4F92"/>
    <w:rsid w:val="00EC01F3"/>
    <w:rsid w:val="00EC4C0A"/>
    <w:rsid w:val="00EC5CAF"/>
    <w:rsid w:val="00EC5EA9"/>
    <w:rsid w:val="00EC7D4E"/>
    <w:rsid w:val="00ED3490"/>
    <w:rsid w:val="00ED4533"/>
    <w:rsid w:val="00EE0E7A"/>
    <w:rsid w:val="00EE13D7"/>
    <w:rsid w:val="00EE1D7B"/>
    <w:rsid w:val="00EE35F6"/>
    <w:rsid w:val="00EE386B"/>
    <w:rsid w:val="00EE464E"/>
    <w:rsid w:val="00EF15FC"/>
    <w:rsid w:val="00EF3277"/>
    <w:rsid w:val="00EF412E"/>
    <w:rsid w:val="00EF6095"/>
    <w:rsid w:val="00EF6301"/>
    <w:rsid w:val="00EF6763"/>
    <w:rsid w:val="00F02043"/>
    <w:rsid w:val="00F04482"/>
    <w:rsid w:val="00F04952"/>
    <w:rsid w:val="00F06C59"/>
    <w:rsid w:val="00F151F5"/>
    <w:rsid w:val="00F15F21"/>
    <w:rsid w:val="00F17E46"/>
    <w:rsid w:val="00F2172A"/>
    <w:rsid w:val="00F26816"/>
    <w:rsid w:val="00F27E1D"/>
    <w:rsid w:val="00F27FF9"/>
    <w:rsid w:val="00F34873"/>
    <w:rsid w:val="00F34F48"/>
    <w:rsid w:val="00F3781D"/>
    <w:rsid w:val="00F4303F"/>
    <w:rsid w:val="00F439BD"/>
    <w:rsid w:val="00F442D5"/>
    <w:rsid w:val="00F46A69"/>
    <w:rsid w:val="00F51217"/>
    <w:rsid w:val="00F52347"/>
    <w:rsid w:val="00F533BB"/>
    <w:rsid w:val="00F534C3"/>
    <w:rsid w:val="00F55EBB"/>
    <w:rsid w:val="00F610A8"/>
    <w:rsid w:val="00F62453"/>
    <w:rsid w:val="00F65429"/>
    <w:rsid w:val="00F65E26"/>
    <w:rsid w:val="00F67BDA"/>
    <w:rsid w:val="00F737D8"/>
    <w:rsid w:val="00F76390"/>
    <w:rsid w:val="00F76A5C"/>
    <w:rsid w:val="00F76C0D"/>
    <w:rsid w:val="00F82E82"/>
    <w:rsid w:val="00F852DF"/>
    <w:rsid w:val="00F87954"/>
    <w:rsid w:val="00F915BB"/>
    <w:rsid w:val="00F92018"/>
    <w:rsid w:val="00F92137"/>
    <w:rsid w:val="00F92EB1"/>
    <w:rsid w:val="00F95390"/>
    <w:rsid w:val="00F97060"/>
    <w:rsid w:val="00FA0248"/>
    <w:rsid w:val="00FA1845"/>
    <w:rsid w:val="00FA4032"/>
    <w:rsid w:val="00FB0F13"/>
    <w:rsid w:val="00FC121F"/>
    <w:rsid w:val="00FC4BA0"/>
    <w:rsid w:val="00FC6E6E"/>
    <w:rsid w:val="00FD0CA2"/>
    <w:rsid w:val="00FD6478"/>
    <w:rsid w:val="00FD6C29"/>
    <w:rsid w:val="00FD6D4C"/>
    <w:rsid w:val="00FE4EC5"/>
    <w:rsid w:val="00FE5758"/>
    <w:rsid w:val="00FE6BF8"/>
    <w:rsid w:val="00FE7DCD"/>
    <w:rsid w:val="00FF200D"/>
    <w:rsid w:val="00FF30E2"/>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CA" w:eastAsia="fr-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index 1" w:uiPriority="0"/>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annotation text" w:uiPriority="0"/>
    <w:lsdException w:name="footer" w:uiPriority="0"/>
    <w:lsdException w:name="caption" w:locked="1" w:uiPriority="0" w:qFormat="1"/>
    <w:lsdException w:name="page number" w:uiPriority="0"/>
    <w:lsdException w:name="List Bullet 2" w:uiPriority="0"/>
    <w:lsdException w:name="Title" w:locked="1" w:semiHidden="0" w:uiPriority="0" w:unhideWhenUsed="0" w:qFormat="1"/>
    <w:lsdException w:name="Default Paragraph Font" w:locked="1" w:semiHidden="0" w:uiPriority="1"/>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095"/>
    <w:rPr>
      <w:szCs w:val="24"/>
      <w:lang w:val="en-GB" w:eastAsia="de-DE"/>
    </w:rPr>
  </w:style>
  <w:style w:type="paragraph" w:styleId="Heading1">
    <w:name w:val="heading 1"/>
    <w:basedOn w:val="Normal"/>
    <w:next w:val="Normal"/>
    <w:link w:val="Heading1Char"/>
    <w:qFormat/>
    <w:rsid w:val="00E15A94"/>
    <w:pPr>
      <w:keepNext/>
      <w:outlineLvl w:val="0"/>
    </w:pPr>
    <w:rPr>
      <w:b/>
      <w:bCs/>
      <w:u w:val="single"/>
    </w:rPr>
  </w:style>
  <w:style w:type="paragraph" w:styleId="Heading2">
    <w:name w:val="heading 2"/>
    <w:basedOn w:val="Normal"/>
    <w:next w:val="Normal"/>
    <w:link w:val="Heading2Char"/>
    <w:qFormat/>
    <w:rsid w:val="00E15A94"/>
    <w:pPr>
      <w:keepNext/>
      <w:outlineLvl w:val="1"/>
    </w:pPr>
    <w:rPr>
      <w:u w:val="single"/>
      <w:lang w:val="en-US"/>
    </w:rPr>
  </w:style>
  <w:style w:type="paragraph" w:styleId="Heading3">
    <w:name w:val="heading 3"/>
    <w:basedOn w:val="Normal"/>
    <w:next w:val="Normal"/>
    <w:link w:val="Heading3Char"/>
    <w:qFormat/>
    <w:rsid w:val="00E15A94"/>
    <w:pPr>
      <w:keepNext/>
      <w:outlineLvl w:val="2"/>
    </w:pPr>
    <w:rPr>
      <w:b/>
      <w:sz w:val="20"/>
      <w:lang w:val="fr-CA"/>
    </w:rPr>
  </w:style>
  <w:style w:type="paragraph" w:styleId="Heading4">
    <w:name w:val="heading 4"/>
    <w:basedOn w:val="Normal"/>
    <w:next w:val="Normal"/>
    <w:link w:val="Heading4Char"/>
    <w:qFormat/>
    <w:rsid w:val="00E15A94"/>
    <w:pPr>
      <w:keepNext/>
      <w:numPr>
        <w:ilvl w:val="3"/>
        <w:numId w:val="2"/>
      </w:numPr>
      <w:spacing w:before="240" w:after="60"/>
      <w:outlineLvl w:val="3"/>
    </w:pPr>
    <w:rPr>
      <w:rFonts w:ascii="Arial" w:hAnsi="Arial"/>
      <w:b/>
      <w:szCs w:val="20"/>
      <w:lang w:eastAsia="en-US"/>
    </w:rPr>
  </w:style>
  <w:style w:type="paragraph" w:styleId="Heading5">
    <w:name w:val="heading 5"/>
    <w:basedOn w:val="Normal"/>
    <w:next w:val="Normal"/>
    <w:link w:val="Heading5Char"/>
    <w:qFormat/>
    <w:rsid w:val="00E15A94"/>
    <w:pPr>
      <w:numPr>
        <w:ilvl w:val="4"/>
        <w:numId w:val="2"/>
      </w:numPr>
      <w:spacing w:before="240" w:after="60"/>
      <w:outlineLvl w:val="4"/>
    </w:pPr>
    <w:rPr>
      <w:szCs w:val="20"/>
      <w:lang w:eastAsia="en-US"/>
    </w:rPr>
  </w:style>
  <w:style w:type="paragraph" w:styleId="Heading6">
    <w:name w:val="heading 6"/>
    <w:basedOn w:val="Normal"/>
    <w:next w:val="Normal"/>
    <w:link w:val="Heading6Char"/>
    <w:qFormat/>
    <w:rsid w:val="00E15A94"/>
    <w:pPr>
      <w:numPr>
        <w:ilvl w:val="5"/>
        <w:numId w:val="2"/>
      </w:numPr>
      <w:spacing w:before="240" w:after="60"/>
      <w:outlineLvl w:val="5"/>
    </w:pPr>
    <w:rPr>
      <w:i/>
      <w:szCs w:val="20"/>
      <w:lang w:eastAsia="en-US"/>
    </w:rPr>
  </w:style>
  <w:style w:type="paragraph" w:styleId="Heading7">
    <w:name w:val="heading 7"/>
    <w:basedOn w:val="Normal"/>
    <w:next w:val="Normal"/>
    <w:link w:val="Heading7Char"/>
    <w:qFormat/>
    <w:rsid w:val="00E15A94"/>
    <w:pPr>
      <w:numPr>
        <w:ilvl w:val="6"/>
        <w:numId w:val="2"/>
      </w:numPr>
      <w:spacing w:before="240" w:after="60"/>
      <w:outlineLvl w:val="6"/>
    </w:pPr>
    <w:rPr>
      <w:rFonts w:ascii="Arial" w:hAnsi="Arial"/>
      <w:sz w:val="20"/>
      <w:szCs w:val="20"/>
      <w:lang w:eastAsia="en-US"/>
    </w:rPr>
  </w:style>
  <w:style w:type="paragraph" w:styleId="Heading8">
    <w:name w:val="heading 8"/>
    <w:basedOn w:val="Normal"/>
    <w:next w:val="Normal"/>
    <w:link w:val="Heading8Char"/>
    <w:qFormat/>
    <w:rsid w:val="00E15A94"/>
    <w:pPr>
      <w:numPr>
        <w:ilvl w:val="7"/>
        <w:numId w:val="2"/>
      </w:numPr>
      <w:spacing w:before="240" w:after="60"/>
      <w:outlineLvl w:val="7"/>
    </w:pPr>
    <w:rPr>
      <w:rFonts w:ascii="Arial" w:hAnsi="Arial"/>
      <w:i/>
      <w:sz w:val="20"/>
      <w:szCs w:val="20"/>
      <w:lang w:eastAsia="en-US"/>
    </w:rPr>
  </w:style>
  <w:style w:type="paragraph" w:styleId="Heading9">
    <w:name w:val="heading 9"/>
    <w:basedOn w:val="Normal"/>
    <w:next w:val="Normal"/>
    <w:link w:val="Heading9Char"/>
    <w:qFormat/>
    <w:rsid w:val="00E15A94"/>
    <w:pPr>
      <w:numPr>
        <w:ilvl w:val="8"/>
        <w:numId w:val="2"/>
      </w:numPr>
      <w:spacing w:before="240" w:after="60"/>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E24"/>
    <w:rPr>
      <w:rFonts w:asciiTheme="majorHAnsi" w:eastAsiaTheme="majorEastAsia" w:hAnsiTheme="majorHAnsi" w:cstheme="majorBidi"/>
      <w:b/>
      <w:bCs/>
      <w:kern w:val="32"/>
      <w:sz w:val="32"/>
      <w:szCs w:val="32"/>
      <w:lang w:val="en-GB" w:eastAsia="de-DE"/>
    </w:rPr>
  </w:style>
  <w:style w:type="character" w:customStyle="1" w:styleId="Heading2Char">
    <w:name w:val="Heading 2 Char"/>
    <w:basedOn w:val="DefaultParagraphFont"/>
    <w:link w:val="Heading2"/>
    <w:uiPriority w:val="9"/>
    <w:semiHidden/>
    <w:rsid w:val="00BF4E24"/>
    <w:rPr>
      <w:rFonts w:asciiTheme="majorHAnsi" w:eastAsiaTheme="majorEastAsia" w:hAnsiTheme="majorHAnsi" w:cstheme="majorBidi"/>
      <w:b/>
      <w:bCs/>
      <w:i/>
      <w:iCs/>
      <w:sz w:val="28"/>
      <w:szCs w:val="28"/>
      <w:lang w:val="en-GB" w:eastAsia="de-DE"/>
    </w:rPr>
  </w:style>
  <w:style w:type="character" w:customStyle="1" w:styleId="Heading3Char">
    <w:name w:val="Heading 3 Char"/>
    <w:basedOn w:val="DefaultParagraphFont"/>
    <w:link w:val="Heading3"/>
    <w:locked/>
    <w:rsid w:val="00422F52"/>
    <w:rPr>
      <w:b/>
      <w:sz w:val="24"/>
      <w:lang w:eastAsia="de-DE"/>
    </w:rPr>
  </w:style>
  <w:style w:type="character" w:customStyle="1" w:styleId="Heading4Char">
    <w:name w:val="Heading 4 Char"/>
    <w:basedOn w:val="DefaultParagraphFont"/>
    <w:link w:val="Heading4"/>
    <w:rsid w:val="00BF4E24"/>
    <w:rPr>
      <w:rFonts w:ascii="Arial" w:hAnsi="Arial"/>
      <w:b/>
      <w:szCs w:val="20"/>
      <w:lang w:val="en-GB" w:eastAsia="en-US"/>
    </w:rPr>
  </w:style>
  <w:style w:type="character" w:customStyle="1" w:styleId="Heading5Char">
    <w:name w:val="Heading 5 Char"/>
    <w:basedOn w:val="DefaultParagraphFont"/>
    <w:link w:val="Heading5"/>
    <w:rsid w:val="00BF4E24"/>
    <w:rPr>
      <w:szCs w:val="20"/>
      <w:lang w:val="en-GB" w:eastAsia="en-US"/>
    </w:rPr>
  </w:style>
  <w:style w:type="character" w:customStyle="1" w:styleId="Heading6Char">
    <w:name w:val="Heading 6 Char"/>
    <w:basedOn w:val="DefaultParagraphFont"/>
    <w:link w:val="Heading6"/>
    <w:rsid w:val="00BF4E24"/>
    <w:rPr>
      <w:i/>
      <w:szCs w:val="20"/>
      <w:lang w:val="en-GB" w:eastAsia="en-US"/>
    </w:rPr>
  </w:style>
  <w:style w:type="character" w:customStyle="1" w:styleId="Heading7Char">
    <w:name w:val="Heading 7 Char"/>
    <w:basedOn w:val="DefaultParagraphFont"/>
    <w:link w:val="Heading7"/>
    <w:rsid w:val="00BF4E24"/>
    <w:rPr>
      <w:rFonts w:ascii="Arial" w:hAnsi="Arial"/>
      <w:sz w:val="20"/>
      <w:szCs w:val="20"/>
      <w:lang w:val="en-GB" w:eastAsia="en-US"/>
    </w:rPr>
  </w:style>
  <w:style w:type="character" w:customStyle="1" w:styleId="Heading8Char">
    <w:name w:val="Heading 8 Char"/>
    <w:basedOn w:val="DefaultParagraphFont"/>
    <w:link w:val="Heading8"/>
    <w:rsid w:val="00BF4E24"/>
    <w:rPr>
      <w:rFonts w:ascii="Arial" w:hAnsi="Arial"/>
      <w:i/>
      <w:sz w:val="20"/>
      <w:szCs w:val="20"/>
      <w:lang w:val="en-GB" w:eastAsia="en-US"/>
    </w:rPr>
  </w:style>
  <w:style w:type="character" w:customStyle="1" w:styleId="Heading9Char">
    <w:name w:val="Heading 9 Char"/>
    <w:basedOn w:val="DefaultParagraphFont"/>
    <w:link w:val="Heading9"/>
    <w:rsid w:val="00BF4E24"/>
    <w:rPr>
      <w:rFonts w:ascii="Arial" w:hAnsi="Arial"/>
      <w:b/>
      <w:i/>
      <w:sz w:val="18"/>
      <w:szCs w:val="20"/>
      <w:lang w:val="en-GB" w:eastAsia="en-US"/>
    </w:rPr>
  </w:style>
  <w:style w:type="paragraph" w:customStyle="1" w:styleId="1Heading">
    <w:name w:val="1Heading"/>
    <w:rsid w:val="00261095"/>
    <w:pPr>
      <w:widowControl w:val="0"/>
      <w:numPr>
        <w:numId w:val="3"/>
      </w:numPr>
      <w:tabs>
        <w:tab w:val="left" w:pos="720"/>
      </w:tabs>
      <w:ind w:right="2880"/>
    </w:pPr>
    <w:rPr>
      <w:b/>
      <w:sz w:val="24"/>
      <w:szCs w:val="20"/>
      <w:lang w:val="en-GB" w:eastAsia="en-US"/>
    </w:rPr>
  </w:style>
  <w:style w:type="paragraph" w:styleId="ListBullet2">
    <w:name w:val="List Bullet 2"/>
    <w:basedOn w:val="Normal"/>
    <w:autoRedefine/>
    <w:rsid w:val="00E15A94"/>
    <w:pPr>
      <w:numPr>
        <w:numId w:val="1"/>
      </w:numPr>
      <w:tabs>
        <w:tab w:val="clear" w:pos="643"/>
        <w:tab w:val="num" w:pos="720"/>
      </w:tabs>
      <w:ind w:left="720"/>
    </w:pPr>
    <w:rPr>
      <w:szCs w:val="20"/>
      <w:lang w:eastAsia="en-US"/>
    </w:rPr>
  </w:style>
  <w:style w:type="paragraph" w:styleId="BodyText">
    <w:name w:val="Body Text"/>
    <w:basedOn w:val="Normal"/>
    <w:link w:val="BodyTextChar"/>
    <w:rsid w:val="00E15A94"/>
    <w:rPr>
      <w:b/>
    </w:rPr>
  </w:style>
  <w:style w:type="character" w:customStyle="1" w:styleId="BodyTextChar">
    <w:name w:val="Body Text Char"/>
    <w:basedOn w:val="DefaultParagraphFont"/>
    <w:link w:val="BodyText"/>
    <w:uiPriority w:val="99"/>
    <w:semiHidden/>
    <w:rsid w:val="00BF4E24"/>
    <w:rPr>
      <w:szCs w:val="24"/>
      <w:lang w:val="en-GB" w:eastAsia="de-DE"/>
    </w:rPr>
  </w:style>
  <w:style w:type="paragraph" w:styleId="BodyTextIndent">
    <w:name w:val="Body Text Indent"/>
    <w:basedOn w:val="Normal"/>
    <w:link w:val="BodyTextIndentChar"/>
    <w:rsid w:val="00E15A94"/>
    <w:pPr>
      <w:ind w:left="720" w:hanging="720"/>
    </w:pPr>
  </w:style>
  <w:style w:type="character" w:customStyle="1" w:styleId="BodyTextIndentChar">
    <w:name w:val="Body Text Indent Char"/>
    <w:basedOn w:val="DefaultParagraphFont"/>
    <w:link w:val="BodyTextIndent"/>
    <w:uiPriority w:val="99"/>
    <w:semiHidden/>
    <w:rsid w:val="00BF4E24"/>
    <w:rPr>
      <w:szCs w:val="24"/>
      <w:lang w:val="en-GB" w:eastAsia="de-DE"/>
    </w:rPr>
  </w:style>
  <w:style w:type="paragraph" w:styleId="Title">
    <w:name w:val="Title"/>
    <w:basedOn w:val="Normal"/>
    <w:link w:val="TitleChar"/>
    <w:qFormat/>
    <w:rsid w:val="00E15A94"/>
    <w:pPr>
      <w:jc w:val="center"/>
    </w:pPr>
    <w:rPr>
      <w:b/>
      <w:szCs w:val="20"/>
      <w:lang w:eastAsia="en-US"/>
    </w:rPr>
  </w:style>
  <w:style w:type="character" w:customStyle="1" w:styleId="TitleChar">
    <w:name w:val="Title Char"/>
    <w:basedOn w:val="DefaultParagraphFont"/>
    <w:link w:val="Title"/>
    <w:uiPriority w:val="10"/>
    <w:rsid w:val="00BF4E24"/>
    <w:rPr>
      <w:rFonts w:asciiTheme="majorHAnsi" w:eastAsiaTheme="majorEastAsia" w:hAnsiTheme="majorHAnsi" w:cstheme="majorBidi"/>
      <w:b/>
      <w:bCs/>
      <w:kern w:val="28"/>
      <w:sz w:val="32"/>
      <w:szCs w:val="32"/>
      <w:lang w:val="en-GB" w:eastAsia="de-DE"/>
    </w:rPr>
  </w:style>
  <w:style w:type="paragraph" w:styleId="Header">
    <w:name w:val="header"/>
    <w:basedOn w:val="Normal"/>
    <w:link w:val="HeaderChar"/>
    <w:uiPriority w:val="99"/>
    <w:rsid w:val="00E15A94"/>
    <w:pPr>
      <w:tabs>
        <w:tab w:val="center" w:pos="4536"/>
        <w:tab w:val="right" w:pos="9072"/>
      </w:tabs>
    </w:pPr>
  </w:style>
  <w:style w:type="character" w:customStyle="1" w:styleId="HeaderChar">
    <w:name w:val="Header Char"/>
    <w:basedOn w:val="DefaultParagraphFont"/>
    <w:link w:val="Header"/>
    <w:uiPriority w:val="99"/>
    <w:locked/>
    <w:rsid w:val="00E30B50"/>
    <w:rPr>
      <w:rFonts w:cs="Times New Roman"/>
      <w:sz w:val="24"/>
      <w:szCs w:val="24"/>
      <w:lang w:val="en-GB"/>
    </w:rPr>
  </w:style>
  <w:style w:type="character" w:styleId="PageNumber">
    <w:name w:val="page number"/>
    <w:basedOn w:val="DefaultParagraphFont"/>
    <w:rsid w:val="00E15A94"/>
    <w:rPr>
      <w:rFonts w:cs="Times New Roman"/>
    </w:rPr>
  </w:style>
  <w:style w:type="paragraph" w:styleId="CommentText">
    <w:name w:val="annotation text"/>
    <w:basedOn w:val="Normal"/>
    <w:link w:val="CommentTextChar"/>
    <w:semiHidden/>
    <w:rsid w:val="00E15A94"/>
    <w:pPr>
      <w:jc w:val="both"/>
    </w:pPr>
    <w:rPr>
      <w:sz w:val="20"/>
      <w:szCs w:val="20"/>
      <w:lang w:val="en-US" w:eastAsia="en-US"/>
    </w:rPr>
  </w:style>
  <w:style w:type="character" w:customStyle="1" w:styleId="CommentTextChar">
    <w:name w:val="Comment Text Char"/>
    <w:basedOn w:val="DefaultParagraphFont"/>
    <w:link w:val="CommentText"/>
    <w:semiHidden/>
    <w:rsid w:val="00BF4E24"/>
    <w:rPr>
      <w:sz w:val="20"/>
      <w:szCs w:val="20"/>
      <w:lang w:val="en-GB" w:eastAsia="de-DE"/>
    </w:rPr>
  </w:style>
  <w:style w:type="paragraph" w:styleId="Index1">
    <w:name w:val="index 1"/>
    <w:basedOn w:val="Normal"/>
    <w:next w:val="Normal"/>
    <w:semiHidden/>
    <w:rsid w:val="00E15A94"/>
    <w:pPr>
      <w:tabs>
        <w:tab w:val="left" w:pos="794"/>
        <w:tab w:val="left" w:pos="1191"/>
        <w:tab w:val="left" w:pos="1588"/>
        <w:tab w:val="left" w:pos="1985"/>
      </w:tabs>
      <w:spacing w:before="136"/>
      <w:jc w:val="both"/>
    </w:pPr>
    <w:rPr>
      <w:szCs w:val="20"/>
      <w:lang w:val="en-US" w:eastAsia="en-US"/>
    </w:rPr>
  </w:style>
  <w:style w:type="paragraph" w:customStyle="1" w:styleId="Table">
    <w:name w:val="Table"/>
    <w:basedOn w:val="Normal"/>
    <w:rsid w:val="00E15A94"/>
    <w:pPr>
      <w:numPr>
        <w:numId w:val="4"/>
      </w:numPr>
      <w:jc w:val="center"/>
    </w:pPr>
    <w:rPr>
      <w:i/>
      <w:sz w:val="20"/>
      <w:szCs w:val="20"/>
      <w:lang w:eastAsia="fr-FR"/>
    </w:rPr>
  </w:style>
  <w:style w:type="paragraph" w:styleId="BodyTextIndent2">
    <w:name w:val="Body Text Indent 2"/>
    <w:basedOn w:val="Normal"/>
    <w:link w:val="BodyTextIndent2Char"/>
    <w:rsid w:val="00E15A94"/>
    <w:pPr>
      <w:ind w:left="708"/>
    </w:pPr>
    <w:rPr>
      <w:lang w:val="en-US"/>
    </w:rPr>
  </w:style>
  <w:style w:type="character" w:customStyle="1" w:styleId="BodyTextIndent2Char">
    <w:name w:val="Body Text Indent 2 Char"/>
    <w:basedOn w:val="DefaultParagraphFont"/>
    <w:link w:val="BodyTextIndent2"/>
    <w:uiPriority w:val="99"/>
    <w:semiHidden/>
    <w:rsid w:val="00BF4E24"/>
    <w:rPr>
      <w:szCs w:val="24"/>
      <w:lang w:val="en-GB" w:eastAsia="de-DE"/>
    </w:rPr>
  </w:style>
  <w:style w:type="character" w:styleId="Hyperlink">
    <w:name w:val="Hyperlink"/>
    <w:basedOn w:val="DefaultParagraphFont"/>
    <w:uiPriority w:val="99"/>
    <w:rsid w:val="00E15A94"/>
    <w:rPr>
      <w:rFonts w:cs="Times New Roman"/>
      <w:color w:val="0000FF"/>
      <w:u w:val="single"/>
    </w:rPr>
  </w:style>
  <w:style w:type="paragraph" w:styleId="BodyText2">
    <w:name w:val="Body Text 2"/>
    <w:basedOn w:val="Normal"/>
    <w:link w:val="BodyText2Char"/>
    <w:rsid w:val="00E15A94"/>
    <w:pPr>
      <w:jc w:val="both"/>
    </w:pPr>
  </w:style>
  <w:style w:type="character" w:customStyle="1" w:styleId="BodyText2Char">
    <w:name w:val="Body Text 2 Char"/>
    <w:basedOn w:val="DefaultParagraphFont"/>
    <w:link w:val="BodyText2"/>
    <w:uiPriority w:val="99"/>
    <w:semiHidden/>
    <w:rsid w:val="00BF4E24"/>
    <w:rPr>
      <w:szCs w:val="24"/>
      <w:lang w:val="en-GB" w:eastAsia="de-DE"/>
    </w:rPr>
  </w:style>
  <w:style w:type="paragraph" w:styleId="BodyTextIndent3">
    <w:name w:val="Body Text Indent 3"/>
    <w:basedOn w:val="Normal"/>
    <w:link w:val="BodyTextIndent3Char"/>
    <w:rsid w:val="00E15A94"/>
    <w:pPr>
      <w:ind w:left="426" w:hanging="426"/>
    </w:pPr>
  </w:style>
  <w:style w:type="character" w:customStyle="1" w:styleId="BodyTextIndent3Char">
    <w:name w:val="Body Text Indent 3 Char"/>
    <w:basedOn w:val="DefaultParagraphFont"/>
    <w:link w:val="BodyTextIndent3"/>
    <w:uiPriority w:val="99"/>
    <w:semiHidden/>
    <w:rsid w:val="00BF4E24"/>
    <w:rPr>
      <w:sz w:val="16"/>
      <w:szCs w:val="16"/>
      <w:lang w:val="en-GB" w:eastAsia="de-DE"/>
    </w:rPr>
  </w:style>
  <w:style w:type="character" w:styleId="FollowedHyperlink">
    <w:name w:val="FollowedHyperlink"/>
    <w:basedOn w:val="DefaultParagraphFont"/>
    <w:rsid w:val="00E15A94"/>
    <w:rPr>
      <w:rFonts w:cs="Times New Roman"/>
      <w:color w:val="800080"/>
      <w:u w:val="single"/>
    </w:rPr>
  </w:style>
  <w:style w:type="paragraph" w:styleId="Footer">
    <w:name w:val="footer"/>
    <w:basedOn w:val="Normal"/>
    <w:link w:val="FooterChar"/>
    <w:rsid w:val="00E15A94"/>
    <w:pPr>
      <w:tabs>
        <w:tab w:val="center" w:pos="4536"/>
        <w:tab w:val="right" w:pos="9072"/>
      </w:tabs>
    </w:pPr>
  </w:style>
  <w:style w:type="character" w:customStyle="1" w:styleId="FooterChar">
    <w:name w:val="Footer Char"/>
    <w:basedOn w:val="DefaultParagraphFont"/>
    <w:link w:val="Footer"/>
    <w:uiPriority w:val="99"/>
    <w:semiHidden/>
    <w:rsid w:val="00BF4E24"/>
    <w:rPr>
      <w:szCs w:val="24"/>
      <w:lang w:val="en-GB" w:eastAsia="de-DE"/>
    </w:rPr>
  </w:style>
  <w:style w:type="paragraph" w:styleId="BodyText3">
    <w:name w:val="Body Text 3"/>
    <w:basedOn w:val="Normal"/>
    <w:link w:val="BodyText3Char"/>
    <w:rsid w:val="00E15A94"/>
    <w:rPr>
      <w:u w:val="single"/>
    </w:rPr>
  </w:style>
  <w:style w:type="character" w:customStyle="1" w:styleId="BodyText3Char">
    <w:name w:val="Body Text 3 Char"/>
    <w:basedOn w:val="DefaultParagraphFont"/>
    <w:link w:val="BodyText3"/>
    <w:uiPriority w:val="99"/>
    <w:semiHidden/>
    <w:rsid w:val="00BF4E24"/>
    <w:rPr>
      <w:sz w:val="16"/>
      <w:szCs w:val="16"/>
      <w:lang w:val="en-GB" w:eastAsia="de-DE"/>
    </w:rPr>
  </w:style>
  <w:style w:type="paragraph" w:customStyle="1" w:styleId="Style">
    <w:name w:val="Style"/>
    <w:basedOn w:val="Normal"/>
    <w:next w:val="BodyTextIndent"/>
    <w:uiPriority w:val="99"/>
    <w:rsid w:val="00E15A94"/>
    <w:pPr>
      <w:ind w:left="720" w:hanging="720"/>
    </w:pPr>
  </w:style>
  <w:style w:type="paragraph" w:styleId="ListParagraph">
    <w:name w:val="List Paragraph"/>
    <w:basedOn w:val="Normal"/>
    <w:uiPriority w:val="34"/>
    <w:qFormat/>
    <w:rsid w:val="006F1AF8"/>
    <w:pPr>
      <w:ind w:left="720"/>
      <w:contextualSpacing/>
    </w:pPr>
  </w:style>
  <w:style w:type="paragraph" w:styleId="BalloonText">
    <w:name w:val="Balloon Text"/>
    <w:basedOn w:val="Normal"/>
    <w:link w:val="BalloonTextChar"/>
    <w:uiPriority w:val="99"/>
    <w:semiHidden/>
    <w:rsid w:val="0026109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77564"/>
    <w:rPr>
      <w:rFonts w:ascii="Segoe UI" w:hAnsi="Segoe UI" w:cs="Segoe UI"/>
      <w:sz w:val="18"/>
      <w:szCs w:val="18"/>
      <w:lang w:val="en-GB" w:eastAsia="de-DE"/>
    </w:rPr>
  </w:style>
  <w:style w:type="paragraph" w:customStyle="1" w:styleId="2Para">
    <w:name w:val="2Para"/>
    <w:basedOn w:val="Normal"/>
    <w:rsid w:val="00342F0A"/>
    <w:pPr>
      <w:tabs>
        <w:tab w:val="num" w:pos="0"/>
        <w:tab w:val="left" w:pos="1440"/>
      </w:tabs>
      <w:spacing w:before="260" w:after="260"/>
      <w:jc w:val="both"/>
    </w:pPr>
    <w:rPr>
      <w:szCs w:val="22"/>
      <w:lang w:eastAsia="en-US"/>
    </w:rPr>
  </w:style>
  <w:style w:type="paragraph" w:customStyle="1" w:styleId="3Para">
    <w:name w:val="3Para"/>
    <w:basedOn w:val="Normal"/>
    <w:rsid w:val="00342F0A"/>
    <w:pPr>
      <w:tabs>
        <w:tab w:val="num" w:pos="0"/>
        <w:tab w:val="left" w:pos="1440"/>
      </w:tabs>
      <w:autoSpaceDE w:val="0"/>
      <w:autoSpaceDN w:val="0"/>
      <w:adjustRightInd w:val="0"/>
      <w:spacing w:before="260" w:after="260"/>
      <w:jc w:val="both"/>
    </w:pPr>
    <w:rPr>
      <w:lang w:eastAsia="en-US"/>
    </w:rPr>
  </w:style>
  <w:style w:type="paragraph" w:customStyle="1" w:styleId="4Para">
    <w:name w:val="4Para"/>
    <w:basedOn w:val="Normal"/>
    <w:rsid w:val="00342F0A"/>
    <w:pPr>
      <w:tabs>
        <w:tab w:val="num" w:pos="0"/>
        <w:tab w:val="left" w:pos="1440"/>
      </w:tabs>
      <w:spacing w:before="260" w:after="260"/>
      <w:jc w:val="both"/>
    </w:pPr>
    <w:rPr>
      <w:lang w:eastAsia="en-US"/>
    </w:rPr>
  </w:style>
  <w:style w:type="paragraph" w:customStyle="1" w:styleId="5Para">
    <w:name w:val="5Para"/>
    <w:basedOn w:val="Normal"/>
    <w:rsid w:val="00342F0A"/>
    <w:pPr>
      <w:tabs>
        <w:tab w:val="num" w:pos="0"/>
        <w:tab w:val="left" w:pos="1440"/>
      </w:tabs>
      <w:spacing w:before="260" w:after="260"/>
      <w:jc w:val="both"/>
    </w:pPr>
    <w:rPr>
      <w:lang w:eastAsia="en-US"/>
    </w:rPr>
  </w:style>
  <w:style w:type="paragraph" w:customStyle="1" w:styleId="6Para">
    <w:name w:val="6Para"/>
    <w:basedOn w:val="Normal"/>
    <w:rsid w:val="00342F0A"/>
    <w:pPr>
      <w:tabs>
        <w:tab w:val="num" w:pos="0"/>
        <w:tab w:val="left" w:pos="1440"/>
      </w:tabs>
      <w:spacing w:before="260" w:after="260"/>
      <w:jc w:val="both"/>
    </w:pPr>
    <w:rPr>
      <w:lang w:eastAsia="en-US"/>
    </w:rPr>
  </w:style>
  <w:style w:type="paragraph" w:customStyle="1" w:styleId="7Para">
    <w:name w:val="7Para"/>
    <w:basedOn w:val="Normal"/>
    <w:rsid w:val="00342F0A"/>
    <w:pPr>
      <w:tabs>
        <w:tab w:val="num" w:pos="0"/>
        <w:tab w:val="left" w:pos="1440"/>
      </w:tabs>
      <w:spacing w:before="260" w:after="260"/>
      <w:jc w:val="both"/>
    </w:pPr>
    <w:rPr>
      <w:lang w:eastAsia="en-US"/>
    </w:rPr>
  </w:style>
  <w:style w:type="paragraph" w:customStyle="1" w:styleId="8Para">
    <w:name w:val="8Para"/>
    <w:basedOn w:val="Normal"/>
    <w:rsid w:val="00342F0A"/>
    <w:pPr>
      <w:tabs>
        <w:tab w:val="num" w:pos="0"/>
        <w:tab w:val="left" w:pos="1440"/>
      </w:tabs>
      <w:spacing w:before="260" w:after="260"/>
      <w:jc w:val="both"/>
    </w:pPr>
    <w:rPr>
      <w:lang w:eastAsia="en-US"/>
    </w:rPr>
  </w:style>
  <w:style w:type="character" w:styleId="CommentReference">
    <w:name w:val="annotation reference"/>
    <w:basedOn w:val="DefaultParagraphFont"/>
    <w:uiPriority w:val="99"/>
    <w:semiHidden/>
    <w:unhideWhenUsed/>
    <w:rsid w:val="00261095"/>
    <w:rPr>
      <w:sz w:val="16"/>
      <w:szCs w:val="16"/>
    </w:rPr>
  </w:style>
  <w:style w:type="paragraph" w:styleId="CommentSubject">
    <w:name w:val="annotation subject"/>
    <w:basedOn w:val="CommentText"/>
    <w:next w:val="CommentText"/>
    <w:link w:val="CommentSubjectChar"/>
    <w:uiPriority w:val="99"/>
    <w:semiHidden/>
    <w:unhideWhenUsed/>
    <w:rsid w:val="00261095"/>
    <w:pPr>
      <w:jc w:val="left"/>
    </w:pPr>
    <w:rPr>
      <w:b/>
      <w:bCs/>
      <w:lang w:val="en-GB" w:eastAsia="de-DE"/>
    </w:rPr>
  </w:style>
  <w:style w:type="character" w:customStyle="1" w:styleId="CommentSubjectChar">
    <w:name w:val="Comment Subject Char"/>
    <w:basedOn w:val="CommentTextChar"/>
    <w:link w:val="CommentSubject"/>
    <w:uiPriority w:val="99"/>
    <w:semiHidden/>
    <w:rsid w:val="00261095"/>
    <w:rPr>
      <w:b/>
      <w:bCs/>
      <w:sz w:val="20"/>
      <w:szCs w:val="20"/>
      <w:lang w:val="en-GB" w:eastAsia="de-DE"/>
    </w:rPr>
  </w:style>
  <w:style w:type="paragraph" w:customStyle="1" w:styleId="Default">
    <w:name w:val="Default"/>
    <w:rsid w:val="00FA0248"/>
    <w:pPr>
      <w:autoSpaceDE w:val="0"/>
      <w:autoSpaceDN w:val="0"/>
      <w:adjustRightInd w:val="0"/>
    </w:pPr>
    <w:rPr>
      <w:color w:val="000000"/>
      <w:sz w:val="24"/>
      <w:szCs w:val="24"/>
      <w:lang w:val="de-DE"/>
    </w:rPr>
  </w:style>
  <w:style w:type="paragraph" w:customStyle="1" w:styleId="ListSecondLevel">
    <w:name w:val="List Second Level"/>
    <w:basedOn w:val="Mainlist"/>
    <w:qFormat/>
    <w:rsid w:val="008657C4"/>
    <w:pPr>
      <w:numPr>
        <w:ilvl w:val="1"/>
      </w:numPr>
      <w:tabs>
        <w:tab w:val="clear" w:pos="1440"/>
        <w:tab w:val="num" w:pos="720"/>
        <w:tab w:val="num" w:pos="3240"/>
      </w:tabs>
      <w:ind w:left="720"/>
    </w:pPr>
  </w:style>
  <w:style w:type="paragraph" w:customStyle="1" w:styleId="Mainlist">
    <w:name w:val="Main list"/>
    <w:basedOn w:val="Normal"/>
    <w:link w:val="MainlistCar"/>
    <w:rsid w:val="008657C4"/>
    <w:pPr>
      <w:numPr>
        <w:numId w:val="10"/>
      </w:numPr>
      <w:spacing w:before="60" w:after="60"/>
      <w:jc w:val="both"/>
    </w:pPr>
    <w:rPr>
      <w:rFonts w:ascii="Arial" w:hAnsi="Arial"/>
      <w:color w:val="000000"/>
      <w:sz w:val="20"/>
      <w:szCs w:val="20"/>
      <w:lang w:eastAsia="en-US"/>
    </w:rPr>
  </w:style>
  <w:style w:type="character" w:customStyle="1" w:styleId="MainlistCar">
    <w:name w:val="Main list Car"/>
    <w:link w:val="Mainlist"/>
    <w:rsid w:val="008657C4"/>
    <w:rPr>
      <w:rFonts w:ascii="Arial" w:hAnsi="Arial"/>
      <w:color w:val="000000"/>
      <w:sz w:val="20"/>
      <w:szCs w:val="20"/>
      <w:lang w:val="en-GB" w:eastAsia="en-US"/>
    </w:rPr>
  </w:style>
  <w:style w:type="table" w:styleId="TableGrid">
    <w:name w:val="Table Grid"/>
    <w:basedOn w:val="TableNormal"/>
    <w:locked/>
    <w:rsid w:val="00187941"/>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Heading">
    <w:name w:val="2Heading"/>
    <w:basedOn w:val="1Heading"/>
    <w:next w:val="3para0"/>
    <w:rsid w:val="00013B5C"/>
    <w:pPr>
      <w:widowControl/>
      <w:numPr>
        <w:numId w:val="0"/>
      </w:numPr>
      <w:tabs>
        <w:tab w:val="num" w:pos="720"/>
      </w:tabs>
      <w:spacing w:after="240"/>
      <w:ind w:left="720" w:hanging="720"/>
      <w:jc w:val="both"/>
    </w:pPr>
    <w:rPr>
      <w:sz w:val="22"/>
    </w:rPr>
  </w:style>
  <w:style w:type="paragraph" w:customStyle="1" w:styleId="3para0">
    <w:name w:val="3para"/>
    <w:basedOn w:val="2Heading"/>
    <w:rsid w:val="00013B5C"/>
    <w:pPr>
      <w:tabs>
        <w:tab w:val="clear" w:pos="720"/>
        <w:tab w:val="num" w:pos="1440"/>
      </w:tabs>
      <w:ind w:left="0" w:right="0" w:firstLine="0"/>
      <w:outlineLvl w:val="2"/>
    </w:pPr>
    <w:rPr>
      <w:b w:val="0"/>
    </w:rPr>
  </w:style>
  <w:style w:type="paragraph" w:customStyle="1" w:styleId="4para0">
    <w:name w:val="4para"/>
    <w:basedOn w:val="3para0"/>
    <w:rsid w:val="00013B5C"/>
    <w:pPr>
      <w:tabs>
        <w:tab w:val="left" w:pos="1440"/>
      </w:tabs>
    </w:pPr>
  </w:style>
  <w:style w:type="paragraph" w:customStyle="1" w:styleId="5para0">
    <w:name w:val="5para"/>
    <w:basedOn w:val="3para0"/>
    <w:rsid w:val="00013B5C"/>
  </w:style>
  <w:style w:type="paragraph" w:customStyle="1" w:styleId="6para0">
    <w:name w:val="6para"/>
    <w:basedOn w:val="3para0"/>
    <w:rsid w:val="00013B5C"/>
    <w:pPr>
      <w:outlineLvl w:val="5"/>
    </w:pPr>
  </w:style>
  <w:style w:type="paragraph" w:customStyle="1" w:styleId="7para0">
    <w:name w:val="7para"/>
    <w:basedOn w:val="3para0"/>
    <w:rsid w:val="00013B5C"/>
    <w:pPr>
      <w:tabs>
        <w:tab w:val="left" w:pos="1440"/>
        <w:tab w:val="num" w:pos="1800"/>
      </w:tabs>
      <w:outlineLvl w:val="6"/>
    </w:pPr>
  </w:style>
  <w:style w:type="paragraph" w:customStyle="1" w:styleId="8para0">
    <w:name w:val="8para"/>
    <w:basedOn w:val="3para0"/>
    <w:rsid w:val="00013B5C"/>
    <w:pPr>
      <w:tabs>
        <w:tab w:val="left" w:pos="1440"/>
        <w:tab w:val="num" w:pos="1800"/>
      </w:tabs>
    </w:pPr>
  </w:style>
  <w:style w:type="paragraph" w:customStyle="1" w:styleId="smallfont">
    <w:name w:val="small font"/>
    <w:basedOn w:val="Normal"/>
    <w:rsid w:val="00013B5C"/>
    <w:pPr>
      <w:tabs>
        <w:tab w:val="left" w:pos="6660"/>
      </w:tabs>
      <w:jc w:val="both"/>
    </w:pPr>
    <w:rPr>
      <w:sz w:val="18"/>
      <w:szCs w:val="20"/>
      <w:lang w:eastAsia="en-US"/>
    </w:rPr>
  </w:style>
  <w:style w:type="paragraph" w:customStyle="1" w:styleId="Maintitle">
    <w:name w:val="Main title"/>
    <w:basedOn w:val="Normal"/>
    <w:rsid w:val="00013B5C"/>
    <w:pPr>
      <w:ind w:left="1080" w:right="1080"/>
      <w:jc w:val="center"/>
    </w:pPr>
    <w:rPr>
      <w:b/>
      <w:snapToGrid w:val="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CA" w:eastAsia="fr-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index 1" w:uiPriority="0"/>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annotation text" w:uiPriority="0"/>
    <w:lsdException w:name="footer" w:uiPriority="0"/>
    <w:lsdException w:name="caption" w:locked="1" w:uiPriority="0" w:qFormat="1"/>
    <w:lsdException w:name="page number" w:uiPriority="0"/>
    <w:lsdException w:name="List Bullet 2" w:uiPriority="0"/>
    <w:lsdException w:name="Title" w:locked="1" w:semiHidden="0" w:uiPriority="0" w:unhideWhenUsed="0" w:qFormat="1"/>
    <w:lsdException w:name="Default Paragraph Font" w:locked="1" w:semiHidden="0" w:uiPriority="1"/>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095"/>
    <w:rPr>
      <w:szCs w:val="24"/>
      <w:lang w:val="en-GB" w:eastAsia="de-DE"/>
    </w:rPr>
  </w:style>
  <w:style w:type="paragraph" w:styleId="Heading1">
    <w:name w:val="heading 1"/>
    <w:basedOn w:val="Normal"/>
    <w:next w:val="Normal"/>
    <w:link w:val="Heading1Char"/>
    <w:qFormat/>
    <w:rsid w:val="00E15A94"/>
    <w:pPr>
      <w:keepNext/>
      <w:outlineLvl w:val="0"/>
    </w:pPr>
    <w:rPr>
      <w:b/>
      <w:bCs/>
      <w:u w:val="single"/>
    </w:rPr>
  </w:style>
  <w:style w:type="paragraph" w:styleId="Heading2">
    <w:name w:val="heading 2"/>
    <w:basedOn w:val="Normal"/>
    <w:next w:val="Normal"/>
    <w:link w:val="Heading2Char"/>
    <w:qFormat/>
    <w:rsid w:val="00E15A94"/>
    <w:pPr>
      <w:keepNext/>
      <w:outlineLvl w:val="1"/>
    </w:pPr>
    <w:rPr>
      <w:u w:val="single"/>
      <w:lang w:val="en-US"/>
    </w:rPr>
  </w:style>
  <w:style w:type="paragraph" w:styleId="Heading3">
    <w:name w:val="heading 3"/>
    <w:basedOn w:val="Normal"/>
    <w:next w:val="Normal"/>
    <w:link w:val="Heading3Char"/>
    <w:qFormat/>
    <w:rsid w:val="00E15A94"/>
    <w:pPr>
      <w:keepNext/>
      <w:outlineLvl w:val="2"/>
    </w:pPr>
    <w:rPr>
      <w:b/>
      <w:sz w:val="20"/>
      <w:lang w:val="fr-CA"/>
    </w:rPr>
  </w:style>
  <w:style w:type="paragraph" w:styleId="Heading4">
    <w:name w:val="heading 4"/>
    <w:basedOn w:val="Normal"/>
    <w:next w:val="Normal"/>
    <w:link w:val="Heading4Char"/>
    <w:qFormat/>
    <w:rsid w:val="00E15A94"/>
    <w:pPr>
      <w:keepNext/>
      <w:numPr>
        <w:ilvl w:val="3"/>
        <w:numId w:val="2"/>
      </w:numPr>
      <w:spacing w:before="240" w:after="60"/>
      <w:outlineLvl w:val="3"/>
    </w:pPr>
    <w:rPr>
      <w:rFonts w:ascii="Arial" w:hAnsi="Arial"/>
      <w:b/>
      <w:szCs w:val="20"/>
      <w:lang w:eastAsia="en-US"/>
    </w:rPr>
  </w:style>
  <w:style w:type="paragraph" w:styleId="Heading5">
    <w:name w:val="heading 5"/>
    <w:basedOn w:val="Normal"/>
    <w:next w:val="Normal"/>
    <w:link w:val="Heading5Char"/>
    <w:qFormat/>
    <w:rsid w:val="00E15A94"/>
    <w:pPr>
      <w:numPr>
        <w:ilvl w:val="4"/>
        <w:numId w:val="2"/>
      </w:numPr>
      <w:spacing w:before="240" w:after="60"/>
      <w:outlineLvl w:val="4"/>
    </w:pPr>
    <w:rPr>
      <w:szCs w:val="20"/>
      <w:lang w:eastAsia="en-US"/>
    </w:rPr>
  </w:style>
  <w:style w:type="paragraph" w:styleId="Heading6">
    <w:name w:val="heading 6"/>
    <w:basedOn w:val="Normal"/>
    <w:next w:val="Normal"/>
    <w:link w:val="Heading6Char"/>
    <w:qFormat/>
    <w:rsid w:val="00E15A94"/>
    <w:pPr>
      <w:numPr>
        <w:ilvl w:val="5"/>
        <w:numId w:val="2"/>
      </w:numPr>
      <w:spacing w:before="240" w:after="60"/>
      <w:outlineLvl w:val="5"/>
    </w:pPr>
    <w:rPr>
      <w:i/>
      <w:szCs w:val="20"/>
      <w:lang w:eastAsia="en-US"/>
    </w:rPr>
  </w:style>
  <w:style w:type="paragraph" w:styleId="Heading7">
    <w:name w:val="heading 7"/>
    <w:basedOn w:val="Normal"/>
    <w:next w:val="Normal"/>
    <w:link w:val="Heading7Char"/>
    <w:qFormat/>
    <w:rsid w:val="00E15A94"/>
    <w:pPr>
      <w:numPr>
        <w:ilvl w:val="6"/>
        <w:numId w:val="2"/>
      </w:numPr>
      <w:spacing w:before="240" w:after="60"/>
      <w:outlineLvl w:val="6"/>
    </w:pPr>
    <w:rPr>
      <w:rFonts w:ascii="Arial" w:hAnsi="Arial"/>
      <w:sz w:val="20"/>
      <w:szCs w:val="20"/>
      <w:lang w:eastAsia="en-US"/>
    </w:rPr>
  </w:style>
  <w:style w:type="paragraph" w:styleId="Heading8">
    <w:name w:val="heading 8"/>
    <w:basedOn w:val="Normal"/>
    <w:next w:val="Normal"/>
    <w:link w:val="Heading8Char"/>
    <w:qFormat/>
    <w:rsid w:val="00E15A94"/>
    <w:pPr>
      <w:numPr>
        <w:ilvl w:val="7"/>
        <w:numId w:val="2"/>
      </w:numPr>
      <w:spacing w:before="240" w:after="60"/>
      <w:outlineLvl w:val="7"/>
    </w:pPr>
    <w:rPr>
      <w:rFonts w:ascii="Arial" w:hAnsi="Arial"/>
      <w:i/>
      <w:sz w:val="20"/>
      <w:szCs w:val="20"/>
      <w:lang w:eastAsia="en-US"/>
    </w:rPr>
  </w:style>
  <w:style w:type="paragraph" w:styleId="Heading9">
    <w:name w:val="heading 9"/>
    <w:basedOn w:val="Normal"/>
    <w:next w:val="Normal"/>
    <w:link w:val="Heading9Char"/>
    <w:qFormat/>
    <w:rsid w:val="00E15A94"/>
    <w:pPr>
      <w:numPr>
        <w:ilvl w:val="8"/>
        <w:numId w:val="2"/>
      </w:numPr>
      <w:spacing w:before="240" w:after="60"/>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E24"/>
    <w:rPr>
      <w:rFonts w:asciiTheme="majorHAnsi" w:eastAsiaTheme="majorEastAsia" w:hAnsiTheme="majorHAnsi" w:cstheme="majorBidi"/>
      <w:b/>
      <w:bCs/>
      <w:kern w:val="32"/>
      <w:sz w:val="32"/>
      <w:szCs w:val="32"/>
      <w:lang w:val="en-GB" w:eastAsia="de-DE"/>
    </w:rPr>
  </w:style>
  <w:style w:type="character" w:customStyle="1" w:styleId="Heading2Char">
    <w:name w:val="Heading 2 Char"/>
    <w:basedOn w:val="DefaultParagraphFont"/>
    <w:link w:val="Heading2"/>
    <w:uiPriority w:val="9"/>
    <w:semiHidden/>
    <w:rsid w:val="00BF4E24"/>
    <w:rPr>
      <w:rFonts w:asciiTheme="majorHAnsi" w:eastAsiaTheme="majorEastAsia" w:hAnsiTheme="majorHAnsi" w:cstheme="majorBidi"/>
      <w:b/>
      <w:bCs/>
      <w:i/>
      <w:iCs/>
      <w:sz w:val="28"/>
      <w:szCs w:val="28"/>
      <w:lang w:val="en-GB" w:eastAsia="de-DE"/>
    </w:rPr>
  </w:style>
  <w:style w:type="character" w:customStyle="1" w:styleId="Heading3Char">
    <w:name w:val="Heading 3 Char"/>
    <w:basedOn w:val="DefaultParagraphFont"/>
    <w:link w:val="Heading3"/>
    <w:locked/>
    <w:rsid w:val="00422F52"/>
    <w:rPr>
      <w:b/>
      <w:sz w:val="24"/>
      <w:lang w:eastAsia="de-DE"/>
    </w:rPr>
  </w:style>
  <w:style w:type="character" w:customStyle="1" w:styleId="Heading4Char">
    <w:name w:val="Heading 4 Char"/>
    <w:basedOn w:val="DefaultParagraphFont"/>
    <w:link w:val="Heading4"/>
    <w:rsid w:val="00BF4E24"/>
    <w:rPr>
      <w:rFonts w:ascii="Arial" w:hAnsi="Arial"/>
      <w:b/>
      <w:szCs w:val="20"/>
      <w:lang w:val="en-GB" w:eastAsia="en-US"/>
    </w:rPr>
  </w:style>
  <w:style w:type="character" w:customStyle="1" w:styleId="Heading5Char">
    <w:name w:val="Heading 5 Char"/>
    <w:basedOn w:val="DefaultParagraphFont"/>
    <w:link w:val="Heading5"/>
    <w:rsid w:val="00BF4E24"/>
    <w:rPr>
      <w:szCs w:val="20"/>
      <w:lang w:val="en-GB" w:eastAsia="en-US"/>
    </w:rPr>
  </w:style>
  <w:style w:type="character" w:customStyle="1" w:styleId="Heading6Char">
    <w:name w:val="Heading 6 Char"/>
    <w:basedOn w:val="DefaultParagraphFont"/>
    <w:link w:val="Heading6"/>
    <w:rsid w:val="00BF4E24"/>
    <w:rPr>
      <w:i/>
      <w:szCs w:val="20"/>
      <w:lang w:val="en-GB" w:eastAsia="en-US"/>
    </w:rPr>
  </w:style>
  <w:style w:type="character" w:customStyle="1" w:styleId="Heading7Char">
    <w:name w:val="Heading 7 Char"/>
    <w:basedOn w:val="DefaultParagraphFont"/>
    <w:link w:val="Heading7"/>
    <w:rsid w:val="00BF4E24"/>
    <w:rPr>
      <w:rFonts w:ascii="Arial" w:hAnsi="Arial"/>
      <w:sz w:val="20"/>
      <w:szCs w:val="20"/>
      <w:lang w:val="en-GB" w:eastAsia="en-US"/>
    </w:rPr>
  </w:style>
  <w:style w:type="character" w:customStyle="1" w:styleId="Heading8Char">
    <w:name w:val="Heading 8 Char"/>
    <w:basedOn w:val="DefaultParagraphFont"/>
    <w:link w:val="Heading8"/>
    <w:rsid w:val="00BF4E24"/>
    <w:rPr>
      <w:rFonts w:ascii="Arial" w:hAnsi="Arial"/>
      <w:i/>
      <w:sz w:val="20"/>
      <w:szCs w:val="20"/>
      <w:lang w:val="en-GB" w:eastAsia="en-US"/>
    </w:rPr>
  </w:style>
  <w:style w:type="character" w:customStyle="1" w:styleId="Heading9Char">
    <w:name w:val="Heading 9 Char"/>
    <w:basedOn w:val="DefaultParagraphFont"/>
    <w:link w:val="Heading9"/>
    <w:rsid w:val="00BF4E24"/>
    <w:rPr>
      <w:rFonts w:ascii="Arial" w:hAnsi="Arial"/>
      <w:b/>
      <w:i/>
      <w:sz w:val="18"/>
      <w:szCs w:val="20"/>
      <w:lang w:val="en-GB" w:eastAsia="en-US"/>
    </w:rPr>
  </w:style>
  <w:style w:type="paragraph" w:customStyle="1" w:styleId="1Heading">
    <w:name w:val="1Heading"/>
    <w:rsid w:val="00261095"/>
    <w:pPr>
      <w:widowControl w:val="0"/>
      <w:numPr>
        <w:numId w:val="3"/>
      </w:numPr>
      <w:tabs>
        <w:tab w:val="left" w:pos="720"/>
      </w:tabs>
      <w:ind w:right="2880"/>
    </w:pPr>
    <w:rPr>
      <w:b/>
      <w:sz w:val="24"/>
      <w:szCs w:val="20"/>
      <w:lang w:val="en-GB" w:eastAsia="en-US"/>
    </w:rPr>
  </w:style>
  <w:style w:type="paragraph" w:styleId="ListBullet2">
    <w:name w:val="List Bullet 2"/>
    <w:basedOn w:val="Normal"/>
    <w:autoRedefine/>
    <w:rsid w:val="00E15A94"/>
    <w:pPr>
      <w:numPr>
        <w:numId w:val="1"/>
      </w:numPr>
      <w:tabs>
        <w:tab w:val="clear" w:pos="643"/>
        <w:tab w:val="num" w:pos="720"/>
      </w:tabs>
      <w:ind w:left="720"/>
    </w:pPr>
    <w:rPr>
      <w:szCs w:val="20"/>
      <w:lang w:eastAsia="en-US"/>
    </w:rPr>
  </w:style>
  <w:style w:type="paragraph" w:styleId="BodyText">
    <w:name w:val="Body Text"/>
    <w:basedOn w:val="Normal"/>
    <w:link w:val="BodyTextChar"/>
    <w:rsid w:val="00E15A94"/>
    <w:rPr>
      <w:b/>
    </w:rPr>
  </w:style>
  <w:style w:type="character" w:customStyle="1" w:styleId="BodyTextChar">
    <w:name w:val="Body Text Char"/>
    <w:basedOn w:val="DefaultParagraphFont"/>
    <w:link w:val="BodyText"/>
    <w:uiPriority w:val="99"/>
    <w:semiHidden/>
    <w:rsid w:val="00BF4E24"/>
    <w:rPr>
      <w:szCs w:val="24"/>
      <w:lang w:val="en-GB" w:eastAsia="de-DE"/>
    </w:rPr>
  </w:style>
  <w:style w:type="paragraph" w:styleId="BodyTextIndent">
    <w:name w:val="Body Text Indent"/>
    <w:basedOn w:val="Normal"/>
    <w:link w:val="BodyTextIndentChar"/>
    <w:rsid w:val="00E15A94"/>
    <w:pPr>
      <w:ind w:left="720" w:hanging="720"/>
    </w:pPr>
  </w:style>
  <w:style w:type="character" w:customStyle="1" w:styleId="BodyTextIndentChar">
    <w:name w:val="Body Text Indent Char"/>
    <w:basedOn w:val="DefaultParagraphFont"/>
    <w:link w:val="BodyTextIndent"/>
    <w:uiPriority w:val="99"/>
    <w:semiHidden/>
    <w:rsid w:val="00BF4E24"/>
    <w:rPr>
      <w:szCs w:val="24"/>
      <w:lang w:val="en-GB" w:eastAsia="de-DE"/>
    </w:rPr>
  </w:style>
  <w:style w:type="paragraph" w:styleId="Title">
    <w:name w:val="Title"/>
    <w:basedOn w:val="Normal"/>
    <w:link w:val="TitleChar"/>
    <w:qFormat/>
    <w:rsid w:val="00E15A94"/>
    <w:pPr>
      <w:jc w:val="center"/>
    </w:pPr>
    <w:rPr>
      <w:b/>
      <w:szCs w:val="20"/>
      <w:lang w:eastAsia="en-US"/>
    </w:rPr>
  </w:style>
  <w:style w:type="character" w:customStyle="1" w:styleId="TitleChar">
    <w:name w:val="Title Char"/>
    <w:basedOn w:val="DefaultParagraphFont"/>
    <w:link w:val="Title"/>
    <w:uiPriority w:val="10"/>
    <w:rsid w:val="00BF4E24"/>
    <w:rPr>
      <w:rFonts w:asciiTheme="majorHAnsi" w:eastAsiaTheme="majorEastAsia" w:hAnsiTheme="majorHAnsi" w:cstheme="majorBidi"/>
      <w:b/>
      <w:bCs/>
      <w:kern w:val="28"/>
      <w:sz w:val="32"/>
      <w:szCs w:val="32"/>
      <w:lang w:val="en-GB" w:eastAsia="de-DE"/>
    </w:rPr>
  </w:style>
  <w:style w:type="paragraph" w:styleId="Header">
    <w:name w:val="header"/>
    <w:basedOn w:val="Normal"/>
    <w:link w:val="HeaderChar"/>
    <w:uiPriority w:val="99"/>
    <w:rsid w:val="00E15A94"/>
    <w:pPr>
      <w:tabs>
        <w:tab w:val="center" w:pos="4536"/>
        <w:tab w:val="right" w:pos="9072"/>
      </w:tabs>
    </w:pPr>
  </w:style>
  <w:style w:type="character" w:customStyle="1" w:styleId="HeaderChar">
    <w:name w:val="Header Char"/>
    <w:basedOn w:val="DefaultParagraphFont"/>
    <w:link w:val="Header"/>
    <w:uiPriority w:val="99"/>
    <w:locked/>
    <w:rsid w:val="00E30B50"/>
    <w:rPr>
      <w:rFonts w:cs="Times New Roman"/>
      <w:sz w:val="24"/>
      <w:szCs w:val="24"/>
      <w:lang w:val="en-GB"/>
    </w:rPr>
  </w:style>
  <w:style w:type="character" w:styleId="PageNumber">
    <w:name w:val="page number"/>
    <w:basedOn w:val="DefaultParagraphFont"/>
    <w:rsid w:val="00E15A94"/>
    <w:rPr>
      <w:rFonts w:cs="Times New Roman"/>
    </w:rPr>
  </w:style>
  <w:style w:type="paragraph" w:styleId="CommentText">
    <w:name w:val="annotation text"/>
    <w:basedOn w:val="Normal"/>
    <w:link w:val="CommentTextChar"/>
    <w:semiHidden/>
    <w:rsid w:val="00E15A94"/>
    <w:pPr>
      <w:jc w:val="both"/>
    </w:pPr>
    <w:rPr>
      <w:sz w:val="20"/>
      <w:szCs w:val="20"/>
      <w:lang w:val="en-US" w:eastAsia="en-US"/>
    </w:rPr>
  </w:style>
  <w:style w:type="character" w:customStyle="1" w:styleId="CommentTextChar">
    <w:name w:val="Comment Text Char"/>
    <w:basedOn w:val="DefaultParagraphFont"/>
    <w:link w:val="CommentText"/>
    <w:semiHidden/>
    <w:rsid w:val="00BF4E24"/>
    <w:rPr>
      <w:sz w:val="20"/>
      <w:szCs w:val="20"/>
      <w:lang w:val="en-GB" w:eastAsia="de-DE"/>
    </w:rPr>
  </w:style>
  <w:style w:type="paragraph" w:styleId="Index1">
    <w:name w:val="index 1"/>
    <w:basedOn w:val="Normal"/>
    <w:next w:val="Normal"/>
    <w:semiHidden/>
    <w:rsid w:val="00E15A94"/>
    <w:pPr>
      <w:tabs>
        <w:tab w:val="left" w:pos="794"/>
        <w:tab w:val="left" w:pos="1191"/>
        <w:tab w:val="left" w:pos="1588"/>
        <w:tab w:val="left" w:pos="1985"/>
      </w:tabs>
      <w:spacing w:before="136"/>
      <w:jc w:val="both"/>
    </w:pPr>
    <w:rPr>
      <w:szCs w:val="20"/>
      <w:lang w:val="en-US" w:eastAsia="en-US"/>
    </w:rPr>
  </w:style>
  <w:style w:type="paragraph" w:customStyle="1" w:styleId="Table">
    <w:name w:val="Table"/>
    <w:basedOn w:val="Normal"/>
    <w:rsid w:val="00E15A94"/>
    <w:pPr>
      <w:numPr>
        <w:numId w:val="4"/>
      </w:numPr>
      <w:jc w:val="center"/>
    </w:pPr>
    <w:rPr>
      <w:i/>
      <w:sz w:val="20"/>
      <w:szCs w:val="20"/>
      <w:lang w:eastAsia="fr-FR"/>
    </w:rPr>
  </w:style>
  <w:style w:type="paragraph" w:styleId="BodyTextIndent2">
    <w:name w:val="Body Text Indent 2"/>
    <w:basedOn w:val="Normal"/>
    <w:link w:val="BodyTextIndent2Char"/>
    <w:rsid w:val="00E15A94"/>
    <w:pPr>
      <w:ind w:left="708"/>
    </w:pPr>
    <w:rPr>
      <w:lang w:val="en-US"/>
    </w:rPr>
  </w:style>
  <w:style w:type="character" w:customStyle="1" w:styleId="BodyTextIndent2Char">
    <w:name w:val="Body Text Indent 2 Char"/>
    <w:basedOn w:val="DefaultParagraphFont"/>
    <w:link w:val="BodyTextIndent2"/>
    <w:uiPriority w:val="99"/>
    <w:semiHidden/>
    <w:rsid w:val="00BF4E24"/>
    <w:rPr>
      <w:szCs w:val="24"/>
      <w:lang w:val="en-GB" w:eastAsia="de-DE"/>
    </w:rPr>
  </w:style>
  <w:style w:type="character" w:styleId="Hyperlink">
    <w:name w:val="Hyperlink"/>
    <w:basedOn w:val="DefaultParagraphFont"/>
    <w:uiPriority w:val="99"/>
    <w:rsid w:val="00E15A94"/>
    <w:rPr>
      <w:rFonts w:cs="Times New Roman"/>
      <w:color w:val="0000FF"/>
      <w:u w:val="single"/>
    </w:rPr>
  </w:style>
  <w:style w:type="paragraph" w:styleId="BodyText2">
    <w:name w:val="Body Text 2"/>
    <w:basedOn w:val="Normal"/>
    <w:link w:val="BodyText2Char"/>
    <w:rsid w:val="00E15A94"/>
    <w:pPr>
      <w:jc w:val="both"/>
    </w:pPr>
  </w:style>
  <w:style w:type="character" w:customStyle="1" w:styleId="BodyText2Char">
    <w:name w:val="Body Text 2 Char"/>
    <w:basedOn w:val="DefaultParagraphFont"/>
    <w:link w:val="BodyText2"/>
    <w:uiPriority w:val="99"/>
    <w:semiHidden/>
    <w:rsid w:val="00BF4E24"/>
    <w:rPr>
      <w:szCs w:val="24"/>
      <w:lang w:val="en-GB" w:eastAsia="de-DE"/>
    </w:rPr>
  </w:style>
  <w:style w:type="paragraph" w:styleId="BodyTextIndent3">
    <w:name w:val="Body Text Indent 3"/>
    <w:basedOn w:val="Normal"/>
    <w:link w:val="BodyTextIndent3Char"/>
    <w:rsid w:val="00E15A94"/>
    <w:pPr>
      <w:ind w:left="426" w:hanging="426"/>
    </w:pPr>
  </w:style>
  <w:style w:type="character" w:customStyle="1" w:styleId="BodyTextIndent3Char">
    <w:name w:val="Body Text Indent 3 Char"/>
    <w:basedOn w:val="DefaultParagraphFont"/>
    <w:link w:val="BodyTextIndent3"/>
    <w:uiPriority w:val="99"/>
    <w:semiHidden/>
    <w:rsid w:val="00BF4E24"/>
    <w:rPr>
      <w:sz w:val="16"/>
      <w:szCs w:val="16"/>
      <w:lang w:val="en-GB" w:eastAsia="de-DE"/>
    </w:rPr>
  </w:style>
  <w:style w:type="character" w:styleId="FollowedHyperlink">
    <w:name w:val="FollowedHyperlink"/>
    <w:basedOn w:val="DefaultParagraphFont"/>
    <w:rsid w:val="00E15A94"/>
    <w:rPr>
      <w:rFonts w:cs="Times New Roman"/>
      <w:color w:val="800080"/>
      <w:u w:val="single"/>
    </w:rPr>
  </w:style>
  <w:style w:type="paragraph" w:styleId="Footer">
    <w:name w:val="footer"/>
    <w:basedOn w:val="Normal"/>
    <w:link w:val="FooterChar"/>
    <w:rsid w:val="00E15A94"/>
    <w:pPr>
      <w:tabs>
        <w:tab w:val="center" w:pos="4536"/>
        <w:tab w:val="right" w:pos="9072"/>
      </w:tabs>
    </w:pPr>
  </w:style>
  <w:style w:type="character" w:customStyle="1" w:styleId="FooterChar">
    <w:name w:val="Footer Char"/>
    <w:basedOn w:val="DefaultParagraphFont"/>
    <w:link w:val="Footer"/>
    <w:uiPriority w:val="99"/>
    <w:semiHidden/>
    <w:rsid w:val="00BF4E24"/>
    <w:rPr>
      <w:szCs w:val="24"/>
      <w:lang w:val="en-GB" w:eastAsia="de-DE"/>
    </w:rPr>
  </w:style>
  <w:style w:type="paragraph" w:styleId="BodyText3">
    <w:name w:val="Body Text 3"/>
    <w:basedOn w:val="Normal"/>
    <w:link w:val="BodyText3Char"/>
    <w:rsid w:val="00E15A94"/>
    <w:rPr>
      <w:u w:val="single"/>
    </w:rPr>
  </w:style>
  <w:style w:type="character" w:customStyle="1" w:styleId="BodyText3Char">
    <w:name w:val="Body Text 3 Char"/>
    <w:basedOn w:val="DefaultParagraphFont"/>
    <w:link w:val="BodyText3"/>
    <w:uiPriority w:val="99"/>
    <w:semiHidden/>
    <w:rsid w:val="00BF4E24"/>
    <w:rPr>
      <w:sz w:val="16"/>
      <w:szCs w:val="16"/>
      <w:lang w:val="en-GB" w:eastAsia="de-DE"/>
    </w:rPr>
  </w:style>
  <w:style w:type="paragraph" w:customStyle="1" w:styleId="Style">
    <w:name w:val="Style"/>
    <w:basedOn w:val="Normal"/>
    <w:next w:val="BodyTextIndent"/>
    <w:uiPriority w:val="99"/>
    <w:rsid w:val="00E15A94"/>
    <w:pPr>
      <w:ind w:left="720" w:hanging="720"/>
    </w:pPr>
  </w:style>
  <w:style w:type="paragraph" w:styleId="ListParagraph">
    <w:name w:val="List Paragraph"/>
    <w:basedOn w:val="Normal"/>
    <w:uiPriority w:val="34"/>
    <w:qFormat/>
    <w:rsid w:val="006F1AF8"/>
    <w:pPr>
      <w:ind w:left="720"/>
      <w:contextualSpacing/>
    </w:pPr>
  </w:style>
  <w:style w:type="paragraph" w:styleId="BalloonText">
    <w:name w:val="Balloon Text"/>
    <w:basedOn w:val="Normal"/>
    <w:link w:val="BalloonTextChar"/>
    <w:uiPriority w:val="99"/>
    <w:semiHidden/>
    <w:rsid w:val="0026109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77564"/>
    <w:rPr>
      <w:rFonts w:ascii="Segoe UI" w:hAnsi="Segoe UI" w:cs="Segoe UI"/>
      <w:sz w:val="18"/>
      <w:szCs w:val="18"/>
      <w:lang w:val="en-GB" w:eastAsia="de-DE"/>
    </w:rPr>
  </w:style>
  <w:style w:type="paragraph" w:customStyle="1" w:styleId="2Para">
    <w:name w:val="2Para"/>
    <w:basedOn w:val="Normal"/>
    <w:rsid w:val="00342F0A"/>
    <w:pPr>
      <w:tabs>
        <w:tab w:val="num" w:pos="0"/>
        <w:tab w:val="left" w:pos="1440"/>
      </w:tabs>
      <w:spacing w:before="260" w:after="260"/>
      <w:jc w:val="both"/>
    </w:pPr>
    <w:rPr>
      <w:szCs w:val="22"/>
      <w:lang w:eastAsia="en-US"/>
    </w:rPr>
  </w:style>
  <w:style w:type="paragraph" w:customStyle="1" w:styleId="3Para">
    <w:name w:val="3Para"/>
    <w:basedOn w:val="Normal"/>
    <w:rsid w:val="00342F0A"/>
    <w:pPr>
      <w:tabs>
        <w:tab w:val="num" w:pos="0"/>
        <w:tab w:val="left" w:pos="1440"/>
      </w:tabs>
      <w:autoSpaceDE w:val="0"/>
      <w:autoSpaceDN w:val="0"/>
      <w:adjustRightInd w:val="0"/>
      <w:spacing w:before="260" w:after="260"/>
      <w:jc w:val="both"/>
    </w:pPr>
    <w:rPr>
      <w:lang w:eastAsia="en-US"/>
    </w:rPr>
  </w:style>
  <w:style w:type="paragraph" w:customStyle="1" w:styleId="4Para">
    <w:name w:val="4Para"/>
    <w:basedOn w:val="Normal"/>
    <w:rsid w:val="00342F0A"/>
    <w:pPr>
      <w:tabs>
        <w:tab w:val="num" w:pos="0"/>
        <w:tab w:val="left" w:pos="1440"/>
      </w:tabs>
      <w:spacing w:before="260" w:after="260"/>
      <w:jc w:val="both"/>
    </w:pPr>
    <w:rPr>
      <w:lang w:eastAsia="en-US"/>
    </w:rPr>
  </w:style>
  <w:style w:type="paragraph" w:customStyle="1" w:styleId="5Para">
    <w:name w:val="5Para"/>
    <w:basedOn w:val="Normal"/>
    <w:rsid w:val="00342F0A"/>
    <w:pPr>
      <w:tabs>
        <w:tab w:val="num" w:pos="0"/>
        <w:tab w:val="left" w:pos="1440"/>
      </w:tabs>
      <w:spacing w:before="260" w:after="260"/>
      <w:jc w:val="both"/>
    </w:pPr>
    <w:rPr>
      <w:lang w:eastAsia="en-US"/>
    </w:rPr>
  </w:style>
  <w:style w:type="paragraph" w:customStyle="1" w:styleId="6Para">
    <w:name w:val="6Para"/>
    <w:basedOn w:val="Normal"/>
    <w:rsid w:val="00342F0A"/>
    <w:pPr>
      <w:tabs>
        <w:tab w:val="num" w:pos="0"/>
        <w:tab w:val="left" w:pos="1440"/>
      </w:tabs>
      <w:spacing w:before="260" w:after="260"/>
      <w:jc w:val="both"/>
    </w:pPr>
    <w:rPr>
      <w:lang w:eastAsia="en-US"/>
    </w:rPr>
  </w:style>
  <w:style w:type="paragraph" w:customStyle="1" w:styleId="7Para">
    <w:name w:val="7Para"/>
    <w:basedOn w:val="Normal"/>
    <w:rsid w:val="00342F0A"/>
    <w:pPr>
      <w:tabs>
        <w:tab w:val="num" w:pos="0"/>
        <w:tab w:val="left" w:pos="1440"/>
      </w:tabs>
      <w:spacing w:before="260" w:after="260"/>
      <w:jc w:val="both"/>
    </w:pPr>
    <w:rPr>
      <w:lang w:eastAsia="en-US"/>
    </w:rPr>
  </w:style>
  <w:style w:type="paragraph" w:customStyle="1" w:styleId="8Para">
    <w:name w:val="8Para"/>
    <w:basedOn w:val="Normal"/>
    <w:rsid w:val="00342F0A"/>
    <w:pPr>
      <w:tabs>
        <w:tab w:val="num" w:pos="0"/>
        <w:tab w:val="left" w:pos="1440"/>
      </w:tabs>
      <w:spacing w:before="260" w:after="260"/>
      <w:jc w:val="both"/>
    </w:pPr>
    <w:rPr>
      <w:lang w:eastAsia="en-US"/>
    </w:rPr>
  </w:style>
  <w:style w:type="character" w:styleId="CommentReference">
    <w:name w:val="annotation reference"/>
    <w:basedOn w:val="DefaultParagraphFont"/>
    <w:uiPriority w:val="99"/>
    <w:semiHidden/>
    <w:unhideWhenUsed/>
    <w:rsid w:val="00261095"/>
    <w:rPr>
      <w:sz w:val="16"/>
      <w:szCs w:val="16"/>
    </w:rPr>
  </w:style>
  <w:style w:type="paragraph" w:styleId="CommentSubject">
    <w:name w:val="annotation subject"/>
    <w:basedOn w:val="CommentText"/>
    <w:next w:val="CommentText"/>
    <w:link w:val="CommentSubjectChar"/>
    <w:uiPriority w:val="99"/>
    <w:semiHidden/>
    <w:unhideWhenUsed/>
    <w:rsid w:val="00261095"/>
    <w:pPr>
      <w:jc w:val="left"/>
    </w:pPr>
    <w:rPr>
      <w:b/>
      <w:bCs/>
      <w:lang w:val="en-GB" w:eastAsia="de-DE"/>
    </w:rPr>
  </w:style>
  <w:style w:type="character" w:customStyle="1" w:styleId="CommentSubjectChar">
    <w:name w:val="Comment Subject Char"/>
    <w:basedOn w:val="CommentTextChar"/>
    <w:link w:val="CommentSubject"/>
    <w:uiPriority w:val="99"/>
    <w:semiHidden/>
    <w:rsid w:val="00261095"/>
    <w:rPr>
      <w:b/>
      <w:bCs/>
      <w:sz w:val="20"/>
      <w:szCs w:val="20"/>
      <w:lang w:val="en-GB" w:eastAsia="de-DE"/>
    </w:rPr>
  </w:style>
  <w:style w:type="paragraph" w:customStyle="1" w:styleId="Default">
    <w:name w:val="Default"/>
    <w:rsid w:val="00FA0248"/>
    <w:pPr>
      <w:autoSpaceDE w:val="0"/>
      <w:autoSpaceDN w:val="0"/>
      <w:adjustRightInd w:val="0"/>
    </w:pPr>
    <w:rPr>
      <w:color w:val="000000"/>
      <w:sz w:val="24"/>
      <w:szCs w:val="24"/>
      <w:lang w:val="de-DE"/>
    </w:rPr>
  </w:style>
  <w:style w:type="paragraph" w:customStyle="1" w:styleId="ListSecondLevel">
    <w:name w:val="List Second Level"/>
    <w:basedOn w:val="Mainlist"/>
    <w:qFormat/>
    <w:rsid w:val="008657C4"/>
    <w:pPr>
      <w:numPr>
        <w:ilvl w:val="1"/>
      </w:numPr>
      <w:tabs>
        <w:tab w:val="clear" w:pos="1440"/>
        <w:tab w:val="num" w:pos="720"/>
        <w:tab w:val="num" w:pos="3240"/>
      </w:tabs>
      <w:ind w:left="720"/>
    </w:pPr>
  </w:style>
  <w:style w:type="paragraph" w:customStyle="1" w:styleId="Mainlist">
    <w:name w:val="Main list"/>
    <w:basedOn w:val="Normal"/>
    <w:link w:val="MainlistCar"/>
    <w:rsid w:val="008657C4"/>
    <w:pPr>
      <w:numPr>
        <w:numId w:val="10"/>
      </w:numPr>
      <w:spacing w:before="60" w:after="60"/>
      <w:jc w:val="both"/>
    </w:pPr>
    <w:rPr>
      <w:rFonts w:ascii="Arial" w:hAnsi="Arial"/>
      <w:color w:val="000000"/>
      <w:sz w:val="20"/>
      <w:szCs w:val="20"/>
      <w:lang w:eastAsia="en-US"/>
    </w:rPr>
  </w:style>
  <w:style w:type="character" w:customStyle="1" w:styleId="MainlistCar">
    <w:name w:val="Main list Car"/>
    <w:link w:val="Mainlist"/>
    <w:rsid w:val="008657C4"/>
    <w:rPr>
      <w:rFonts w:ascii="Arial" w:hAnsi="Arial"/>
      <w:color w:val="000000"/>
      <w:sz w:val="20"/>
      <w:szCs w:val="20"/>
      <w:lang w:val="en-GB" w:eastAsia="en-US"/>
    </w:rPr>
  </w:style>
  <w:style w:type="table" w:styleId="TableGrid">
    <w:name w:val="Table Grid"/>
    <w:basedOn w:val="TableNormal"/>
    <w:locked/>
    <w:rsid w:val="00187941"/>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Heading">
    <w:name w:val="2Heading"/>
    <w:basedOn w:val="1Heading"/>
    <w:next w:val="3para0"/>
    <w:rsid w:val="00013B5C"/>
    <w:pPr>
      <w:widowControl/>
      <w:numPr>
        <w:numId w:val="0"/>
      </w:numPr>
      <w:tabs>
        <w:tab w:val="num" w:pos="720"/>
      </w:tabs>
      <w:spacing w:after="240"/>
      <w:ind w:left="720" w:hanging="720"/>
      <w:jc w:val="both"/>
    </w:pPr>
    <w:rPr>
      <w:sz w:val="22"/>
    </w:rPr>
  </w:style>
  <w:style w:type="paragraph" w:customStyle="1" w:styleId="3para0">
    <w:name w:val="3para"/>
    <w:basedOn w:val="2Heading"/>
    <w:rsid w:val="00013B5C"/>
    <w:pPr>
      <w:tabs>
        <w:tab w:val="clear" w:pos="720"/>
        <w:tab w:val="num" w:pos="1440"/>
      </w:tabs>
      <w:ind w:left="0" w:right="0" w:firstLine="0"/>
      <w:outlineLvl w:val="2"/>
    </w:pPr>
    <w:rPr>
      <w:b w:val="0"/>
    </w:rPr>
  </w:style>
  <w:style w:type="paragraph" w:customStyle="1" w:styleId="4para0">
    <w:name w:val="4para"/>
    <w:basedOn w:val="3para0"/>
    <w:rsid w:val="00013B5C"/>
    <w:pPr>
      <w:tabs>
        <w:tab w:val="left" w:pos="1440"/>
      </w:tabs>
    </w:pPr>
  </w:style>
  <w:style w:type="paragraph" w:customStyle="1" w:styleId="5para0">
    <w:name w:val="5para"/>
    <w:basedOn w:val="3para0"/>
    <w:rsid w:val="00013B5C"/>
  </w:style>
  <w:style w:type="paragraph" w:customStyle="1" w:styleId="6para0">
    <w:name w:val="6para"/>
    <w:basedOn w:val="3para0"/>
    <w:rsid w:val="00013B5C"/>
    <w:pPr>
      <w:outlineLvl w:val="5"/>
    </w:pPr>
  </w:style>
  <w:style w:type="paragraph" w:customStyle="1" w:styleId="7para0">
    <w:name w:val="7para"/>
    <w:basedOn w:val="3para0"/>
    <w:rsid w:val="00013B5C"/>
    <w:pPr>
      <w:tabs>
        <w:tab w:val="left" w:pos="1440"/>
        <w:tab w:val="num" w:pos="1800"/>
      </w:tabs>
      <w:outlineLvl w:val="6"/>
    </w:pPr>
  </w:style>
  <w:style w:type="paragraph" w:customStyle="1" w:styleId="8para0">
    <w:name w:val="8para"/>
    <w:basedOn w:val="3para0"/>
    <w:rsid w:val="00013B5C"/>
    <w:pPr>
      <w:tabs>
        <w:tab w:val="left" w:pos="1440"/>
        <w:tab w:val="num" w:pos="1800"/>
      </w:tabs>
    </w:pPr>
  </w:style>
  <w:style w:type="paragraph" w:customStyle="1" w:styleId="smallfont">
    <w:name w:val="small font"/>
    <w:basedOn w:val="Normal"/>
    <w:rsid w:val="00013B5C"/>
    <w:pPr>
      <w:tabs>
        <w:tab w:val="left" w:pos="6660"/>
      </w:tabs>
      <w:jc w:val="both"/>
    </w:pPr>
    <w:rPr>
      <w:sz w:val="18"/>
      <w:szCs w:val="20"/>
      <w:lang w:eastAsia="en-US"/>
    </w:rPr>
  </w:style>
  <w:style w:type="paragraph" w:customStyle="1" w:styleId="Maintitle">
    <w:name w:val="Main title"/>
    <w:basedOn w:val="Normal"/>
    <w:rsid w:val="00013B5C"/>
    <w:pPr>
      <w:ind w:left="1080" w:right="1080"/>
      <w:jc w:val="center"/>
    </w:pPr>
    <w:rPr>
      <w:b/>
      <w:snapToGrid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11452">
      <w:bodyDiv w:val="1"/>
      <w:marLeft w:val="0"/>
      <w:marRight w:val="0"/>
      <w:marTop w:val="0"/>
      <w:marBottom w:val="0"/>
      <w:divBdr>
        <w:top w:val="none" w:sz="0" w:space="0" w:color="auto"/>
        <w:left w:val="none" w:sz="0" w:space="0" w:color="auto"/>
        <w:bottom w:val="none" w:sz="0" w:space="0" w:color="auto"/>
        <w:right w:val="none" w:sz="0" w:space="0" w:color="auto"/>
      </w:divBdr>
    </w:div>
    <w:div w:id="783962787">
      <w:bodyDiv w:val="1"/>
      <w:marLeft w:val="0"/>
      <w:marRight w:val="0"/>
      <w:marTop w:val="0"/>
      <w:marBottom w:val="0"/>
      <w:divBdr>
        <w:top w:val="none" w:sz="0" w:space="0" w:color="auto"/>
        <w:left w:val="none" w:sz="0" w:space="0" w:color="auto"/>
        <w:bottom w:val="none" w:sz="0" w:space="0" w:color="auto"/>
        <w:right w:val="none" w:sz="0" w:space="0" w:color="auto"/>
      </w:divBdr>
      <w:divsChild>
        <w:div w:id="151340588">
          <w:marLeft w:val="432"/>
          <w:marRight w:val="0"/>
          <w:marTop w:val="240"/>
          <w:marBottom w:val="173"/>
          <w:divBdr>
            <w:top w:val="none" w:sz="0" w:space="0" w:color="auto"/>
            <w:left w:val="none" w:sz="0" w:space="0" w:color="auto"/>
            <w:bottom w:val="none" w:sz="0" w:space="0" w:color="auto"/>
            <w:right w:val="none" w:sz="0" w:space="0" w:color="auto"/>
          </w:divBdr>
        </w:div>
        <w:div w:id="1183930774">
          <w:marLeft w:val="432"/>
          <w:marRight w:val="0"/>
          <w:marTop w:val="240"/>
          <w:marBottom w:val="173"/>
          <w:divBdr>
            <w:top w:val="none" w:sz="0" w:space="0" w:color="auto"/>
            <w:left w:val="none" w:sz="0" w:space="0" w:color="auto"/>
            <w:bottom w:val="none" w:sz="0" w:space="0" w:color="auto"/>
            <w:right w:val="none" w:sz="0" w:space="0" w:color="auto"/>
          </w:divBdr>
        </w:div>
      </w:divsChild>
    </w:div>
    <w:div w:id="851646187">
      <w:bodyDiv w:val="1"/>
      <w:marLeft w:val="0"/>
      <w:marRight w:val="0"/>
      <w:marTop w:val="0"/>
      <w:marBottom w:val="0"/>
      <w:divBdr>
        <w:top w:val="none" w:sz="0" w:space="0" w:color="auto"/>
        <w:left w:val="none" w:sz="0" w:space="0" w:color="auto"/>
        <w:bottom w:val="none" w:sz="0" w:space="0" w:color="auto"/>
        <w:right w:val="none" w:sz="0" w:space="0" w:color="auto"/>
      </w:divBdr>
      <w:divsChild>
        <w:div w:id="501437435">
          <w:marLeft w:val="547"/>
          <w:marRight w:val="0"/>
          <w:marTop w:val="154"/>
          <w:marBottom w:val="0"/>
          <w:divBdr>
            <w:top w:val="none" w:sz="0" w:space="0" w:color="auto"/>
            <w:left w:val="none" w:sz="0" w:space="0" w:color="auto"/>
            <w:bottom w:val="none" w:sz="0" w:space="0" w:color="auto"/>
            <w:right w:val="none" w:sz="0" w:space="0" w:color="auto"/>
          </w:divBdr>
        </w:div>
        <w:div w:id="721558712">
          <w:marLeft w:val="547"/>
          <w:marRight w:val="0"/>
          <w:marTop w:val="154"/>
          <w:marBottom w:val="0"/>
          <w:divBdr>
            <w:top w:val="none" w:sz="0" w:space="0" w:color="auto"/>
            <w:left w:val="none" w:sz="0" w:space="0" w:color="auto"/>
            <w:bottom w:val="none" w:sz="0" w:space="0" w:color="auto"/>
            <w:right w:val="none" w:sz="0" w:space="0" w:color="auto"/>
          </w:divBdr>
        </w:div>
        <w:div w:id="858391193">
          <w:marLeft w:val="1166"/>
          <w:marRight w:val="0"/>
          <w:marTop w:val="134"/>
          <w:marBottom w:val="0"/>
          <w:divBdr>
            <w:top w:val="none" w:sz="0" w:space="0" w:color="auto"/>
            <w:left w:val="none" w:sz="0" w:space="0" w:color="auto"/>
            <w:bottom w:val="none" w:sz="0" w:space="0" w:color="auto"/>
            <w:right w:val="none" w:sz="0" w:space="0" w:color="auto"/>
          </w:divBdr>
        </w:div>
        <w:div w:id="1114861483">
          <w:marLeft w:val="1166"/>
          <w:marRight w:val="0"/>
          <w:marTop w:val="134"/>
          <w:marBottom w:val="0"/>
          <w:divBdr>
            <w:top w:val="none" w:sz="0" w:space="0" w:color="auto"/>
            <w:left w:val="none" w:sz="0" w:space="0" w:color="auto"/>
            <w:bottom w:val="none" w:sz="0" w:space="0" w:color="auto"/>
            <w:right w:val="none" w:sz="0" w:space="0" w:color="auto"/>
          </w:divBdr>
        </w:div>
      </w:divsChild>
    </w:div>
    <w:div w:id="898787601">
      <w:marLeft w:val="0"/>
      <w:marRight w:val="0"/>
      <w:marTop w:val="0"/>
      <w:marBottom w:val="0"/>
      <w:divBdr>
        <w:top w:val="none" w:sz="0" w:space="0" w:color="auto"/>
        <w:left w:val="none" w:sz="0" w:space="0" w:color="auto"/>
        <w:bottom w:val="none" w:sz="0" w:space="0" w:color="auto"/>
        <w:right w:val="none" w:sz="0" w:space="0" w:color="auto"/>
      </w:divBdr>
    </w:div>
    <w:div w:id="898787605">
      <w:marLeft w:val="0"/>
      <w:marRight w:val="0"/>
      <w:marTop w:val="0"/>
      <w:marBottom w:val="0"/>
      <w:divBdr>
        <w:top w:val="none" w:sz="0" w:space="0" w:color="auto"/>
        <w:left w:val="none" w:sz="0" w:space="0" w:color="auto"/>
        <w:bottom w:val="none" w:sz="0" w:space="0" w:color="auto"/>
        <w:right w:val="none" w:sz="0" w:space="0" w:color="auto"/>
      </w:divBdr>
      <w:divsChild>
        <w:div w:id="898787602">
          <w:marLeft w:val="432"/>
          <w:marRight w:val="0"/>
          <w:marTop w:val="240"/>
          <w:marBottom w:val="173"/>
          <w:divBdr>
            <w:top w:val="none" w:sz="0" w:space="0" w:color="auto"/>
            <w:left w:val="none" w:sz="0" w:space="0" w:color="auto"/>
            <w:bottom w:val="none" w:sz="0" w:space="0" w:color="auto"/>
            <w:right w:val="none" w:sz="0" w:space="0" w:color="auto"/>
          </w:divBdr>
        </w:div>
        <w:div w:id="898787615">
          <w:marLeft w:val="432"/>
          <w:marRight w:val="0"/>
          <w:marTop w:val="240"/>
          <w:marBottom w:val="173"/>
          <w:divBdr>
            <w:top w:val="none" w:sz="0" w:space="0" w:color="auto"/>
            <w:left w:val="none" w:sz="0" w:space="0" w:color="auto"/>
            <w:bottom w:val="none" w:sz="0" w:space="0" w:color="auto"/>
            <w:right w:val="none" w:sz="0" w:space="0" w:color="auto"/>
          </w:divBdr>
        </w:div>
      </w:divsChild>
    </w:div>
    <w:div w:id="898787606">
      <w:marLeft w:val="0"/>
      <w:marRight w:val="0"/>
      <w:marTop w:val="0"/>
      <w:marBottom w:val="0"/>
      <w:divBdr>
        <w:top w:val="none" w:sz="0" w:space="0" w:color="auto"/>
        <w:left w:val="none" w:sz="0" w:space="0" w:color="auto"/>
        <w:bottom w:val="none" w:sz="0" w:space="0" w:color="auto"/>
        <w:right w:val="none" w:sz="0" w:space="0" w:color="auto"/>
      </w:divBdr>
      <w:divsChild>
        <w:div w:id="898787603">
          <w:marLeft w:val="547"/>
          <w:marRight w:val="0"/>
          <w:marTop w:val="154"/>
          <w:marBottom w:val="0"/>
          <w:divBdr>
            <w:top w:val="none" w:sz="0" w:space="0" w:color="auto"/>
            <w:left w:val="none" w:sz="0" w:space="0" w:color="auto"/>
            <w:bottom w:val="none" w:sz="0" w:space="0" w:color="auto"/>
            <w:right w:val="none" w:sz="0" w:space="0" w:color="auto"/>
          </w:divBdr>
        </w:div>
        <w:div w:id="898787604">
          <w:marLeft w:val="547"/>
          <w:marRight w:val="0"/>
          <w:marTop w:val="154"/>
          <w:marBottom w:val="0"/>
          <w:divBdr>
            <w:top w:val="none" w:sz="0" w:space="0" w:color="auto"/>
            <w:left w:val="none" w:sz="0" w:space="0" w:color="auto"/>
            <w:bottom w:val="none" w:sz="0" w:space="0" w:color="auto"/>
            <w:right w:val="none" w:sz="0" w:space="0" w:color="auto"/>
          </w:divBdr>
        </w:div>
        <w:div w:id="898787607">
          <w:marLeft w:val="1166"/>
          <w:marRight w:val="0"/>
          <w:marTop w:val="134"/>
          <w:marBottom w:val="0"/>
          <w:divBdr>
            <w:top w:val="none" w:sz="0" w:space="0" w:color="auto"/>
            <w:left w:val="none" w:sz="0" w:space="0" w:color="auto"/>
            <w:bottom w:val="none" w:sz="0" w:space="0" w:color="auto"/>
            <w:right w:val="none" w:sz="0" w:space="0" w:color="auto"/>
          </w:divBdr>
        </w:div>
        <w:div w:id="898787613">
          <w:marLeft w:val="1166"/>
          <w:marRight w:val="0"/>
          <w:marTop w:val="134"/>
          <w:marBottom w:val="0"/>
          <w:divBdr>
            <w:top w:val="none" w:sz="0" w:space="0" w:color="auto"/>
            <w:left w:val="none" w:sz="0" w:space="0" w:color="auto"/>
            <w:bottom w:val="none" w:sz="0" w:space="0" w:color="auto"/>
            <w:right w:val="none" w:sz="0" w:space="0" w:color="auto"/>
          </w:divBdr>
        </w:div>
      </w:divsChild>
    </w:div>
    <w:div w:id="898787609">
      <w:marLeft w:val="0"/>
      <w:marRight w:val="0"/>
      <w:marTop w:val="0"/>
      <w:marBottom w:val="0"/>
      <w:divBdr>
        <w:top w:val="none" w:sz="0" w:space="0" w:color="auto"/>
        <w:left w:val="none" w:sz="0" w:space="0" w:color="auto"/>
        <w:bottom w:val="none" w:sz="0" w:space="0" w:color="auto"/>
        <w:right w:val="none" w:sz="0" w:space="0" w:color="auto"/>
      </w:divBdr>
    </w:div>
    <w:div w:id="898787610">
      <w:marLeft w:val="0"/>
      <w:marRight w:val="0"/>
      <w:marTop w:val="0"/>
      <w:marBottom w:val="0"/>
      <w:divBdr>
        <w:top w:val="none" w:sz="0" w:space="0" w:color="auto"/>
        <w:left w:val="none" w:sz="0" w:space="0" w:color="auto"/>
        <w:bottom w:val="none" w:sz="0" w:space="0" w:color="auto"/>
        <w:right w:val="none" w:sz="0" w:space="0" w:color="auto"/>
      </w:divBdr>
    </w:div>
    <w:div w:id="898787612">
      <w:marLeft w:val="0"/>
      <w:marRight w:val="0"/>
      <w:marTop w:val="0"/>
      <w:marBottom w:val="0"/>
      <w:divBdr>
        <w:top w:val="none" w:sz="0" w:space="0" w:color="auto"/>
        <w:left w:val="none" w:sz="0" w:space="0" w:color="auto"/>
        <w:bottom w:val="none" w:sz="0" w:space="0" w:color="auto"/>
        <w:right w:val="none" w:sz="0" w:space="0" w:color="auto"/>
      </w:divBdr>
    </w:div>
    <w:div w:id="898787614">
      <w:marLeft w:val="0"/>
      <w:marRight w:val="0"/>
      <w:marTop w:val="0"/>
      <w:marBottom w:val="0"/>
      <w:divBdr>
        <w:top w:val="none" w:sz="0" w:space="0" w:color="auto"/>
        <w:left w:val="none" w:sz="0" w:space="0" w:color="auto"/>
        <w:bottom w:val="none" w:sz="0" w:space="0" w:color="auto"/>
        <w:right w:val="none" w:sz="0" w:space="0" w:color="auto"/>
      </w:divBdr>
      <w:divsChild>
        <w:div w:id="898787608">
          <w:marLeft w:val="432"/>
          <w:marRight w:val="0"/>
          <w:marTop w:val="60"/>
          <w:marBottom w:val="60"/>
          <w:divBdr>
            <w:top w:val="none" w:sz="0" w:space="0" w:color="auto"/>
            <w:left w:val="none" w:sz="0" w:space="0" w:color="auto"/>
            <w:bottom w:val="none" w:sz="0" w:space="0" w:color="auto"/>
            <w:right w:val="none" w:sz="0" w:space="0" w:color="auto"/>
          </w:divBdr>
        </w:div>
        <w:div w:id="898787621">
          <w:marLeft w:val="432"/>
          <w:marRight w:val="0"/>
          <w:marTop w:val="60"/>
          <w:marBottom w:val="60"/>
          <w:divBdr>
            <w:top w:val="none" w:sz="0" w:space="0" w:color="auto"/>
            <w:left w:val="none" w:sz="0" w:space="0" w:color="auto"/>
            <w:bottom w:val="none" w:sz="0" w:space="0" w:color="auto"/>
            <w:right w:val="none" w:sz="0" w:space="0" w:color="auto"/>
          </w:divBdr>
        </w:div>
        <w:div w:id="898787624">
          <w:marLeft w:val="432"/>
          <w:marRight w:val="0"/>
          <w:marTop w:val="60"/>
          <w:marBottom w:val="60"/>
          <w:divBdr>
            <w:top w:val="none" w:sz="0" w:space="0" w:color="auto"/>
            <w:left w:val="none" w:sz="0" w:space="0" w:color="auto"/>
            <w:bottom w:val="none" w:sz="0" w:space="0" w:color="auto"/>
            <w:right w:val="none" w:sz="0" w:space="0" w:color="auto"/>
          </w:divBdr>
        </w:div>
        <w:div w:id="898787625">
          <w:marLeft w:val="432"/>
          <w:marRight w:val="0"/>
          <w:marTop w:val="60"/>
          <w:marBottom w:val="60"/>
          <w:divBdr>
            <w:top w:val="none" w:sz="0" w:space="0" w:color="auto"/>
            <w:left w:val="none" w:sz="0" w:space="0" w:color="auto"/>
            <w:bottom w:val="none" w:sz="0" w:space="0" w:color="auto"/>
            <w:right w:val="none" w:sz="0" w:space="0" w:color="auto"/>
          </w:divBdr>
        </w:div>
      </w:divsChild>
    </w:div>
    <w:div w:id="898787616">
      <w:marLeft w:val="0"/>
      <w:marRight w:val="0"/>
      <w:marTop w:val="0"/>
      <w:marBottom w:val="0"/>
      <w:divBdr>
        <w:top w:val="none" w:sz="0" w:space="0" w:color="auto"/>
        <w:left w:val="none" w:sz="0" w:space="0" w:color="auto"/>
        <w:bottom w:val="none" w:sz="0" w:space="0" w:color="auto"/>
        <w:right w:val="none" w:sz="0" w:space="0" w:color="auto"/>
      </w:divBdr>
      <w:divsChild>
        <w:div w:id="898787611">
          <w:marLeft w:val="432"/>
          <w:marRight w:val="0"/>
          <w:marTop w:val="60"/>
          <w:marBottom w:val="60"/>
          <w:divBdr>
            <w:top w:val="none" w:sz="0" w:space="0" w:color="auto"/>
            <w:left w:val="none" w:sz="0" w:space="0" w:color="auto"/>
            <w:bottom w:val="none" w:sz="0" w:space="0" w:color="auto"/>
            <w:right w:val="none" w:sz="0" w:space="0" w:color="auto"/>
          </w:divBdr>
        </w:div>
      </w:divsChild>
    </w:div>
    <w:div w:id="898787617">
      <w:marLeft w:val="0"/>
      <w:marRight w:val="0"/>
      <w:marTop w:val="0"/>
      <w:marBottom w:val="0"/>
      <w:divBdr>
        <w:top w:val="none" w:sz="0" w:space="0" w:color="auto"/>
        <w:left w:val="none" w:sz="0" w:space="0" w:color="auto"/>
        <w:bottom w:val="none" w:sz="0" w:space="0" w:color="auto"/>
        <w:right w:val="none" w:sz="0" w:space="0" w:color="auto"/>
      </w:divBdr>
    </w:div>
    <w:div w:id="898787618">
      <w:marLeft w:val="0"/>
      <w:marRight w:val="0"/>
      <w:marTop w:val="0"/>
      <w:marBottom w:val="0"/>
      <w:divBdr>
        <w:top w:val="none" w:sz="0" w:space="0" w:color="auto"/>
        <w:left w:val="none" w:sz="0" w:space="0" w:color="auto"/>
        <w:bottom w:val="none" w:sz="0" w:space="0" w:color="auto"/>
        <w:right w:val="none" w:sz="0" w:space="0" w:color="auto"/>
      </w:divBdr>
    </w:div>
    <w:div w:id="898787619">
      <w:marLeft w:val="0"/>
      <w:marRight w:val="0"/>
      <w:marTop w:val="0"/>
      <w:marBottom w:val="0"/>
      <w:divBdr>
        <w:top w:val="none" w:sz="0" w:space="0" w:color="auto"/>
        <w:left w:val="none" w:sz="0" w:space="0" w:color="auto"/>
        <w:bottom w:val="none" w:sz="0" w:space="0" w:color="auto"/>
        <w:right w:val="none" w:sz="0" w:space="0" w:color="auto"/>
      </w:divBdr>
    </w:div>
    <w:div w:id="898787620">
      <w:marLeft w:val="0"/>
      <w:marRight w:val="0"/>
      <w:marTop w:val="0"/>
      <w:marBottom w:val="0"/>
      <w:divBdr>
        <w:top w:val="none" w:sz="0" w:space="0" w:color="auto"/>
        <w:left w:val="none" w:sz="0" w:space="0" w:color="auto"/>
        <w:bottom w:val="none" w:sz="0" w:space="0" w:color="auto"/>
        <w:right w:val="none" w:sz="0" w:space="0" w:color="auto"/>
      </w:divBdr>
      <w:divsChild>
        <w:div w:id="898787622">
          <w:marLeft w:val="547"/>
          <w:marRight w:val="0"/>
          <w:marTop w:val="154"/>
          <w:marBottom w:val="0"/>
          <w:divBdr>
            <w:top w:val="none" w:sz="0" w:space="0" w:color="auto"/>
            <w:left w:val="none" w:sz="0" w:space="0" w:color="auto"/>
            <w:bottom w:val="none" w:sz="0" w:space="0" w:color="auto"/>
            <w:right w:val="none" w:sz="0" w:space="0" w:color="auto"/>
          </w:divBdr>
        </w:div>
      </w:divsChild>
    </w:div>
    <w:div w:id="898787623">
      <w:marLeft w:val="0"/>
      <w:marRight w:val="0"/>
      <w:marTop w:val="0"/>
      <w:marBottom w:val="0"/>
      <w:divBdr>
        <w:top w:val="none" w:sz="0" w:space="0" w:color="auto"/>
        <w:left w:val="none" w:sz="0" w:space="0" w:color="auto"/>
        <w:bottom w:val="none" w:sz="0" w:space="0" w:color="auto"/>
        <w:right w:val="none" w:sz="0" w:space="0" w:color="auto"/>
      </w:divBdr>
    </w:div>
    <w:div w:id="958532599">
      <w:bodyDiv w:val="1"/>
      <w:marLeft w:val="0"/>
      <w:marRight w:val="0"/>
      <w:marTop w:val="0"/>
      <w:marBottom w:val="0"/>
      <w:divBdr>
        <w:top w:val="none" w:sz="0" w:space="0" w:color="auto"/>
        <w:left w:val="none" w:sz="0" w:space="0" w:color="auto"/>
        <w:bottom w:val="none" w:sz="0" w:space="0" w:color="auto"/>
        <w:right w:val="none" w:sz="0" w:space="0" w:color="auto"/>
      </w:divBdr>
    </w:div>
    <w:div w:id="959456105">
      <w:bodyDiv w:val="1"/>
      <w:marLeft w:val="0"/>
      <w:marRight w:val="0"/>
      <w:marTop w:val="0"/>
      <w:marBottom w:val="0"/>
      <w:divBdr>
        <w:top w:val="none" w:sz="0" w:space="0" w:color="auto"/>
        <w:left w:val="none" w:sz="0" w:space="0" w:color="auto"/>
        <w:bottom w:val="none" w:sz="0" w:space="0" w:color="auto"/>
        <w:right w:val="none" w:sz="0" w:space="0" w:color="auto"/>
      </w:divBdr>
    </w:div>
    <w:div w:id="1041055847">
      <w:bodyDiv w:val="1"/>
      <w:marLeft w:val="0"/>
      <w:marRight w:val="0"/>
      <w:marTop w:val="0"/>
      <w:marBottom w:val="0"/>
      <w:divBdr>
        <w:top w:val="none" w:sz="0" w:space="0" w:color="auto"/>
        <w:left w:val="none" w:sz="0" w:space="0" w:color="auto"/>
        <w:bottom w:val="none" w:sz="0" w:space="0" w:color="auto"/>
        <w:right w:val="none" w:sz="0" w:space="0" w:color="auto"/>
      </w:divBdr>
    </w:div>
    <w:div w:id="1149830618">
      <w:bodyDiv w:val="1"/>
      <w:marLeft w:val="0"/>
      <w:marRight w:val="0"/>
      <w:marTop w:val="0"/>
      <w:marBottom w:val="0"/>
      <w:divBdr>
        <w:top w:val="none" w:sz="0" w:space="0" w:color="auto"/>
        <w:left w:val="none" w:sz="0" w:space="0" w:color="auto"/>
        <w:bottom w:val="none" w:sz="0" w:space="0" w:color="auto"/>
        <w:right w:val="none" w:sz="0" w:space="0" w:color="auto"/>
      </w:divBdr>
      <w:divsChild>
        <w:div w:id="956523523">
          <w:marLeft w:val="432"/>
          <w:marRight w:val="0"/>
          <w:marTop w:val="60"/>
          <w:marBottom w:val="60"/>
          <w:divBdr>
            <w:top w:val="none" w:sz="0" w:space="0" w:color="auto"/>
            <w:left w:val="none" w:sz="0" w:space="0" w:color="auto"/>
            <w:bottom w:val="none" w:sz="0" w:space="0" w:color="auto"/>
            <w:right w:val="none" w:sz="0" w:space="0" w:color="auto"/>
          </w:divBdr>
        </w:div>
        <w:div w:id="1655984219">
          <w:marLeft w:val="432"/>
          <w:marRight w:val="0"/>
          <w:marTop w:val="60"/>
          <w:marBottom w:val="60"/>
          <w:divBdr>
            <w:top w:val="none" w:sz="0" w:space="0" w:color="auto"/>
            <w:left w:val="none" w:sz="0" w:space="0" w:color="auto"/>
            <w:bottom w:val="none" w:sz="0" w:space="0" w:color="auto"/>
            <w:right w:val="none" w:sz="0" w:space="0" w:color="auto"/>
          </w:divBdr>
        </w:div>
        <w:div w:id="1878925854">
          <w:marLeft w:val="432"/>
          <w:marRight w:val="0"/>
          <w:marTop w:val="60"/>
          <w:marBottom w:val="60"/>
          <w:divBdr>
            <w:top w:val="none" w:sz="0" w:space="0" w:color="auto"/>
            <w:left w:val="none" w:sz="0" w:space="0" w:color="auto"/>
            <w:bottom w:val="none" w:sz="0" w:space="0" w:color="auto"/>
            <w:right w:val="none" w:sz="0" w:space="0" w:color="auto"/>
          </w:divBdr>
        </w:div>
        <w:div w:id="2094663359">
          <w:marLeft w:val="432"/>
          <w:marRight w:val="0"/>
          <w:marTop w:val="60"/>
          <w:marBottom w:val="60"/>
          <w:divBdr>
            <w:top w:val="none" w:sz="0" w:space="0" w:color="auto"/>
            <w:left w:val="none" w:sz="0" w:space="0" w:color="auto"/>
            <w:bottom w:val="none" w:sz="0" w:space="0" w:color="auto"/>
            <w:right w:val="none" w:sz="0" w:space="0" w:color="auto"/>
          </w:divBdr>
        </w:div>
      </w:divsChild>
    </w:div>
    <w:div w:id="1304967926">
      <w:bodyDiv w:val="1"/>
      <w:marLeft w:val="0"/>
      <w:marRight w:val="0"/>
      <w:marTop w:val="0"/>
      <w:marBottom w:val="0"/>
      <w:divBdr>
        <w:top w:val="none" w:sz="0" w:space="0" w:color="auto"/>
        <w:left w:val="none" w:sz="0" w:space="0" w:color="auto"/>
        <w:bottom w:val="none" w:sz="0" w:space="0" w:color="auto"/>
        <w:right w:val="none" w:sz="0" w:space="0" w:color="auto"/>
      </w:divBdr>
      <w:divsChild>
        <w:div w:id="1003164592">
          <w:marLeft w:val="432"/>
          <w:marRight w:val="0"/>
          <w:marTop w:val="60"/>
          <w:marBottom w:val="60"/>
          <w:divBdr>
            <w:top w:val="none" w:sz="0" w:space="0" w:color="auto"/>
            <w:left w:val="none" w:sz="0" w:space="0" w:color="auto"/>
            <w:bottom w:val="none" w:sz="0" w:space="0" w:color="auto"/>
            <w:right w:val="none" w:sz="0" w:space="0" w:color="auto"/>
          </w:divBdr>
        </w:div>
      </w:divsChild>
    </w:div>
    <w:div w:id="1309284854">
      <w:bodyDiv w:val="1"/>
      <w:marLeft w:val="0"/>
      <w:marRight w:val="0"/>
      <w:marTop w:val="0"/>
      <w:marBottom w:val="0"/>
      <w:divBdr>
        <w:top w:val="none" w:sz="0" w:space="0" w:color="auto"/>
        <w:left w:val="none" w:sz="0" w:space="0" w:color="auto"/>
        <w:bottom w:val="none" w:sz="0" w:space="0" w:color="auto"/>
        <w:right w:val="none" w:sz="0" w:space="0" w:color="auto"/>
      </w:divBdr>
    </w:div>
    <w:div w:id="1343164473">
      <w:bodyDiv w:val="1"/>
      <w:marLeft w:val="0"/>
      <w:marRight w:val="0"/>
      <w:marTop w:val="0"/>
      <w:marBottom w:val="0"/>
      <w:divBdr>
        <w:top w:val="none" w:sz="0" w:space="0" w:color="auto"/>
        <w:left w:val="none" w:sz="0" w:space="0" w:color="auto"/>
        <w:bottom w:val="none" w:sz="0" w:space="0" w:color="auto"/>
        <w:right w:val="none" w:sz="0" w:space="0" w:color="auto"/>
      </w:divBdr>
    </w:div>
    <w:div w:id="1578517965">
      <w:bodyDiv w:val="1"/>
      <w:marLeft w:val="0"/>
      <w:marRight w:val="0"/>
      <w:marTop w:val="0"/>
      <w:marBottom w:val="0"/>
      <w:divBdr>
        <w:top w:val="none" w:sz="0" w:space="0" w:color="auto"/>
        <w:left w:val="none" w:sz="0" w:space="0" w:color="auto"/>
        <w:bottom w:val="none" w:sz="0" w:space="0" w:color="auto"/>
        <w:right w:val="none" w:sz="0" w:space="0" w:color="auto"/>
      </w:divBdr>
    </w:div>
    <w:div w:id="1638221444">
      <w:bodyDiv w:val="1"/>
      <w:marLeft w:val="0"/>
      <w:marRight w:val="0"/>
      <w:marTop w:val="0"/>
      <w:marBottom w:val="0"/>
      <w:divBdr>
        <w:top w:val="none" w:sz="0" w:space="0" w:color="auto"/>
        <w:left w:val="none" w:sz="0" w:space="0" w:color="auto"/>
        <w:bottom w:val="none" w:sz="0" w:space="0" w:color="auto"/>
        <w:right w:val="none" w:sz="0" w:space="0" w:color="auto"/>
      </w:divBdr>
      <w:divsChild>
        <w:div w:id="1862163125">
          <w:marLeft w:val="547"/>
          <w:marRight w:val="0"/>
          <w:marTop w:val="154"/>
          <w:marBottom w:val="0"/>
          <w:divBdr>
            <w:top w:val="none" w:sz="0" w:space="0" w:color="auto"/>
            <w:left w:val="none" w:sz="0" w:space="0" w:color="auto"/>
            <w:bottom w:val="none" w:sz="0" w:space="0" w:color="auto"/>
            <w:right w:val="none" w:sz="0" w:space="0" w:color="auto"/>
          </w:divBdr>
        </w:div>
      </w:divsChild>
    </w:div>
    <w:div w:id="18721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chael.Biggs@FAA.gov" TargetMode="External"/><Relationship Id="rId18" Type="http://schemas.openxmlformats.org/officeDocument/2006/relationships/hyperlink" Target="mailto:Markelov@atminst"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mailto:Mike.Biggs@FAA.gov" TargetMode="External"/><Relationship Id="rId17" Type="http://schemas.openxmlformats.org/officeDocument/2006/relationships/hyperlink" Target="mailto:Michael.Biggs@FAA" TargetMode="External"/><Relationship Id="rId2" Type="http://schemas.openxmlformats.org/officeDocument/2006/relationships/customXml" Target="../customXml/item2.xml"/><Relationship Id="rId16" Type="http://schemas.openxmlformats.org/officeDocument/2006/relationships/hyperlink" Target="mailto:John.dyson@nats.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Felix.Butsch@dfs.d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Stefan.naerlich@dfs.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niel.Domey@cmcelectronics"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B619E-234D-4B05-96A2-34D18E5D7774}"/>
</file>

<file path=customXml/itemProps2.xml><?xml version="1.0" encoding="utf-8"?>
<ds:datastoreItem xmlns:ds="http://schemas.openxmlformats.org/officeDocument/2006/customXml" ds:itemID="{DFB56E4D-85C7-44AE-8978-08560D7CF578}"/>
</file>

<file path=customXml/itemProps3.xml><?xml version="1.0" encoding="utf-8"?>
<ds:datastoreItem xmlns:ds="http://schemas.openxmlformats.org/officeDocument/2006/customXml" ds:itemID="{ED36D086-48D5-45E8-9601-68811A43C189}"/>
</file>

<file path=customXml/itemProps4.xml><?xml version="1.0" encoding="utf-8"?>
<ds:datastoreItem xmlns:ds="http://schemas.openxmlformats.org/officeDocument/2006/customXml" ds:itemID="{9D90A20F-6F2E-44F2-847D-2BA6378781BC}"/>
</file>

<file path=docProps/app.xml><?xml version="1.0" encoding="utf-8"?>
<Properties xmlns="http://schemas.openxmlformats.org/officeDocument/2006/extended-properties" xmlns:vt="http://schemas.openxmlformats.org/officeDocument/2006/docPropsVTypes">
  <Template>Normal.dotm</Template>
  <TotalTime>1</TotalTime>
  <Pages>20</Pages>
  <Words>7664</Words>
  <Characters>43691</Characters>
  <Application>Microsoft Office Word</Application>
  <DocSecurity>0</DocSecurity>
  <Lines>364</Lines>
  <Paragraphs>102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REPORT OF THE ICAO NSP SWG ***FINAL***</vt:lpstr>
      <vt:lpstr>Draft REPORT OF THE ICAO NSP SWG</vt:lpstr>
    </vt:vector>
  </TitlesOfParts>
  <Company>DFS Deutsche Flugsicherung GmbH</Company>
  <LinksUpToDate>false</LinksUpToDate>
  <CharactersWithSpaces>51253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ICAO NSP SWG ***FINAL***</dc:title>
  <dc:subject/>
  <dc:creator>Felix Butsch</dc:creator>
  <cp:keywords/>
  <dc:description/>
  <cp:lastModifiedBy>Loftur Jonasson2</cp:lastModifiedBy>
  <cp:revision>12</cp:revision>
  <cp:lastPrinted>2008-10-20T10:45:00Z</cp:lastPrinted>
  <dcterms:created xsi:type="dcterms:W3CDTF">2017-01-05T13:37:00Z</dcterms:created>
  <dcterms:modified xsi:type="dcterms:W3CDTF">2017-03-21T12:34:00Z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Doc-Category">
    <vt:lpwstr/>
  </property>
  <property fmtid="{D5CDD505-2E9C-101B-9397-08002B2CF9AE}" pid="4" name="Presenter">
    <vt:lpwstr>SWG Rapporteur</vt:lpwstr>
  </property>
  <property fmtid="{D5CDD505-2E9C-101B-9397-08002B2CF9AE}" pid="5" name="Title0">
    <vt:lpwstr/>
  </property>
  <property fmtid="{D5CDD505-2E9C-101B-9397-08002B2CF9AE}" pid="6" name="Agenda Item">
    <vt:lpwstr>6</vt:lpwstr>
  </property>
  <property fmtid="{D5CDD505-2E9C-101B-9397-08002B2CF9AE}" pid="7" name="Number">
    <vt:lpwstr>24</vt:lpwstr>
  </property>
</Properties>
</file>