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7B46" w14:textId="77777777" w:rsidR="00C32F4A" w:rsidRDefault="00C32F4A" w:rsidP="00C32F4A">
      <w:pPr>
        <w:jc w:val="center"/>
        <w:rPr>
          <w:b/>
        </w:rPr>
      </w:pPr>
      <w:r>
        <w:rPr>
          <w:b/>
        </w:rPr>
        <w:t>FREQUENCY SPECTRUM MANAGEMENT PANEL (FSMP)</w:t>
      </w:r>
    </w:p>
    <w:p w14:paraId="2D85DE1C" w14:textId="77777777" w:rsidR="00C32F4A" w:rsidRDefault="00C32F4A" w:rsidP="00C32F4A">
      <w:pPr>
        <w:tabs>
          <w:tab w:val="left" w:pos="6972"/>
        </w:tabs>
        <w:jc w:val="center"/>
        <w:rPr>
          <w:b/>
        </w:rPr>
      </w:pPr>
    </w:p>
    <w:p w14:paraId="03A69C10" w14:textId="77777777" w:rsidR="00FC389A" w:rsidRDefault="00FC389A" w:rsidP="00FC389A">
      <w:pPr>
        <w:widowControl w:val="0"/>
        <w:autoSpaceDE w:val="0"/>
        <w:autoSpaceDN w:val="0"/>
        <w:adjustRightInd w:val="0"/>
        <w:ind w:right="4"/>
        <w:jc w:val="center"/>
        <w:rPr>
          <w:rFonts w:eastAsia="SimSun"/>
          <w:b/>
          <w:caps/>
          <w:szCs w:val="24"/>
        </w:rPr>
      </w:pPr>
      <w:r>
        <w:rPr>
          <w:rFonts w:eastAsia="SimSun"/>
          <w:b/>
          <w:szCs w:val="24"/>
        </w:rPr>
        <w:t>Seventeenth</w:t>
      </w:r>
      <w:r w:rsidRPr="003A7291">
        <w:rPr>
          <w:rFonts w:eastAsia="SimSun"/>
          <w:b/>
          <w:szCs w:val="24"/>
        </w:rPr>
        <w:t xml:space="preserve"> Working Group Meeting </w:t>
      </w:r>
    </w:p>
    <w:p w14:paraId="29BDC271" w14:textId="77777777" w:rsidR="00FC389A" w:rsidRDefault="00FC389A" w:rsidP="00FC389A">
      <w:pPr>
        <w:widowControl w:val="0"/>
        <w:autoSpaceDE w:val="0"/>
        <w:autoSpaceDN w:val="0"/>
        <w:adjustRightInd w:val="0"/>
        <w:ind w:right="4"/>
        <w:jc w:val="center"/>
        <w:rPr>
          <w:rFonts w:eastAsia="SimSun"/>
          <w:b/>
          <w:caps/>
          <w:szCs w:val="24"/>
        </w:rPr>
      </w:pPr>
    </w:p>
    <w:p w14:paraId="6FD93E77" w14:textId="77777777" w:rsidR="00FC389A" w:rsidRDefault="00FC389A" w:rsidP="00FC389A">
      <w:pPr>
        <w:widowControl w:val="0"/>
        <w:autoSpaceDE w:val="0"/>
        <w:autoSpaceDN w:val="0"/>
        <w:adjustRightInd w:val="0"/>
        <w:jc w:val="center"/>
        <w:rPr>
          <w:rFonts w:eastAsia="SimSun"/>
          <w:b/>
          <w:szCs w:val="24"/>
        </w:rPr>
      </w:pPr>
      <w:r w:rsidRPr="00BD46AB">
        <w:rPr>
          <w:rFonts w:eastAsia="SimSun"/>
          <w:b/>
          <w:szCs w:val="24"/>
        </w:rPr>
        <w:t>Cairo, Egypt – 30 August – 7 September 2023</w:t>
      </w:r>
    </w:p>
    <w:p w14:paraId="7C3E5E20" w14:textId="77777777" w:rsidR="00770160" w:rsidRDefault="00770160">
      <w:pPr>
        <w:tabs>
          <w:tab w:val="left" w:pos="0"/>
          <w:tab w:val="left" w:pos="1570"/>
          <w:tab w:val="left" w:pos="1857"/>
        </w:tabs>
      </w:pPr>
    </w:p>
    <w:p w14:paraId="7FADFE69" w14:textId="77777777" w:rsidR="00770160" w:rsidRDefault="00770160">
      <w:pPr>
        <w:tabs>
          <w:tab w:val="left" w:pos="0"/>
          <w:tab w:val="left" w:pos="1570"/>
          <w:tab w:val="left" w:pos="1857"/>
        </w:tabs>
      </w:pPr>
    </w:p>
    <w:p w14:paraId="51060E09" w14:textId="77777777" w:rsidR="00770160" w:rsidRDefault="00770160">
      <w:pPr>
        <w:pStyle w:val="Agendaitemtitle"/>
        <w:rPr>
          <w:lang w:val="sv-SE"/>
        </w:rPr>
      </w:pPr>
      <w:r>
        <w:rPr>
          <w:lang w:val="sv-SE"/>
        </w:rPr>
        <w:t>Agenda Item ..:</w:t>
      </w:r>
      <w:r>
        <w:rPr>
          <w:lang w:val="sv-SE"/>
        </w:rPr>
        <w:tab/>
        <w:t>Agenda item text</w:t>
      </w:r>
    </w:p>
    <w:p w14:paraId="70554DE7" w14:textId="77777777" w:rsidR="00770160" w:rsidRDefault="00770160">
      <w:pPr>
        <w:pStyle w:val="Agendaitemtitle"/>
        <w:rPr>
          <w:b w:val="0"/>
          <w:lang w:val="sv-SE"/>
        </w:rPr>
      </w:pPr>
    </w:p>
    <w:p w14:paraId="139A8092" w14:textId="77777777" w:rsidR="00770160" w:rsidRDefault="00770160">
      <w:pPr>
        <w:tabs>
          <w:tab w:val="left" w:pos="6972"/>
        </w:tabs>
        <w:rPr>
          <w:b/>
          <w:lang w:val="sv-SE"/>
        </w:rPr>
      </w:pPr>
    </w:p>
    <w:p w14:paraId="0E2355DE" w14:textId="4D78D59D" w:rsidR="00770160" w:rsidRDefault="000436D4" w:rsidP="000436D4">
      <w:pPr>
        <w:tabs>
          <w:tab w:val="left" w:pos="6972"/>
        </w:tabs>
        <w:jc w:val="center"/>
      </w:pPr>
      <w:r w:rsidRPr="000436D4">
        <w:rPr>
          <w:b/>
          <w:snapToGrid w:val="0"/>
        </w:rPr>
        <w:t>EARLY THOUGHT ON U</w:t>
      </w:r>
      <w:r w:rsidR="00B0256E">
        <w:rPr>
          <w:b/>
          <w:snapToGrid w:val="0"/>
        </w:rPr>
        <w:t>NITED STATES</w:t>
      </w:r>
      <w:r w:rsidRPr="000436D4">
        <w:rPr>
          <w:b/>
          <w:snapToGrid w:val="0"/>
        </w:rPr>
        <w:t xml:space="preserve"> VHF SATCOM IMPLEMENTATION</w:t>
      </w:r>
    </w:p>
    <w:p w14:paraId="7CA1EDF3" w14:textId="77777777" w:rsidR="00770160" w:rsidRDefault="00770160">
      <w:pPr>
        <w:tabs>
          <w:tab w:val="left" w:pos="6972"/>
        </w:tabs>
      </w:pPr>
    </w:p>
    <w:p w14:paraId="6B328E58" w14:textId="3B65BEEB" w:rsidR="00770160" w:rsidRDefault="00770160">
      <w:pPr>
        <w:jc w:val="center"/>
      </w:pPr>
      <w:r>
        <w:t>(Presented by</w:t>
      </w:r>
      <w:bookmarkStart w:id="0" w:name="presented_by"/>
      <w:bookmarkEnd w:id="0"/>
      <w:r>
        <w:t xml:space="preserve"> </w:t>
      </w:r>
      <w:r w:rsidR="000436D4">
        <w:t>Andrew Roy, ASRI</w:t>
      </w:r>
      <w:r>
        <w:t>)</w:t>
      </w:r>
    </w:p>
    <w:p w14:paraId="0D8BA49B" w14:textId="77777777" w:rsidR="00770160" w:rsidRDefault="00770160"/>
    <w:p w14:paraId="413691AB" w14:textId="77777777" w:rsidR="00770160" w:rsidRDefault="00770160"/>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770160" w14:paraId="5BB88982" w14:textId="77777777">
        <w:trPr>
          <w:cantSplit/>
          <w:trHeight w:hRule="exact" w:val="480"/>
          <w:jc w:val="center"/>
        </w:trPr>
        <w:tc>
          <w:tcPr>
            <w:tcW w:w="7200" w:type="dxa"/>
            <w:vAlign w:val="center"/>
          </w:tcPr>
          <w:p w14:paraId="657F3246" w14:textId="77777777" w:rsidR="00770160" w:rsidRDefault="00770160">
            <w:pPr>
              <w:jc w:val="center"/>
              <w:rPr>
                <w:sz w:val="24"/>
                <w:lang w:val="en-US"/>
              </w:rPr>
            </w:pPr>
            <w:r>
              <w:rPr>
                <w:b/>
              </w:rPr>
              <w:t>SUMMARY</w:t>
            </w:r>
          </w:p>
        </w:tc>
      </w:tr>
      <w:tr w:rsidR="00770160" w14:paraId="3EDE7D06" w14:textId="77777777">
        <w:trPr>
          <w:cantSplit/>
          <w:jc w:val="center"/>
        </w:trPr>
        <w:tc>
          <w:tcPr>
            <w:tcW w:w="7200" w:type="dxa"/>
          </w:tcPr>
          <w:p w14:paraId="32A88BD0" w14:textId="5F034376" w:rsidR="000436D4" w:rsidRDefault="000436D4">
            <w:pPr>
              <w:rPr>
                <w:lang w:val="en-US"/>
              </w:rPr>
            </w:pPr>
            <w:r>
              <w:rPr>
                <w:lang w:val="en-US"/>
              </w:rPr>
              <w:t xml:space="preserve">This paper provides </w:t>
            </w:r>
            <w:r w:rsidR="007B7822">
              <w:rPr>
                <w:lang w:val="en-US"/>
              </w:rPr>
              <w:t>s</w:t>
            </w:r>
            <w:r>
              <w:rPr>
                <w:lang w:val="en-US"/>
              </w:rPr>
              <w:t xml:space="preserve">ome initial </w:t>
            </w:r>
            <w:r w:rsidR="007B7822">
              <w:rPr>
                <w:lang w:val="en-US"/>
              </w:rPr>
              <w:t>considerations</w:t>
            </w:r>
            <w:r>
              <w:rPr>
                <w:lang w:val="en-US"/>
              </w:rPr>
              <w:t xml:space="preserve"> on how VHF SATCOM could be implemented in the current </w:t>
            </w:r>
            <w:r w:rsidR="007B7822">
              <w:rPr>
                <w:lang w:val="en-US"/>
              </w:rPr>
              <w:t xml:space="preserve">spectrum and regulatory environment in the United States.  It is a thought exercise to stimulate discussion on how to manage VHF SATCOM assignments alongside the existing terrestrial spectrum management framework.  </w:t>
            </w:r>
          </w:p>
          <w:p w14:paraId="51803783" w14:textId="5327A317" w:rsidR="00770160" w:rsidRDefault="00770160">
            <w:pPr>
              <w:rPr>
                <w:lang w:val="en-US"/>
              </w:rPr>
            </w:pPr>
            <w:r>
              <w:rPr>
                <w:lang w:val="en-US"/>
              </w:rPr>
              <w:t xml:space="preserve"> </w:t>
            </w:r>
          </w:p>
        </w:tc>
      </w:tr>
    </w:tbl>
    <w:p w14:paraId="786F2040" w14:textId="77777777" w:rsidR="00770160" w:rsidRDefault="00770160"/>
    <w:p w14:paraId="5A35259E" w14:textId="77777777" w:rsidR="00770160" w:rsidRDefault="00770160"/>
    <w:p w14:paraId="43F10DAB" w14:textId="77777777" w:rsidR="00770160" w:rsidRDefault="00770160">
      <w:pPr>
        <w:pStyle w:val="1Heading"/>
      </w:pPr>
      <w:r>
        <w:t>INTRODUCTION</w:t>
      </w:r>
    </w:p>
    <w:p w14:paraId="11A628D9" w14:textId="438A5575" w:rsidR="00770160" w:rsidRDefault="000F006A" w:rsidP="000F006A">
      <w:pPr>
        <w:pStyle w:val="2para"/>
      </w:pPr>
      <w:r w:rsidRPr="000F006A">
        <w:t>This paper is a</w:t>
      </w:r>
      <w:r w:rsidR="00EC5E00">
        <w:t>n</w:t>
      </w:r>
      <w:r w:rsidRPr="000F006A">
        <w:t xml:space="preserve"> </w:t>
      </w:r>
      <w:r w:rsidR="00EC5E00">
        <w:t>early</w:t>
      </w:r>
      <w:r>
        <w:t xml:space="preserve"> </w:t>
      </w:r>
      <w:r w:rsidRPr="000F006A">
        <w:t xml:space="preserve">thought exercise on how the VHF SATCOM concept might be implemented in the US to explore the various aspects of integrating a SATCOM system into terrestrial networks.  It is an educated guess that makes some assumptions, identifies what work will need to be addressed, and what risks/considerations would be needed.  Additionally, the US focus is based on ASRI’s role in the planning/licensing of US VHF frequencies and recognizes that other administrations will have different considerations that may differ significantly.  In summary, this is not necessarily the right answer, but a possible answer.  Feedback is encouraged to further refine or correct, and additional work and development by the US aviation industry will be </w:t>
      </w:r>
      <w:r w:rsidR="00413B25" w:rsidRPr="000F006A">
        <w:t xml:space="preserve">ongoing </w:t>
      </w:r>
      <w:r w:rsidRPr="000F006A">
        <w:t>concurrently to further refine.</w:t>
      </w:r>
    </w:p>
    <w:p w14:paraId="79115601" w14:textId="4946FF74" w:rsidR="00EC5E00" w:rsidRDefault="00EC5E00">
      <w:pPr>
        <w:pStyle w:val="1Heading"/>
      </w:pPr>
      <w:r>
        <w:t>BACKGROUND</w:t>
      </w:r>
    </w:p>
    <w:p w14:paraId="36B5FFAE" w14:textId="13A8FB48" w:rsidR="00F641A9" w:rsidRDefault="00975991" w:rsidP="005E5CB7">
      <w:pPr>
        <w:pStyle w:val="2para"/>
      </w:pPr>
      <w:r>
        <w:t xml:space="preserve">In the Unites States, ASRI (and its predecessor Aeronautical Radio - ARINC) has been providing an industry </w:t>
      </w:r>
      <w:r w:rsidR="002A2AEE">
        <w:t>led</w:t>
      </w:r>
      <w:r>
        <w:t xml:space="preserve"> frequency coordination process since 1929. </w:t>
      </w:r>
      <w:r w:rsidR="002A2AEE">
        <w:t xml:space="preserve"> Operating under the </w:t>
      </w:r>
      <w:r w:rsidR="00581757">
        <w:t>rules</w:t>
      </w:r>
      <w:r w:rsidR="002A2AEE">
        <w:t xml:space="preserve"> of both the </w:t>
      </w:r>
      <w:r w:rsidR="002A2AEE">
        <w:lastRenderedPageBreak/>
        <w:t xml:space="preserve">Federal Communications Commission (FCC) and the Federal Aviation Administration (FAA), ASRI is the single </w:t>
      </w:r>
      <w:r w:rsidR="00CB2110">
        <w:t>license</w:t>
      </w:r>
      <w:r w:rsidR="00EC6C2E">
        <w:t>e</w:t>
      </w:r>
      <w:r w:rsidR="002A2AEE">
        <w:t xml:space="preserve"> for</w:t>
      </w:r>
      <w:r w:rsidR="00581757">
        <w:t xml:space="preserve"> all channels in the </w:t>
      </w:r>
      <w:r w:rsidR="002A2AEE">
        <w:t xml:space="preserve">128.825-132 </w:t>
      </w:r>
      <w:r w:rsidR="00CB2110">
        <w:t>and</w:t>
      </w:r>
      <w:r w:rsidR="002A2AEE">
        <w:t xml:space="preserve"> 1</w:t>
      </w:r>
      <w:r w:rsidR="00CB2110">
        <w:t>36.5-136.975 MHz</w:t>
      </w:r>
      <w:r w:rsidR="00581757">
        <w:t xml:space="preserve"> bands </w:t>
      </w:r>
      <w:r w:rsidR="00CB2110">
        <w:t xml:space="preserve">in the United States </w:t>
      </w:r>
      <w:r w:rsidR="00C91A34">
        <w:t>for AOC and datalink operations</w:t>
      </w:r>
      <w:r w:rsidR="00B34E2D">
        <w:t xml:space="preserve"> (known as non-Federal bands)</w:t>
      </w:r>
      <w:r w:rsidR="00CB2110">
        <w:t>.  Maintaining the aircraft operator ownership it started in the early 20</w:t>
      </w:r>
      <w:r w:rsidR="00CB2110" w:rsidRPr="00CB2110">
        <w:rPr>
          <w:vertAlign w:val="superscript"/>
        </w:rPr>
        <w:t>th</w:t>
      </w:r>
      <w:r w:rsidR="00CB2110">
        <w:t xml:space="preserve"> century, </w:t>
      </w:r>
      <w:r w:rsidR="00C91A34">
        <w:t xml:space="preserve">it operates and manages parts of the VHF on behalf of the industry </w:t>
      </w:r>
      <w:r w:rsidR="00581757">
        <w:t>through a multi-stakeholder process</w:t>
      </w:r>
      <w:r w:rsidR="00705B26">
        <w:t>.  This included industry developed policy and assignment rules to operate in a non-</w:t>
      </w:r>
      <w:r w:rsidR="00D66600">
        <w:t>discriminatory</w:t>
      </w:r>
      <w:r w:rsidR="00705B26">
        <w:t xml:space="preserve"> manner for all users, whil</w:t>
      </w:r>
      <w:r w:rsidR="00D66600">
        <w:t>st supported on a cooperative (</w:t>
      </w:r>
      <w:proofErr w:type="gramStart"/>
      <w:r w:rsidR="00D66600">
        <w:t>i.e.</w:t>
      </w:r>
      <w:proofErr w:type="gramEnd"/>
      <w:r w:rsidR="00D66600">
        <w:t xml:space="preserve"> non-profit) basis.  </w:t>
      </w:r>
      <w:r w:rsidR="00DA5BE2">
        <w:t xml:space="preserve">Other bands in the aero VHF spectrum, primarily ATC voice, are managed and operated directly by the FAA.  </w:t>
      </w:r>
    </w:p>
    <w:p w14:paraId="3E688F5F" w14:textId="38395152" w:rsidR="008F5B27" w:rsidRDefault="008F5B27" w:rsidP="005E5CB7">
      <w:pPr>
        <w:pStyle w:val="2para"/>
      </w:pPr>
      <w:r>
        <w:t xml:space="preserve">In reviewing </w:t>
      </w:r>
      <w:r w:rsidR="00275240">
        <w:t xml:space="preserve">the WRC-23 Agenda Item 1.7 (VHF SATCOM), ASRI has begun to discuss with the US industry how VHF SATCOM might be implemented in the frequency bands ASRI manages.  </w:t>
      </w:r>
      <w:r w:rsidR="002C5F2C">
        <w:t>The following is an early thought process that is designed to facilitate feedback (good, and bad)</w:t>
      </w:r>
      <w:r w:rsidR="00275240">
        <w:t xml:space="preserve"> </w:t>
      </w:r>
      <w:r w:rsidR="002C5F2C">
        <w:t>to better understand the views on how VHF SATCOM might be implemented.</w:t>
      </w:r>
    </w:p>
    <w:p w14:paraId="4D276511" w14:textId="085A1EFC" w:rsidR="00312DEC" w:rsidRPr="00312DEC" w:rsidRDefault="00312DEC" w:rsidP="00312DEC">
      <w:pPr>
        <w:pStyle w:val="1Heading"/>
      </w:pPr>
      <w:r w:rsidRPr="00312DEC">
        <w:t>REQUIREMENTS FOR VHF SATCOM</w:t>
      </w:r>
      <w:r>
        <w:t xml:space="preserve"> IN THE US</w:t>
      </w:r>
    </w:p>
    <w:p w14:paraId="1350CA4E" w14:textId="7585EB95" w:rsidR="00402E5F" w:rsidRDefault="00402E5F" w:rsidP="00402E5F">
      <w:pPr>
        <w:pStyle w:val="2para"/>
      </w:pPr>
      <w:r>
        <w:t xml:space="preserve">The primary </w:t>
      </w:r>
      <w:r w:rsidR="00732C86">
        <w:t xml:space="preserve">VHF SATCOM </w:t>
      </w:r>
      <w:r>
        <w:t xml:space="preserve">requirements for US </w:t>
      </w:r>
      <w:r w:rsidR="00732C86">
        <w:t xml:space="preserve">aviation </w:t>
      </w:r>
      <w:r>
        <w:t xml:space="preserve">industry </w:t>
      </w:r>
      <w:r w:rsidR="00732C86">
        <w:t>are</w:t>
      </w:r>
      <w:r>
        <w:t xml:space="preserve"> not </w:t>
      </w:r>
      <w:r w:rsidR="00732C86">
        <w:t xml:space="preserve">to </w:t>
      </w:r>
      <w:r w:rsidR="00EB4D96">
        <w:t>negatively impact</w:t>
      </w:r>
      <w:r>
        <w:t xml:space="preserve"> or constrain the current </w:t>
      </w:r>
      <w:r w:rsidR="00732C86">
        <w:t xml:space="preserve">terrestrial </w:t>
      </w:r>
      <w:r>
        <w:t>VHF usage.  Therefore</w:t>
      </w:r>
      <w:r w:rsidR="004C54CB">
        <w:t>,</w:t>
      </w:r>
      <w:r>
        <w:t xml:space="preserve"> the following are key requirements in the US national implementation.  </w:t>
      </w:r>
    </w:p>
    <w:p w14:paraId="1AA60792" w14:textId="3EFECCD1" w:rsidR="00402E5F" w:rsidRPr="00402E5F" w:rsidRDefault="00386287" w:rsidP="00402E5F">
      <w:pPr>
        <w:pStyle w:val="2para"/>
      </w:pPr>
      <w:r w:rsidRPr="00386287">
        <w:rPr>
          <w:b/>
          <w:bCs/>
        </w:rPr>
        <w:t xml:space="preserve">AM(R)S has priority over the AMS(R)S </w:t>
      </w:r>
    </w:p>
    <w:p w14:paraId="506E454A" w14:textId="50043794" w:rsidR="00402E5F" w:rsidRDefault="00402E5F" w:rsidP="00402E5F">
      <w:pPr>
        <w:pStyle w:val="3para"/>
      </w:pPr>
      <w:r>
        <w:t xml:space="preserve">SATCOM assignments should not expect permanent assignments, anticipating that VHF channel plan changes will result in the necessary movement and/or consolidation </w:t>
      </w:r>
      <w:r w:rsidR="00601A95">
        <w:t xml:space="preserve">of </w:t>
      </w:r>
      <w:r w:rsidR="005F13DE">
        <w:t xml:space="preserve">SATCOM </w:t>
      </w:r>
      <w:r w:rsidR="00601A95">
        <w:t>a</w:t>
      </w:r>
      <w:r w:rsidR="00BE2CC0">
        <w:t xml:space="preserve">ssignments </w:t>
      </w:r>
      <w:r>
        <w:t xml:space="preserve">(the same </w:t>
      </w:r>
      <w:r w:rsidR="008914E7">
        <w:t xml:space="preserve">condition </w:t>
      </w:r>
      <w:r>
        <w:t xml:space="preserve">as terrestrial assignments are required to adhere to).  This is especially relevant with the congested terrestrial environment in the US that can change, and therefore the SATCOM assignments will </w:t>
      </w:r>
      <w:r w:rsidR="00581E57">
        <w:t>be expected</w:t>
      </w:r>
      <w:r>
        <w:t xml:space="preserve"> to be moved</w:t>
      </w:r>
      <w:r w:rsidR="00581E57">
        <w:t>/reassigned</w:t>
      </w:r>
      <w:r>
        <w:t xml:space="preserve"> to accommodate </w:t>
      </w:r>
      <w:r w:rsidR="00581E57">
        <w:t>terrestrial</w:t>
      </w:r>
      <w:r>
        <w:t xml:space="preserve"> changes.  </w:t>
      </w:r>
    </w:p>
    <w:p w14:paraId="0C13DB78" w14:textId="3712DEC2" w:rsidR="00402E5F" w:rsidRPr="00402E5F" w:rsidRDefault="00402E5F" w:rsidP="00402E5F">
      <w:pPr>
        <w:pStyle w:val="2para"/>
        <w:rPr>
          <w:b/>
          <w:bCs/>
        </w:rPr>
      </w:pPr>
      <w:r w:rsidRPr="00402E5F">
        <w:rPr>
          <w:b/>
          <w:bCs/>
        </w:rPr>
        <w:t xml:space="preserve">Any process should not add to existing application approval request timelines with national </w:t>
      </w:r>
      <w:proofErr w:type="gramStart"/>
      <w:r w:rsidRPr="00402E5F">
        <w:rPr>
          <w:b/>
          <w:bCs/>
        </w:rPr>
        <w:t>regulators</w:t>
      </w:r>
      <w:proofErr w:type="gramEnd"/>
    </w:p>
    <w:p w14:paraId="0A97DFAF" w14:textId="018C8294" w:rsidR="00402E5F" w:rsidRDefault="00402E5F" w:rsidP="00402E5F">
      <w:pPr>
        <w:pStyle w:val="3para"/>
      </w:pPr>
      <w:r>
        <w:t xml:space="preserve">The new VHF SATCOM assignment process should not affect the existing terrestrial approval process, either in additional steps or timelines.  Operators requiring VHF service </w:t>
      </w:r>
      <w:r w:rsidRPr="00EE6E88">
        <w:t xml:space="preserve">already </w:t>
      </w:r>
      <w:r w:rsidR="00472EDE" w:rsidRPr="00EE6E88">
        <w:t>must</w:t>
      </w:r>
      <w:r w:rsidRPr="00EE6E88">
        <w:t xml:space="preserve"> </w:t>
      </w:r>
      <w:r w:rsidR="00472EDE">
        <w:t xml:space="preserve">plan for </w:t>
      </w:r>
      <w:r>
        <w:t xml:space="preserve">up to 6+ months for full license approval.  This should not be extended further at the national level to </w:t>
      </w:r>
      <w:r w:rsidR="00472EDE">
        <w:t>maintain</w:t>
      </w:r>
      <w:r>
        <w:t xml:space="preserve"> flexibility of operations</w:t>
      </w:r>
      <w:r w:rsidR="00472EDE">
        <w:t xml:space="preserve"> and respond to </w:t>
      </w:r>
      <w:r w:rsidR="003C110D">
        <w:t>aircraft operator needs.</w:t>
      </w:r>
      <w:r>
        <w:t xml:space="preserve">  </w:t>
      </w:r>
    </w:p>
    <w:p w14:paraId="115A56C9" w14:textId="548E7D98" w:rsidR="00770160" w:rsidRPr="00EB2BED" w:rsidRDefault="00402E5F" w:rsidP="00402E5F">
      <w:pPr>
        <w:pStyle w:val="2para"/>
      </w:pPr>
      <w:r w:rsidRPr="00EB2BED">
        <w:rPr>
          <w:b/>
          <w:bCs/>
        </w:rPr>
        <w:t xml:space="preserve">VHF assignments made in the US </w:t>
      </w:r>
      <w:r w:rsidR="00A54A76">
        <w:rPr>
          <w:b/>
          <w:bCs/>
        </w:rPr>
        <w:t>will</w:t>
      </w:r>
      <w:r w:rsidR="00EE6E88">
        <w:rPr>
          <w:b/>
          <w:bCs/>
        </w:rPr>
        <w:t xml:space="preserve"> </w:t>
      </w:r>
      <w:r w:rsidRPr="00EB2BED">
        <w:rPr>
          <w:b/>
          <w:bCs/>
        </w:rPr>
        <w:t xml:space="preserve">not </w:t>
      </w:r>
      <w:r w:rsidR="00A54A76">
        <w:rPr>
          <w:b/>
          <w:bCs/>
        </w:rPr>
        <w:t xml:space="preserve">be </w:t>
      </w:r>
      <w:r w:rsidRPr="00EB2BED">
        <w:rPr>
          <w:b/>
          <w:bCs/>
        </w:rPr>
        <w:t>registered in ICAO or the ITU-R MIFR</w:t>
      </w:r>
      <w:r w:rsidR="00770160" w:rsidRPr="00EB2BED">
        <w:t xml:space="preserve"> </w:t>
      </w:r>
    </w:p>
    <w:p w14:paraId="7937488D" w14:textId="092588B1" w:rsidR="00402E5F" w:rsidRDefault="00EB2BED" w:rsidP="00402E5F">
      <w:pPr>
        <w:pStyle w:val="3para"/>
      </w:pPr>
      <w:r w:rsidRPr="00EB2BED">
        <w:t xml:space="preserve">All current industry </w:t>
      </w:r>
      <w:r>
        <w:t>and</w:t>
      </w:r>
      <w:r w:rsidRPr="00EB2BED">
        <w:t xml:space="preserve"> FAA assigned </w:t>
      </w:r>
      <w:r>
        <w:t xml:space="preserve">VHF </w:t>
      </w:r>
      <w:r w:rsidRPr="00EB2BED">
        <w:t xml:space="preserve">channels in the </w:t>
      </w:r>
      <w:r>
        <w:t>U</w:t>
      </w:r>
      <w:r w:rsidRPr="00EB2BED">
        <w:t xml:space="preserve">nited </w:t>
      </w:r>
      <w:r>
        <w:t>S</w:t>
      </w:r>
      <w:r w:rsidRPr="00EB2BED">
        <w:t xml:space="preserve">tates are not registered at ICAO or the ITU-R.  </w:t>
      </w:r>
      <w:r>
        <w:t xml:space="preserve">Regional coordination is conducted on a bilateral basis with neighbouring administration under existing frameworks.  </w:t>
      </w:r>
      <w:r w:rsidR="0077566A">
        <w:t>In several informal discussions, nether the US regulator</w:t>
      </w:r>
      <w:r w:rsidR="003C110D">
        <w:t>s</w:t>
      </w:r>
      <w:r w:rsidR="0077566A">
        <w:t xml:space="preserve"> nor industry appear to wish to change the process.  </w:t>
      </w:r>
    </w:p>
    <w:p w14:paraId="222C326C" w14:textId="16ADBE24" w:rsidR="000C32B4" w:rsidRDefault="00E1405D" w:rsidP="000C32B4">
      <w:pPr>
        <w:pStyle w:val="1Heading"/>
      </w:pPr>
      <w:r w:rsidRPr="00E1405D">
        <w:t>CORE ASSUMPTIONS/LIMITATION OF THIS PAPER</w:t>
      </w:r>
    </w:p>
    <w:p w14:paraId="3A955F6F" w14:textId="3CB2BED9" w:rsidR="001F57E2" w:rsidRDefault="001F57E2" w:rsidP="001F57E2">
      <w:pPr>
        <w:pStyle w:val="3para"/>
      </w:pPr>
      <w:r>
        <w:t>This paper only considers the non-Federal VHF bands in the United States of 128.825</w:t>
      </w:r>
      <w:r w:rsidR="003C110D">
        <w:t> </w:t>
      </w:r>
      <w:r>
        <w:t>-</w:t>
      </w:r>
      <w:r w:rsidR="003C110D">
        <w:t> </w:t>
      </w:r>
      <w:r>
        <w:t>132 and 136</w:t>
      </w:r>
      <w:r w:rsidR="003C110D">
        <w:t> </w:t>
      </w:r>
      <w:r>
        <w:t>-</w:t>
      </w:r>
      <w:r w:rsidR="003C110D">
        <w:t> </w:t>
      </w:r>
      <w:r>
        <w:t xml:space="preserve">136.975 MHz.  </w:t>
      </w:r>
    </w:p>
    <w:p w14:paraId="0F7AFCC5" w14:textId="6CA45E22" w:rsidR="001F57E2" w:rsidRDefault="001F57E2" w:rsidP="001F57E2">
      <w:pPr>
        <w:pStyle w:val="3para"/>
      </w:pPr>
      <w:r>
        <w:t>VDLM2 SATCOM networks are not able to operate co-frequency with terrestrial VHF assignments</w:t>
      </w:r>
      <w:r w:rsidR="003C110D" w:rsidRPr="003C110D">
        <w:t xml:space="preserve"> </w:t>
      </w:r>
      <w:r w:rsidR="003C110D">
        <w:t>without suitable physical separation</w:t>
      </w:r>
      <w:r>
        <w:t>.</w:t>
      </w:r>
      <w:r w:rsidR="00637E86">
        <w:rPr>
          <w:rStyle w:val="FootnoteReference"/>
        </w:rPr>
        <w:footnoteReference w:id="2"/>
      </w:r>
      <w:r>
        <w:t xml:space="preserve">  However, VHF voice assignments </w:t>
      </w:r>
      <w:r w:rsidR="00BA438B">
        <w:t>do</w:t>
      </w:r>
      <w:r>
        <w:t xml:space="preserve"> no</w:t>
      </w:r>
      <w:r w:rsidR="00BA438B">
        <w:t>t</w:t>
      </w:r>
      <w:r>
        <w:t xml:space="preserve"> have </w:t>
      </w:r>
      <w:r w:rsidR="00BA438B">
        <w:t>the same</w:t>
      </w:r>
      <w:r>
        <w:t xml:space="preserve"> technical limitation.  This reflects the complexity of the VDLM2 system over VHF voice</w:t>
      </w:r>
      <w:r w:rsidR="002317D5">
        <w:t>,</w:t>
      </w:r>
      <w:r>
        <w:t xml:space="preserve"> which is a more procedurally controlled system.  Though it should be noted that this assumption may change with SARPs development if VDLM2 SATCOM </w:t>
      </w:r>
      <w:r w:rsidR="002317D5">
        <w:t xml:space="preserve">co-frequency </w:t>
      </w:r>
      <w:r>
        <w:t xml:space="preserve">coexistence can be verified and certified.  </w:t>
      </w:r>
    </w:p>
    <w:p w14:paraId="7C3FC411" w14:textId="76497615" w:rsidR="001F57E2" w:rsidRDefault="004C54CB" w:rsidP="001F57E2">
      <w:pPr>
        <w:pStyle w:val="3para"/>
      </w:pPr>
      <w:r>
        <w:t xml:space="preserve">VHF </w:t>
      </w:r>
      <w:r w:rsidR="001F57E2">
        <w:t xml:space="preserve">SATCOM spot beams allows a reasonably consistent management of </w:t>
      </w:r>
      <w:r w:rsidR="00EB599D">
        <w:t xml:space="preserve">SATCOM </w:t>
      </w:r>
      <w:r w:rsidR="001F57E2">
        <w:t xml:space="preserve">coverage to enable </w:t>
      </w:r>
      <w:r w:rsidR="00222992">
        <w:t xml:space="preserve">suitable </w:t>
      </w:r>
      <w:r w:rsidR="001F57E2">
        <w:t xml:space="preserve">physical separation </w:t>
      </w:r>
      <w:r w:rsidR="00EB599D">
        <w:t>to terrestrial coverage</w:t>
      </w:r>
      <w:r w:rsidR="001F57E2">
        <w:t xml:space="preserve"> (either through fixed or steerable SATCOM antennas).</w:t>
      </w:r>
    </w:p>
    <w:p w14:paraId="3551AA5A" w14:textId="52A054AB" w:rsidR="001F57E2" w:rsidRDefault="004C54CB" w:rsidP="001F57E2">
      <w:pPr>
        <w:pStyle w:val="3para"/>
      </w:pPr>
      <w:r>
        <w:t xml:space="preserve">VHF </w:t>
      </w:r>
      <w:r w:rsidR="001F57E2">
        <w:t xml:space="preserve">SATCOM payloads are technically limited to a maximum of 5 concurrent frequencies per </w:t>
      </w:r>
      <w:r w:rsidR="0070796F">
        <w:t>satellite</w:t>
      </w:r>
      <w:r w:rsidR="001F57E2">
        <w:t xml:space="preserve">, varying in </w:t>
      </w:r>
      <w:r w:rsidR="00EB599D">
        <w:t>functions</w:t>
      </w:r>
      <w:r w:rsidR="001F57E2">
        <w:t xml:space="preserve"> of either VDLM2, POA, or 25 kHz voice</w:t>
      </w:r>
      <w:r w:rsidR="00EB599D">
        <w:t xml:space="preserve"> as required by the region</w:t>
      </w:r>
      <w:r w:rsidR="001F57E2">
        <w:t>.</w:t>
      </w:r>
    </w:p>
    <w:p w14:paraId="4EFEE0C3" w14:textId="126EC846" w:rsidR="001F57E2" w:rsidRDefault="00890844" w:rsidP="001F57E2">
      <w:pPr>
        <w:pStyle w:val="1Heading"/>
      </w:pPr>
      <w:r w:rsidRPr="00890844">
        <w:t>VHF SATCOM IMPLEMENTATION AREAS</w:t>
      </w:r>
    </w:p>
    <w:p w14:paraId="16E02CC8" w14:textId="60897459" w:rsidR="00B21CCD" w:rsidRDefault="00F85F07" w:rsidP="00F85F07">
      <w:pPr>
        <w:pStyle w:val="2para"/>
      </w:pPr>
      <w:r w:rsidRPr="00F85F07">
        <w:t xml:space="preserve">The VHF band in the United States is heavily congested, with multiple users often sharing the same frequency in high traffic areas such as the </w:t>
      </w:r>
      <w:r w:rsidR="00A22BDE" w:rsidRPr="00F85F07">
        <w:t>Northeast</w:t>
      </w:r>
      <w:r w:rsidRPr="00F85F07">
        <w:t>.  However, there may be options for national VHF SATCOM assignments in the 136-136.475 MHz band if suitable conditions are applied.  At this time terrestrial VDLM2 assignments are implemented or planned for 136.100, 136.150, 136.300, and 136.350 MHz.  These are spaced to avoid co</w:t>
      </w:r>
      <w:r w:rsidR="00FA1F6E">
        <w:t>-</w:t>
      </w:r>
      <w:r w:rsidRPr="00F85F07">
        <w:t>site interference and intermod</w:t>
      </w:r>
      <w:r w:rsidR="00FA1F6E">
        <w:t>ulation</w:t>
      </w:r>
      <w:r w:rsidRPr="00F85F07">
        <w:t xml:space="preserve"> products from these and other VDLM2 assignments in the 136.500-136.975 MHz band.</w:t>
      </w:r>
      <w:r w:rsidR="004C54CB">
        <w:rPr>
          <w:rStyle w:val="FootnoteReference"/>
        </w:rPr>
        <w:footnoteReference w:id="3"/>
      </w:r>
      <w:r w:rsidR="004C54CB">
        <w:t xml:space="preserve">  </w:t>
      </w:r>
      <w:r w:rsidRPr="00F85F07">
        <w:t>Therefore</w:t>
      </w:r>
      <w:r w:rsidR="004C54CB">
        <w:t>,</w:t>
      </w:r>
      <w:r w:rsidRPr="00F85F07">
        <w:t xml:space="preserve"> if VHF SATCOM assignments were limited to communicating with aircraft only when flying above FL100 to avoid co</w:t>
      </w:r>
      <w:r w:rsidR="00FA1F6E">
        <w:t>-</w:t>
      </w:r>
      <w:r w:rsidRPr="00F85F07">
        <w:t>site and intermod</w:t>
      </w:r>
      <w:r w:rsidR="00FD543C">
        <w:t>ulation</w:t>
      </w:r>
      <w:r w:rsidRPr="00F85F07">
        <w:t xml:space="preserve"> concerns, there is a potential that the remaining 13 assignments </w:t>
      </w:r>
      <w:r w:rsidR="00A51834">
        <w:t>in the 500 kHz band</w:t>
      </w:r>
      <w:r w:rsidRPr="00F85F07">
        <w:t xml:space="preserve"> may be used for both coastal and overland operation.</w:t>
      </w:r>
      <w:r w:rsidR="00A22BDE">
        <w:rPr>
          <w:rStyle w:val="FootnoteReference"/>
        </w:rPr>
        <w:footnoteReference w:id="4"/>
      </w:r>
      <w:r w:rsidRPr="00F85F07">
        <w:t xml:space="preserve">  </w:t>
      </w:r>
    </w:p>
    <w:p w14:paraId="5D033D9A" w14:textId="2813C9B2" w:rsidR="00890844" w:rsidRDefault="00F85F07" w:rsidP="00F85F07">
      <w:pPr>
        <w:pStyle w:val="2para"/>
      </w:pPr>
      <w:r w:rsidRPr="00F85F07">
        <w:t>There may be some considerations needed for assignments directly adjacent to the terrestrial assignments as co-site for VDLM2 for the first adjacent channel can be up to 13 miles between aircraft, so CSPs would need to determine if this was an acceptable performance degradation</w:t>
      </w:r>
      <w:r w:rsidR="00045C23">
        <w:t xml:space="preserve"> due ICAO standardization and national implementation</w:t>
      </w:r>
      <w:r>
        <w:t xml:space="preserve">.  </w:t>
      </w:r>
    </w:p>
    <w:p w14:paraId="53343CC2" w14:textId="32B9B1A8" w:rsidR="00F85F07" w:rsidRDefault="00F85F07" w:rsidP="00F85F07">
      <w:pPr>
        <w:pStyle w:val="2para"/>
      </w:pPr>
      <w:r>
        <w:t xml:space="preserve">The available assignments in neighbouring administration </w:t>
      </w:r>
      <w:r w:rsidR="00B21CCD">
        <w:t>have</w:t>
      </w:r>
      <w:r>
        <w:t xml:space="preserve"> not been thoroughly reviewed to make any determination of suitability, but anecdotally the 136-137 MHz band is more lightly used than other parts of the VHF band.  </w:t>
      </w:r>
    </w:p>
    <w:p w14:paraId="5BBCB7E5" w14:textId="022FD250" w:rsidR="00F85F07" w:rsidRDefault="00F85F07" w:rsidP="00F85F07">
      <w:pPr>
        <w:pStyle w:val="1Heading"/>
      </w:pPr>
      <w:r>
        <w:t>REGIONAL COORDINATION</w:t>
      </w:r>
    </w:p>
    <w:p w14:paraId="4966DD04" w14:textId="3DB31E33" w:rsidR="007F61BE" w:rsidRDefault="007F61BE" w:rsidP="007F61BE">
      <w:pPr>
        <w:pStyle w:val="2para"/>
      </w:pPr>
      <w:r>
        <w:t xml:space="preserve">To implement the necessary regional coordination, a dedicated VHF SATCOM channel plan could be implemented by the ICAO regional offices to create </w:t>
      </w:r>
      <w:r w:rsidR="002B3F5A">
        <w:t xml:space="preserve">a </w:t>
      </w:r>
      <w:r>
        <w:t xml:space="preserve">pre-agreed list of suitable assignments in a specific region.    This could be implemented in stages to allow </w:t>
      </w:r>
      <w:r w:rsidR="00EC7240">
        <w:t xml:space="preserve">an easier </w:t>
      </w:r>
      <w:r>
        <w:t>initial compatibility with terrestrial assignments first, followed by more involved process later.</w:t>
      </w:r>
    </w:p>
    <w:p w14:paraId="62360F38" w14:textId="15FDE4FE" w:rsidR="007F61BE" w:rsidRDefault="007F61BE" w:rsidP="007F61BE">
      <w:pPr>
        <w:pStyle w:val="2para"/>
      </w:pPr>
      <w:r>
        <w:t>For example</w:t>
      </w:r>
      <w:r w:rsidR="00346FC8">
        <w:t>,</w:t>
      </w:r>
      <w:r>
        <w:t xml:space="preserve"> in the </w:t>
      </w:r>
      <w:r w:rsidRPr="00116BF4">
        <w:t>NAC</w:t>
      </w:r>
      <w:r w:rsidR="00116BF4">
        <w:t>C</w:t>
      </w:r>
      <w:r>
        <w:t xml:space="preserve"> region the 1st stage would identify common frequencies already available in the NAC region for VHF SATCOM.</w:t>
      </w:r>
      <w:r w:rsidR="00DD544F">
        <w:rPr>
          <w:rStyle w:val="FootnoteReference"/>
        </w:rPr>
        <w:footnoteReference w:id="5"/>
      </w:r>
      <w:r w:rsidR="00DD544F">
        <w:t xml:space="preserve"> </w:t>
      </w:r>
      <w:r>
        <w:t xml:space="preserve">   These would be already available assignments declared by States, such as the above </w:t>
      </w:r>
      <w:r w:rsidR="00BE4F31">
        <w:t>potential</w:t>
      </w:r>
      <w:r>
        <w:t xml:space="preserve"> channels </w:t>
      </w:r>
      <w:r w:rsidR="00EC6D1D">
        <w:t>in the United States</w:t>
      </w:r>
      <w:r>
        <w:t xml:space="preserve"> </w:t>
      </w:r>
      <w:r w:rsidR="00252882">
        <w:t>(</w:t>
      </w:r>
      <w:r>
        <w:t xml:space="preserve">and </w:t>
      </w:r>
      <w:r w:rsidR="00252882">
        <w:t xml:space="preserve">any </w:t>
      </w:r>
      <w:r>
        <w:t>other</w:t>
      </w:r>
      <w:r w:rsidR="00252882">
        <w:t>s</w:t>
      </w:r>
      <w:r>
        <w:t xml:space="preserve"> the FAA is considering for VHF voice in the United States</w:t>
      </w:r>
      <w:r w:rsidR="00252882">
        <w:t>)</w:t>
      </w:r>
      <w:r>
        <w:t>.  The ICAO NAC</w:t>
      </w:r>
      <w:r w:rsidR="00146A4E">
        <w:t>C</w:t>
      </w:r>
      <w:r>
        <w:t xml:space="preserve"> office would then compile these to identify an initial list of common frequencies that might be suitable.  </w:t>
      </w:r>
    </w:p>
    <w:p w14:paraId="6D734D9B" w14:textId="7986C420" w:rsidR="00DA5BD2" w:rsidRDefault="007F61BE" w:rsidP="00DA5BD2">
      <w:pPr>
        <w:pStyle w:val="2para"/>
      </w:pPr>
      <w:r>
        <w:t>Once VHF SATCOM operators are assigned, these can be tracked by the ICAO NAC</w:t>
      </w:r>
      <w:r w:rsidR="00146A4E">
        <w:t>C</w:t>
      </w:r>
      <w:r>
        <w:t xml:space="preserve"> office in a suitable COM table. The work would also be coordinated with the NAT SPG to ensure the NAT system is suitably covered and frequency handover procedure</w:t>
      </w:r>
      <w:r w:rsidR="007C18AE">
        <w:t>s</w:t>
      </w:r>
      <w:r>
        <w:t xml:space="preserve"> are </w:t>
      </w:r>
      <w:r w:rsidR="00DA5BD2">
        <w:t>known</w:t>
      </w:r>
      <w:r>
        <w:t xml:space="preserve"> for aircraft entering and exiting the North Atlantic oceanic FIRs.</w:t>
      </w:r>
      <w:r w:rsidR="00C10EF5">
        <w:t xml:space="preserve">  </w:t>
      </w:r>
      <w:r>
        <w:t>Additionally</w:t>
      </w:r>
      <w:r w:rsidR="00C10EF5">
        <w:t>,</w:t>
      </w:r>
      <w:r>
        <w:t xml:space="preserve"> national</w:t>
      </w:r>
      <w:r w:rsidR="00FC220D">
        <w:t>-</w:t>
      </w:r>
      <w:r>
        <w:t xml:space="preserve">only assignment may be feasible if agreement can be reached with </w:t>
      </w:r>
      <w:r w:rsidR="00EB353A">
        <w:t>neighbouring</w:t>
      </w:r>
      <w:r>
        <w:t xml:space="preserve"> States under their agreed terms.</w:t>
      </w:r>
      <w:r w:rsidR="00DA5BD2" w:rsidRPr="00DA5BD2">
        <w:t xml:space="preserve"> </w:t>
      </w:r>
    </w:p>
    <w:p w14:paraId="6A8400FA" w14:textId="0389A8E7" w:rsidR="00EB353A" w:rsidRDefault="00EB353A" w:rsidP="00EB353A">
      <w:pPr>
        <w:pStyle w:val="1Heading"/>
      </w:pPr>
      <w:r>
        <w:t>FREQUENCY COORDINATOR PROCESS</w:t>
      </w:r>
    </w:p>
    <w:p w14:paraId="7EB9FC81" w14:textId="4D0557AF" w:rsidR="00EB353A" w:rsidRDefault="00EB353A">
      <w:pPr>
        <w:pStyle w:val="2para"/>
      </w:pPr>
      <w:r>
        <w:t xml:space="preserve">While the US Government under the FAA would plan for ATC voice assignments, frequency requests for AOC and VHF datalink under ASRI would likely follow a modified existing procedure for assignment.  The following is based on that assumption, noting that no policy has been considered at this time.  </w:t>
      </w:r>
    </w:p>
    <w:p w14:paraId="4018CA4A" w14:textId="6E71C828" w:rsidR="00EB353A" w:rsidRDefault="00EB353A" w:rsidP="00EB353A">
      <w:pPr>
        <w:pStyle w:val="2para"/>
      </w:pPr>
      <w:r>
        <w:t>Firstly, ASRI would use its US Aeronautical Frequency Committee (AFC) industry advisory board to implement a suitable US channel plan and necessary procedures for VHF SATCOM.</w:t>
      </w:r>
      <w:r w:rsidR="00BB68B0">
        <w:rPr>
          <w:rStyle w:val="FootnoteReference"/>
        </w:rPr>
        <w:footnoteReference w:id="6"/>
      </w:r>
      <w:r w:rsidR="00BB68B0">
        <w:t xml:space="preserve"> </w:t>
      </w:r>
      <w:r>
        <w:t xml:space="preserve"> With the potential for multiple VHF SATCOM operators and limited available channels, this policy would recognize that VHF SATCOM frequency demand will likely significantly exceed what is available.  Therefore, the </w:t>
      </w:r>
      <w:r w:rsidR="00EC07F6">
        <w:t>AFC</w:t>
      </w:r>
      <w:r>
        <w:t xml:space="preserve"> </w:t>
      </w:r>
      <w:r w:rsidR="008E2D1F">
        <w:t>should address</w:t>
      </w:r>
      <w:r>
        <w:t xml:space="preserve"> how all VHF SATCOM operators could be accommodated in the limited available spectrum in a non-discriminatory manner.  These would include:</w:t>
      </w:r>
    </w:p>
    <w:p w14:paraId="7C991B7C" w14:textId="46F0BFAF" w:rsidR="00882809" w:rsidRDefault="00882809" w:rsidP="00EB353A">
      <w:pPr>
        <w:pStyle w:val="3para"/>
      </w:pPr>
      <w:r>
        <w:t>Channel plans</w:t>
      </w:r>
      <w:r w:rsidR="008E2D1F">
        <w:t>.</w:t>
      </w:r>
      <w:r>
        <w:rPr>
          <w:rStyle w:val="FootnoteReference"/>
        </w:rPr>
        <w:footnoteReference w:id="7"/>
      </w:r>
    </w:p>
    <w:p w14:paraId="671A5AD8" w14:textId="77777777" w:rsidR="00FB3C58" w:rsidRDefault="00FB3C58" w:rsidP="00FB3C58">
      <w:pPr>
        <w:pStyle w:val="3para"/>
      </w:pPr>
      <w:r>
        <w:t>Adjacent channel planning considerations.</w:t>
      </w:r>
    </w:p>
    <w:p w14:paraId="791BFCE3" w14:textId="1254F603" w:rsidR="00FB3C58" w:rsidRDefault="00FB3C58" w:rsidP="00FB3C58">
      <w:pPr>
        <w:pStyle w:val="3para"/>
      </w:pPr>
      <w:r>
        <w:t xml:space="preserve">Channel planning criteria </w:t>
      </w:r>
      <w:r w:rsidR="008F7C1C">
        <w:t xml:space="preserve">for potential </w:t>
      </w:r>
      <w:r>
        <w:t>co-frequency satellite and terrestrial assignments.</w:t>
      </w:r>
    </w:p>
    <w:p w14:paraId="59918273" w14:textId="04ABD1AB" w:rsidR="00FB3C58" w:rsidRDefault="00FB3C58" w:rsidP="00FB3C58">
      <w:pPr>
        <w:pStyle w:val="3para"/>
      </w:pPr>
      <w:r>
        <w:t xml:space="preserve">Justification criteria for requesting additional </w:t>
      </w:r>
      <w:r w:rsidR="008F7C1C">
        <w:t xml:space="preserve">SATCOM </w:t>
      </w:r>
      <w:r>
        <w:t>channels.</w:t>
      </w:r>
    </w:p>
    <w:p w14:paraId="77A2675C" w14:textId="563CCF37" w:rsidR="00FB3C58" w:rsidRDefault="008F7C1C" w:rsidP="00FB3C58">
      <w:pPr>
        <w:pStyle w:val="3para"/>
      </w:pPr>
      <w:r>
        <w:t>SATCOM c</w:t>
      </w:r>
      <w:r w:rsidR="00FB3C58">
        <w:t>hannels usage reporting requirements.</w:t>
      </w:r>
    </w:p>
    <w:p w14:paraId="549AF154" w14:textId="1CF6663B" w:rsidR="00EB353A" w:rsidRDefault="00EB353A" w:rsidP="00EB353A">
      <w:pPr>
        <w:pStyle w:val="3para"/>
      </w:pPr>
      <w:r>
        <w:t>Potential limits/future rebalancing of different operators’ assignments</w:t>
      </w:r>
      <w:r w:rsidR="008E2D1F">
        <w:t>.</w:t>
      </w:r>
    </w:p>
    <w:p w14:paraId="63664A54" w14:textId="7C40F958" w:rsidR="00EB353A" w:rsidRDefault="00EB353A" w:rsidP="00EB353A">
      <w:pPr>
        <w:pStyle w:val="3para"/>
      </w:pPr>
      <w:r>
        <w:t>Interference assessment and resolution process</w:t>
      </w:r>
      <w:r w:rsidR="008E2D1F">
        <w:t>.</w:t>
      </w:r>
    </w:p>
    <w:p w14:paraId="319F565E" w14:textId="0D12E915" w:rsidR="00EB353A" w:rsidRDefault="00EB353A">
      <w:pPr>
        <w:pStyle w:val="2para"/>
      </w:pPr>
      <w:r>
        <w:t xml:space="preserve">Once national licensing rules and industry advised policies are established, a potential VHF SATCOM operator would apply to ASRI for an assignment in accordance with </w:t>
      </w:r>
      <w:r w:rsidR="00617191">
        <w:t>the</w:t>
      </w:r>
      <w:r>
        <w:t xml:space="preserve"> regional channel plan, or if any national exceptions were available.</w:t>
      </w:r>
      <w:r w:rsidR="00E22DF2" w:rsidRPr="00E22DF2">
        <w:rPr>
          <w:rStyle w:val="FootnoteReference"/>
        </w:rPr>
        <w:t xml:space="preserve"> </w:t>
      </w:r>
      <w:r w:rsidR="00E22DF2">
        <w:rPr>
          <w:rStyle w:val="FootnoteReference"/>
        </w:rPr>
        <w:footnoteReference w:id="8"/>
      </w:r>
      <w:r>
        <w:t xml:space="preserve">   ASRI would then assign them under the allowed national licensing process (see below).  Licensing fees would also need to be addressed</w:t>
      </w:r>
      <w:r w:rsidR="00A8008B">
        <w:t>.</w:t>
      </w:r>
      <w:r>
        <w:t xml:space="preserve"> </w:t>
      </w:r>
      <w:r w:rsidR="00A8008B">
        <w:t>These</w:t>
      </w:r>
      <w:r>
        <w:t xml:space="preserve"> </w:t>
      </w:r>
      <w:r w:rsidR="000330E5">
        <w:t>could</w:t>
      </w:r>
      <w:r>
        <w:t xml:space="preserve"> be based on the cost for coverage of a terrestrial station multiplied </w:t>
      </w:r>
      <w:r w:rsidR="00A8008B">
        <w:t xml:space="preserve">by </w:t>
      </w:r>
      <w:r w:rsidR="00AF227A">
        <w:t>a scaling factor</w:t>
      </w:r>
      <w:r>
        <w:t xml:space="preserve"> based on the </w:t>
      </w:r>
      <w:r w:rsidR="00A3261E">
        <w:t xml:space="preserve">ratio of a </w:t>
      </w:r>
      <w:r>
        <w:t xml:space="preserve">SATCOM operators declared coverage </w:t>
      </w:r>
      <w:r w:rsidR="00EF57B7">
        <w:t xml:space="preserve">area </w:t>
      </w:r>
      <w:r w:rsidR="005A64FA">
        <w:t xml:space="preserve">to the standard </w:t>
      </w:r>
      <w:r w:rsidR="00E91F66">
        <w:t>terrestrial station coverage</w:t>
      </w:r>
      <w:r w:rsidR="00EF57B7">
        <w:t xml:space="preserve"> area</w:t>
      </w:r>
      <w:r w:rsidR="00E91F66">
        <w:t>.</w:t>
      </w:r>
      <w:r>
        <w:t xml:space="preserve"> (with any suitable modifications for the complexity of coordinating such a service).</w:t>
      </w:r>
      <w:r w:rsidR="00995105">
        <w:rPr>
          <w:rStyle w:val="FootnoteReference"/>
        </w:rPr>
        <w:footnoteReference w:id="9"/>
      </w:r>
      <w:r w:rsidR="00995105">
        <w:t xml:space="preserve"> </w:t>
      </w:r>
      <w:r>
        <w:t xml:space="preserve">    </w:t>
      </w:r>
    </w:p>
    <w:p w14:paraId="31C1261D" w14:textId="3D8B6E23" w:rsidR="00EB353A" w:rsidRDefault="00F77B05" w:rsidP="00EB353A">
      <w:pPr>
        <w:pStyle w:val="2para"/>
      </w:pPr>
      <w:r>
        <w:t>During</w:t>
      </w:r>
      <w:r w:rsidR="00EB353A">
        <w:t xml:space="preserve"> this process, ASRI would liaise with the ICAO NAC</w:t>
      </w:r>
      <w:r w:rsidR="0005072A">
        <w:t>C</w:t>
      </w:r>
      <w:r w:rsidR="00EB353A">
        <w:t xml:space="preserve"> regional office to inform and update on the necessary work and outcomes, while the US regulators (FCC and NTIA) would engage with the </w:t>
      </w:r>
      <w:r>
        <w:t>neighbouring</w:t>
      </w:r>
      <w:r w:rsidR="00EB353A">
        <w:t xml:space="preserve"> Administrations should bilateral coordination be required.  </w:t>
      </w:r>
      <w:r>
        <w:t>Once an assignment is finalized, the FAA could inform the ICAO NAC</w:t>
      </w:r>
      <w:r w:rsidR="00750ADF">
        <w:t>C</w:t>
      </w:r>
      <w:r w:rsidR="00346FC8">
        <w:t xml:space="preserve"> O</w:t>
      </w:r>
      <w:r>
        <w:t xml:space="preserve">ffice to update the relevant COM table.  </w:t>
      </w:r>
    </w:p>
    <w:p w14:paraId="4385F14F" w14:textId="774302CE" w:rsidR="00EB353A" w:rsidRDefault="00C812BF" w:rsidP="00882809">
      <w:pPr>
        <w:pStyle w:val="1Heading"/>
      </w:pPr>
      <w:r>
        <w:t>US LICENSING FRAMEWORK</w:t>
      </w:r>
    </w:p>
    <w:p w14:paraId="17F828DE" w14:textId="6F8ECDF8" w:rsidR="00C812BF" w:rsidRDefault="00845DD9" w:rsidP="00845DD9">
      <w:pPr>
        <w:pStyle w:val="2para"/>
      </w:pPr>
      <w:r w:rsidRPr="00845DD9">
        <w:t>Recent developments in the US to augment terrestrial cellular services with SATCOM has encouraged the development of a regulatory framework for the licensing of SATCOM assignments in a terrestrial band. The framework being developed for the augmentation of the cellular service may provide a baseline for the augmentation of the VHF service.</w:t>
      </w:r>
      <w:r w:rsidR="00DF4DD9" w:rsidRPr="00DF4DD9">
        <w:t xml:space="preserve">  The US FCC </w:t>
      </w:r>
      <w:r w:rsidR="00572517">
        <w:t>r</w:t>
      </w:r>
      <w:r w:rsidR="00DF4DD9" w:rsidRPr="00DF4DD9">
        <w:t xml:space="preserve">ecently released a Supplemental Coverage from Space (SCS) proposal for cellular systems that could </w:t>
      </w:r>
      <w:r w:rsidR="00A2566E">
        <w:t>have some</w:t>
      </w:r>
      <w:r w:rsidR="00DF4DD9" w:rsidRPr="00DF4DD9">
        <w:t xml:space="preserve"> </w:t>
      </w:r>
      <w:r w:rsidR="00A2566E" w:rsidRPr="00DF4DD9">
        <w:t>applicab</w:t>
      </w:r>
      <w:r w:rsidR="00A2566E">
        <w:t>ility</w:t>
      </w:r>
      <w:r w:rsidR="00DF4DD9" w:rsidRPr="00DF4DD9">
        <w:t>.</w:t>
      </w:r>
      <w:r w:rsidR="00A2566E">
        <w:rPr>
          <w:rStyle w:val="FootnoteReference"/>
        </w:rPr>
        <w:footnoteReference w:id="10"/>
      </w:r>
      <w:r w:rsidR="00DF4DD9" w:rsidRPr="00DF4DD9">
        <w:t xml:space="preserve">   In that proposal, terrestrial licensees can enter into agreements with SATCOM operators to provide SATCOM area assignments.  A terrestrial licensee that is the only license for those frequencies can then effectively sub-lease assignments to SATCOM operators on a shared basis without significant changes the existing band structure while allowing greater flexibility for industry to manage the usage.  While still an early consideration and planned for different systems and their requirements, ASRI filed comments supporting a </w:t>
      </w:r>
      <w:r w:rsidR="00EE3EAC">
        <w:t xml:space="preserve">development of a </w:t>
      </w:r>
      <w:r w:rsidR="00DF4DD9" w:rsidRPr="00DF4DD9">
        <w:t>similar concept for the VHF band if WRC-23 Agenda Item 1.7 is approved</w:t>
      </w:r>
      <w:r w:rsidR="00DF4DD9">
        <w:t>.</w:t>
      </w:r>
      <w:r w:rsidR="00CF04E5">
        <w:rPr>
          <w:rStyle w:val="FootnoteReference"/>
        </w:rPr>
        <w:footnoteReference w:id="11"/>
      </w:r>
    </w:p>
    <w:p w14:paraId="2F00B452" w14:textId="10E1B0BF" w:rsidR="00DF4DD9" w:rsidRDefault="00614E28" w:rsidP="00DF4DD9">
      <w:pPr>
        <w:pStyle w:val="1Heading"/>
      </w:pPr>
      <w:r w:rsidRPr="00614E28">
        <w:t>ADDITIONAL CONSIDERATIONS</w:t>
      </w:r>
    </w:p>
    <w:p w14:paraId="093DA2C5" w14:textId="3B739357" w:rsidR="0007272E" w:rsidRDefault="00536F5D" w:rsidP="0007272E">
      <w:pPr>
        <w:pStyle w:val="2para"/>
      </w:pPr>
      <w:r>
        <w:t>There is a need</w:t>
      </w:r>
      <w:r w:rsidR="0007272E">
        <w:t xml:space="preserve"> </w:t>
      </w:r>
      <w:r w:rsidR="00167F97">
        <w:t>to recognize that</w:t>
      </w:r>
      <w:r w:rsidR="0007272E">
        <w:t xml:space="preserve"> available</w:t>
      </w:r>
      <w:r w:rsidR="00167F97">
        <w:t xml:space="preserve"> aero VHF</w:t>
      </w:r>
      <w:r w:rsidR="0007272E">
        <w:t xml:space="preserve"> spectrum is minimal</w:t>
      </w:r>
      <w:r w:rsidR="00D41884">
        <w:t xml:space="preserve"> in several areas</w:t>
      </w:r>
      <w:r w:rsidR="0007272E">
        <w:t xml:space="preserve"> and each SATCOM constellation may not be used to its full frequency capacity</w:t>
      </w:r>
      <w:r w:rsidR="00D41884">
        <w:t xml:space="preserve"> in those locations</w:t>
      </w:r>
      <w:r w:rsidR="0007272E">
        <w:t xml:space="preserve">.  This will vary depending on the number of SATCOM operators wishing to provide service in the same area (and </w:t>
      </w:r>
      <w:r w:rsidR="00167F97">
        <w:t xml:space="preserve">if they </w:t>
      </w:r>
      <w:r w:rsidR="0007272E">
        <w:t>can share SATCOM assignments</w:t>
      </w:r>
      <w:r w:rsidR="00167F97">
        <w:t xml:space="preserve"> with terrestrial or each other</w:t>
      </w:r>
      <w:r w:rsidR="0007272E">
        <w:t>).  What is the expected number of SATCOM operators</w:t>
      </w:r>
      <w:r>
        <w:t xml:space="preserve"> and is there any additional methods to help manage such multiple providers</w:t>
      </w:r>
      <w:r w:rsidR="0007272E">
        <w:t>?</w:t>
      </w:r>
    </w:p>
    <w:p w14:paraId="4EB604F8" w14:textId="490A7875" w:rsidR="00614E28" w:rsidRDefault="0007272E" w:rsidP="0007272E">
      <w:pPr>
        <w:pStyle w:val="2para"/>
      </w:pPr>
      <w:r>
        <w:t xml:space="preserve">Coordination between different </w:t>
      </w:r>
      <w:r w:rsidR="00BF066E">
        <w:t>Administrations</w:t>
      </w:r>
      <w:r>
        <w:t xml:space="preserve"> may be complex given geo</w:t>
      </w:r>
      <w:r w:rsidR="00895D87">
        <w:t>graphical</w:t>
      </w:r>
      <w:r>
        <w:t xml:space="preserve"> and political considerations</w:t>
      </w:r>
      <w:r w:rsidR="00BF066E">
        <w:t xml:space="preserve"> and the n</w:t>
      </w:r>
      <w:r w:rsidR="00895D87">
        <w:t>e</w:t>
      </w:r>
      <w:r w:rsidR="00BF066E">
        <w:t>ed to coordinate between ICAO regions for overlapping coverage</w:t>
      </w:r>
      <w:r>
        <w:t xml:space="preserve">.  This </w:t>
      </w:r>
      <w:r w:rsidR="00CF04E5">
        <w:t xml:space="preserve">would </w:t>
      </w:r>
      <w:r w:rsidR="00F314C8">
        <w:t>require</w:t>
      </w:r>
      <w:r>
        <w:t xml:space="preserve"> a global review </w:t>
      </w:r>
      <w:r w:rsidR="00F314C8">
        <w:t xml:space="preserve">of </w:t>
      </w:r>
      <w:r>
        <w:t xml:space="preserve">ICAO level policies between </w:t>
      </w:r>
      <w:proofErr w:type="gramStart"/>
      <w:r>
        <w:t>regions</w:t>
      </w:r>
      <w:proofErr w:type="gramEnd"/>
      <w:r>
        <w:t xml:space="preserve"> and it is recommended that the ICAO handbook Vol. II be expanded to consider VHF SATCOM planning criteria before it is fully deployed, including polar region coverage and coordination.  </w:t>
      </w:r>
    </w:p>
    <w:p w14:paraId="5A90FA61" w14:textId="77777777" w:rsidR="00C956B3" w:rsidRDefault="00C956B3" w:rsidP="00C956B3">
      <w:pPr>
        <w:pStyle w:val="1Heading"/>
        <w:numPr>
          <w:ilvl w:val="0"/>
          <w:numId w:val="0"/>
        </w:numPr>
        <w:ind w:left="720"/>
      </w:pPr>
    </w:p>
    <w:p w14:paraId="24C0143F" w14:textId="1048F94F" w:rsidR="0007272E" w:rsidRDefault="0007272E" w:rsidP="0007272E">
      <w:pPr>
        <w:pStyle w:val="1Heading"/>
      </w:pPr>
      <w:r>
        <w:t>SUMMARY</w:t>
      </w:r>
    </w:p>
    <w:p w14:paraId="3E16E8C2" w14:textId="5612A345" w:rsidR="0007272E" w:rsidRPr="0007272E" w:rsidRDefault="00CF04E5" w:rsidP="0007272E">
      <w:pPr>
        <w:pStyle w:val="2para"/>
      </w:pPr>
      <w:r>
        <w:t xml:space="preserve">The </w:t>
      </w:r>
      <w:r w:rsidR="00490DC2">
        <w:t xml:space="preserve">potential </w:t>
      </w:r>
      <w:r>
        <w:t xml:space="preserve">introduction of VHF SATCOM </w:t>
      </w:r>
      <w:r w:rsidR="00490DC2">
        <w:t>into the 117</w:t>
      </w:r>
      <w:r w:rsidR="009F700D">
        <w:t>.</w:t>
      </w:r>
      <w:r w:rsidR="00490DC2">
        <w:t xml:space="preserve">975 to 137 MHz band will </w:t>
      </w:r>
      <w:r w:rsidR="004E2DAC">
        <w:t>require</w:t>
      </w:r>
      <w:r w:rsidR="00490DC2">
        <w:t xml:space="preserve"> </w:t>
      </w:r>
      <w:r w:rsidR="009D233C">
        <w:t>several</w:t>
      </w:r>
      <w:r w:rsidR="00490DC2">
        <w:t xml:space="preserve"> aspects </w:t>
      </w:r>
      <w:r w:rsidR="004E2DAC">
        <w:t xml:space="preserve">to be </w:t>
      </w:r>
      <w:r w:rsidR="00490DC2">
        <w:t xml:space="preserve">addressed </w:t>
      </w:r>
      <w:r w:rsidR="004E2DAC">
        <w:t xml:space="preserve">that have </w:t>
      </w:r>
      <w:r w:rsidR="00490DC2">
        <w:t xml:space="preserve">not previously </w:t>
      </w:r>
      <w:r w:rsidR="004E2DAC">
        <w:t>been considered in</w:t>
      </w:r>
      <w:r w:rsidR="00490DC2">
        <w:t xml:space="preserve"> the current or planned terrestrial assignments.  </w:t>
      </w:r>
      <w:r w:rsidR="004E2DAC">
        <w:t xml:space="preserve">It will not be a simple drop in and use system.  </w:t>
      </w:r>
      <w:r w:rsidR="009D233C">
        <w:t xml:space="preserve">While at the early stages, these </w:t>
      </w:r>
      <w:r w:rsidR="004E2DAC">
        <w:t xml:space="preserve">aspects </w:t>
      </w:r>
      <w:r w:rsidR="009D233C">
        <w:t xml:space="preserve">should now start to be highlighted so any introduction of VHF SATCOM is properly managed and does not affect </w:t>
      </w:r>
      <w:r w:rsidR="00CA10EA">
        <w:t xml:space="preserve">terrestrial VHF usage that is a fundamental system for aviation ATM and is highly congested in several areas of the world.  </w:t>
      </w:r>
    </w:p>
    <w:p w14:paraId="51C01F08" w14:textId="77777777" w:rsidR="00770160" w:rsidRDefault="00770160">
      <w:pPr>
        <w:pStyle w:val="1Heading"/>
      </w:pPr>
      <w:r>
        <w:t>ACTION BY THE MEETING</w:t>
      </w:r>
    </w:p>
    <w:p w14:paraId="527350B8" w14:textId="77777777" w:rsidR="00770160" w:rsidRDefault="00770160">
      <w:pPr>
        <w:pStyle w:val="2para"/>
      </w:pPr>
      <w:r>
        <w:t>The meeting is invited to:</w:t>
      </w:r>
    </w:p>
    <w:p w14:paraId="2CEC8261" w14:textId="02D991F5" w:rsidR="00770160" w:rsidRDefault="00770160">
      <w:pPr>
        <w:pStyle w:val="Listabc"/>
      </w:pPr>
      <w:r>
        <w:rPr>
          <w:lang w:val="en-GB"/>
        </w:rPr>
        <w:t>n</w:t>
      </w:r>
      <w:r>
        <w:t>ote and review the contents of this working paper;</w:t>
      </w:r>
      <w:r w:rsidR="000436D4">
        <w:t xml:space="preserve"> and</w:t>
      </w:r>
    </w:p>
    <w:p w14:paraId="08528D6C" w14:textId="494E54DA" w:rsidR="00770160" w:rsidRDefault="00CA10EA">
      <w:pPr>
        <w:pStyle w:val="Listabc"/>
      </w:pPr>
      <w:r>
        <w:t xml:space="preserve">consider the </w:t>
      </w:r>
      <w:r w:rsidR="000436D4">
        <w:t>aspects raised and provide feedback to the author to further info</w:t>
      </w:r>
      <w:r w:rsidR="00D41884">
        <w:t>r</w:t>
      </w:r>
      <w:r w:rsidR="000436D4">
        <w:t xml:space="preserve">m </w:t>
      </w:r>
      <w:r w:rsidR="00D41884">
        <w:t xml:space="preserve">potential VHF SATCOM management </w:t>
      </w:r>
      <w:r w:rsidR="000436D4">
        <w:t>process</w:t>
      </w:r>
      <w:r w:rsidR="00D41884">
        <w:t>es</w:t>
      </w:r>
      <w:r w:rsidR="000436D4">
        <w:t>.</w:t>
      </w:r>
    </w:p>
    <w:p w14:paraId="620814F7" w14:textId="6FC11CA6" w:rsidR="00423C6F" w:rsidRDefault="00423C6F" w:rsidP="000436D4">
      <w:pPr>
        <w:pStyle w:val="Listabc"/>
        <w:numPr>
          <w:ilvl w:val="0"/>
          <w:numId w:val="0"/>
        </w:numPr>
        <w:ind w:left="1800" w:hanging="360"/>
      </w:pPr>
    </w:p>
    <w:p w14:paraId="6B19326D" w14:textId="77777777" w:rsidR="00E5621A" w:rsidRDefault="00E5621A" w:rsidP="00423C6F">
      <w:pPr>
        <w:pStyle w:val="Listabc"/>
        <w:numPr>
          <w:ilvl w:val="0"/>
          <w:numId w:val="0"/>
        </w:numPr>
      </w:pPr>
    </w:p>
    <w:p w14:paraId="40B0729D" w14:textId="77777777" w:rsidR="00A12CBA" w:rsidRDefault="00770160" w:rsidP="00E91DF2">
      <w:pPr>
        <w:spacing w:before="600"/>
        <w:jc w:val="center"/>
      </w:pPr>
      <w:r>
        <w:t>— END —</w:t>
      </w:r>
    </w:p>
    <w:sectPr w:rsidR="00A12CBA">
      <w:headerReference w:type="even" r:id="rId11"/>
      <w:headerReference w:type="default" r:id="rId12"/>
      <w:headerReference w:type="first" r:id="rId13"/>
      <w:footerReference w:type="first" r:id="rId14"/>
      <w:pgSz w:w="12242" w:h="15842" w:code="1"/>
      <w:pgMar w:top="1627" w:right="1247" w:bottom="1440" w:left="1247" w:header="1009"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E58E0" w14:textId="77777777" w:rsidR="00F35D7D" w:rsidRDefault="00F35D7D">
      <w:r>
        <w:separator/>
      </w:r>
    </w:p>
  </w:endnote>
  <w:endnote w:type="continuationSeparator" w:id="0">
    <w:p w14:paraId="19EF9FE4" w14:textId="77777777" w:rsidR="00F35D7D" w:rsidRDefault="00F35D7D">
      <w:r>
        <w:continuationSeparator/>
      </w:r>
    </w:p>
  </w:endnote>
  <w:endnote w:type="continuationNotice" w:id="1">
    <w:p w14:paraId="573AF7C4" w14:textId="77777777" w:rsidR="00F35D7D" w:rsidRDefault="00F35D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25A4D" w14:textId="77777777" w:rsidR="00770160" w:rsidRDefault="00770160">
    <w:pPr>
      <w:pStyle w:val="Footer"/>
      <w:rPr>
        <w:sz w:val="18"/>
        <w:lang w:val="fr-FR"/>
      </w:rPr>
    </w:pPr>
    <w:r>
      <w:rPr>
        <w:sz w:val="18"/>
        <w:lang w:val="fr-FR"/>
      </w:rPr>
      <w:t>(</w:t>
    </w:r>
    <w:r>
      <w:rPr>
        <w:sz w:val="18"/>
        <w:lang w:val="en-US"/>
      </w:rPr>
      <w:fldChar w:fldCharType="begin"/>
    </w:r>
    <w:r>
      <w:rPr>
        <w:sz w:val="18"/>
        <w:lang w:val="fr-FR"/>
      </w:rPr>
      <w:instrText xml:space="preserve"> NUMPAGES  \* MERGEFORMAT </w:instrText>
    </w:r>
    <w:r>
      <w:rPr>
        <w:sz w:val="18"/>
        <w:lang w:val="en-US"/>
      </w:rPr>
      <w:fldChar w:fldCharType="separate"/>
    </w:r>
    <w:r w:rsidR="00067C56">
      <w:rPr>
        <w:noProof/>
        <w:sz w:val="18"/>
        <w:lang w:val="fr-FR"/>
      </w:rPr>
      <w:t>2</w:t>
    </w:r>
    <w:r>
      <w:rPr>
        <w:sz w:val="18"/>
        <w:lang w:val="en-US"/>
      </w:rPr>
      <w:fldChar w:fldCharType="end"/>
    </w:r>
    <w:r>
      <w:rPr>
        <w:sz w:val="18"/>
        <w:lang w:val="fr-FR"/>
      </w:rPr>
      <w:t xml:space="preserve"> pages)</w:t>
    </w:r>
  </w:p>
  <w:p w14:paraId="0ADF4339" w14:textId="6D6F1422" w:rsidR="00770160" w:rsidRPr="004409B4" w:rsidRDefault="00770160">
    <w:pPr>
      <w:pStyle w:val="Footer"/>
      <w:rPr>
        <w:lang w:val="en-CA"/>
      </w:rPr>
    </w:pPr>
    <w:r>
      <w:rPr>
        <w:sz w:val="18"/>
        <w:lang w:val="en-US"/>
      </w:rPr>
      <w:fldChar w:fldCharType="begin"/>
    </w:r>
    <w:r w:rsidRPr="004409B4">
      <w:rPr>
        <w:sz w:val="18"/>
        <w:lang w:val="en-CA"/>
      </w:rPr>
      <w:instrText xml:space="preserve"> FILENAME  \* MERGEFORMAT </w:instrText>
    </w:r>
    <w:r>
      <w:rPr>
        <w:sz w:val="18"/>
        <w:lang w:val="en-US"/>
      </w:rPr>
      <w:fldChar w:fldCharType="separate"/>
    </w:r>
    <w:r w:rsidR="004409B4" w:rsidRPr="004409B4">
      <w:rPr>
        <w:noProof/>
        <w:sz w:val="18"/>
        <w:lang w:val="en-CA"/>
      </w:rPr>
      <w:t>FSMP-WG17-WP19_Early Thoughts on US VHF SATCOM Implementation.docx</w:t>
    </w:r>
    <w:r>
      <w:rPr>
        <w:sz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7E655" w14:textId="77777777" w:rsidR="00F35D7D" w:rsidRDefault="00F35D7D">
      <w:r>
        <w:separator/>
      </w:r>
    </w:p>
  </w:footnote>
  <w:footnote w:type="continuationSeparator" w:id="0">
    <w:p w14:paraId="437B6A08" w14:textId="77777777" w:rsidR="00F35D7D" w:rsidRDefault="00F35D7D">
      <w:r>
        <w:continuationSeparator/>
      </w:r>
    </w:p>
  </w:footnote>
  <w:footnote w:type="continuationNotice" w:id="1">
    <w:p w14:paraId="33F4C9E8" w14:textId="77777777" w:rsidR="00F35D7D" w:rsidRDefault="00F35D7D"/>
  </w:footnote>
  <w:footnote w:id="2">
    <w:p w14:paraId="3AF15620" w14:textId="0D01449C" w:rsidR="00637E86" w:rsidRPr="00637E86" w:rsidRDefault="00637E86">
      <w:pPr>
        <w:pStyle w:val="FootnoteText"/>
        <w:rPr>
          <w:lang w:val="en-US"/>
        </w:rPr>
      </w:pPr>
      <w:r>
        <w:rPr>
          <w:rStyle w:val="FootnoteReference"/>
        </w:rPr>
        <w:footnoteRef/>
      </w:r>
      <w:r>
        <w:t xml:space="preserve"> Current concerns raised have focused on </w:t>
      </w:r>
      <w:r w:rsidRPr="00637E86">
        <w:t>latency and protocol compatibility for the extended range</w:t>
      </w:r>
      <w:r>
        <w:t xml:space="preserve"> on VDLM2 SATCOM compared to terrestrial VDLM2</w:t>
      </w:r>
      <w:r w:rsidR="00346FC8">
        <w:t>.</w:t>
      </w:r>
    </w:p>
  </w:footnote>
  <w:footnote w:id="3">
    <w:p w14:paraId="48E6F099" w14:textId="77777777" w:rsidR="004C54CB" w:rsidRDefault="004C54CB" w:rsidP="004C54CB">
      <w:pPr>
        <w:pStyle w:val="FootnoteText"/>
      </w:pPr>
      <w:r>
        <w:rPr>
          <w:rStyle w:val="FootnoteReference"/>
        </w:rPr>
        <w:footnoteRef/>
      </w:r>
      <w:r>
        <w:t xml:space="preserve"> See previous information on VDLM2 planning in the United States in FSMP WG/06 IP04: </w:t>
      </w:r>
      <w:hyperlink r:id="rId1" w:history="1">
        <w:r w:rsidRPr="000B0BF9">
          <w:rPr>
            <w:rStyle w:val="Hyperlink"/>
          </w:rPr>
          <w:t>https://www.icao.int/safety/FSMP/MeetingDocs/FSMP%20WG6/IP/FSMP-WG06-IP04_Channel%20Plan%20for%20136-136.975%20MHz%20Band.DOCX</w:t>
        </w:r>
      </w:hyperlink>
      <w:r>
        <w:t xml:space="preserve"> </w:t>
      </w:r>
    </w:p>
  </w:footnote>
  <w:footnote w:id="4">
    <w:p w14:paraId="4EA13AE8" w14:textId="77777777" w:rsidR="00A22BDE" w:rsidRDefault="00A22BDE" w:rsidP="00A22BDE">
      <w:pPr>
        <w:pStyle w:val="FootnoteText"/>
      </w:pPr>
      <w:r>
        <w:rPr>
          <w:rStyle w:val="FootnoteReference"/>
        </w:rPr>
        <w:footnoteRef/>
      </w:r>
      <w:r>
        <w:t xml:space="preserve"> The assignments of 136.450 and 136.475 are currently restricted to US government usage.  </w:t>
      </w:r>
    </w:p>
  </w:footnote>
  <w:footnote w:id="5">
    <w:p w14:paraId="3ED289F7" w14:textId="5B6A2345" w:rsidR="00DD544F" w:rsidRDefault="00DD544F" w:rsidP="00DD544F">
      <w:pPr>
        <w:pStyle w:val="FootnoteText"/>
      </w:pPr>
      <w:r>
        <w:rPr>
          <w:rStyle w:val="FootnoteReference"/>
        </w:rPr>
        <w:footnoteRef/>
      </w:r>
      <w:r>
        <w:t xml:space="preserve"> Given the previously discussed FL100 restriction is for on the ground co-site and intermod</w:t>
      </w:r>
      <w:r w:rsidR="00B44875">
        <w:t>ulation</w:t>
      </w:r>
      <w:r>
        <w:t xml:space="preserve"> issues, this may be a </w:t>
      </w:r>
      <w:proofErr w:type="gramStart"/>
      <w:r>
        <w:t>State by State</w:t>
      </w:r>
      <w:proofErr w:type="gramEnd"/>
      <w:r>
        <w:t xml:space="preserve"> decision depending on their differing requirements.</w:t>
      </w:r>
    </w:p>
  </w:footnote>
  <w:footnote w:id="6">
    <w:p w14:paraId="23B6E449" w14:textId="56AF91F0" w:rsidR="00BB68B0" w:rsidRDefault="00BB68B0" w:rsidP="00BB68B0">
      <w:pPr>
        <w:pStyle w:val="FootnoteText"/>
      </w:pPr>
      <w:r>
        <w:rPr>
          <w:rStyle w:val="FootnoteReference"/>
        </w:rPr>
        <w:footnoteRef/>
      </w:r>
      <w:r>
        <w:t xml:space="preserve"> ASRI has been using the AFC since the 1950s to </w:t>
      </w:r>
      <w:r w:rsidR="00044017">
        <w:t xml:space="preserve">develop </w:t>
      </w:r>
      <w:r>
        <w:t>industry views and best practice to ensure the most equitable and efficient use of the HF and VHF spectrum.  A similar process has been ongoing for the last 15 years as terrestrial VDLM2 has evolved into the CPDLC functions.</w:t>
      </w:r>
    </w:p>
  </w:footnote>
  <w:footnote w:id="7">
    <w:p w14:paraId="532DBAE8" w14:textId="26D3D71E" w:rsidR="00882809" w:rsidRPr="00882809" w:rsidRDefault="00882809">
      <w:pPr>
        <w:pStyle w:val="FootnoteText"/>
        <w:rPr>
          <w:lang w:val="en-US"/>
        </w:rPr>
      </w:pPr>
      <w:r>
        <w:rPr>
          <w:rStyle w:val="FootnoteReference"/>
        </w:rPr>
        <w:footnoteRef/>
      </w:r>
      <w:r>
        <w:t xml:space="preserve"> This work would be used to inform the NAC</w:t>
      </w:r>
      <w:r w:rsidR="00D01C6E">
        <w:t>C</w:t>
      </w:r>
      <w:r>
        <w:t xml:space="preserve"> regional office of possible VHF SATCOM assignments useable in the region</w:t>
      </w:r>
      <w:r w:rsidR="00346FC8">
        <w:t>.</w:t>
      </w:r>
    </w:p>
  </w:footnote>
  <w:footnote w:id="8">
    <w:p w14:paraId="64D785C8" w14:textId="77777777" w:rsidR="00E22DF2" w:rsidRDefault="00E22DF2" w:rsidP="00E22DF2">
      <w:pPr>
        <w:pStyle w:val="FootnoteText"/>
      </w:pPr>
      <w:r>
        <w:rPr>
          <w:rStyle w:val="FootnoteReference"/>
        </w:rPr>
        <w:footnoteRef/>
      </w:r>
      <w:r>
        <w:t xml:space="preserve"> US States or territories like Hawaii and Guam may have different considerations in US channel planning.  </w:t>
      </w:r>
    </w:p>
  </w:footnote>
  <w:footnote w:id="9">
    <w:p w14:paraId="6253782B" w14:textId="77777777" w:rsidR="00995105" w:rsidRDefault="00995105" w:rsidP="00995105">
      <w:pPr>
        <w:pStyle w:val="FootnoteText"/>
      </w:pPr>
      <w:r>
        <w:rPr>
          <w:rStyle w:val="FootnoteReference"/>
        </w:rPr>
        <w:footnoteRef/>
      </w:r>
      <w:r>
        <w:t xml:space="preserve"> Noting that usable coverage will be significantly smaller than occupied coverage that ITU-R coordination is based upon, and therefore additional metrics may need to be developed to accurately capture this at the frequency coordinator level.</w:t>
      </w:r>
    </w:p>
  </w:footnote>
  <w:footnote w:id="10">
    <w:p w14:paraId="614AE211" w14:textId="77777777" w:rsidR="00A2566E" w:rsidRDefault="00A2566E" w:rsidP="00A2566E">
      <w:pPr>
        <w:pStyle w:val="FootnoteText"/>
      </w:pPr>
      <w:r>
        <w:rPr>
          <w:rStyle w:val="FootnoteReference"/>
        </w:rPr>
        <w:footnoteRef/>
      </w:r>
      <w:r>
        <w:t xml:space="preserve"> See FCC NPRM: </w:t>
      </w:r>
      <w:hyperlink r:id="rId2" w:history="1">
        <w:r w:rsidRPr="00C2511B">
          <w:rPr>
            <w:rStyle w:val="Hyperlink"/>
          </w:rPr>
          <w:t>https://docs.fcc.gov/public/attachments/FCC-23-22A1.pdf</w:t>
        </w:r>
      </w:hyperlink>
    </w:p>
  </w:footnote>
  <w:footnote w:id="11">
    <w:p w14:paraId="41201B33" w14:textId="77777777" w:rsidR="00CF04E5" w:rsidRDefault="00CF04E5" w:rsidP="00CF04E5">
      <w:pPr>
        <w:pStyle w:val="FootnoteText"/>
      </w:pPr>
      <w:r>
        <w:rPr>
          <w:rStyle w:val="FootnoteReference"/>
        </w:rPr>
        <w:footnoteRef/>
      </w:r>
      <w:r>
        <w:t xml:space="preserve"> See ASRI comments to FCC on SCS proposal: </w:t>
      </w:r>
      <w:proofErr w:type="gramStart"/>
      <w:r w:rsidRPr="00293167">
        <w:t>https://www.fcc.gov/ecfs/search/search-filings/filing/10512144417361</w:t>
      </w:r>
      <w:proofErr w:type="gram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B1716" w14:textId="660CD4B7" w:rsidR="00770160" w:rsidRDefault="000D26D5" w:rsidP="00F56F90">
    <w:pPr>
      <w:tabs>
        <w:tab w:val="center" w:pos="4876"/>
      </w:tabs>
      <w:spacing w:after="600"/>
    </w:pPr>
    <w:r>
      <w:t>FS</w:t>
    </w:r>
    <w:r w:rsidR="00725205">
      <w:t>MP</w:t>
    </w:r>
    <w:r w:rsidR="007E6A06">
      <w:t>-WG</w:t>
    </w:r>
    <w:r w:rsidR="00770160">
      <w:t>/</w:t>
    </w:r>
    <w:r w:rsidR="00C32F4A">
      <w:t>1</w:t>
    </w:r>
    <w:r w:rsidR="00FC389A">
      <w:t>7-</w:t>
    </w:r>
    <w:r w:rsidR="00770160">
      <w:t>WP/</w:t>
    </w:r>
    <w:r w:rsidR="004409B4">
      <w:t>19</w:t>
    </w:r>
    <w:r w:rsidR="00770160">
      <w:tab/>
      <w:t xml:space="preserve">- </w:t>
    </w:r>
    <w:r w:rsidR="00770160">
      <w:rPr>
        <w:rStyle w:val="PageNumber"/>
      </w:rPr>
      <w:fldChar w:fldCharType="begin"/>
    </w:r>
    <w:r w:rsidR="00770160">
      <w:rPr>
        <w:rStyle w:val="PageNumber"/>
      </w:rPr>
      <w:instrText xml:space="preserve"> PAGE </w:instrText>
    </w:r>
    <w:r w:rsidR="00770160">
      <w:rPr>
        <w:rStyle w:val="PageNumber"/>
      </w:rPr>
      <w:fldChar w:fldCharType="separate"/>
    </w:r>
    <w:r w:rsidR="00067C56">
      <w:rPr>
        <w:rStyle w:val="PageNumber"/>
        <w:noProof/>
      </w:rPr>
      <w:t>2</w:t>
    </w:r>
    <w:r w:rsidR="00770160">
      <w:rPr>
        <w:rStyle w:val="PageNumber"/>
      </w:rPr>
      <w:fldChar w:fldCharType="end"/>
    </w:r>
    <w:r w:rsidR="00770160">
      <w:rPr>
        <w:rStyle w:val="PageNumbe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0CC1C" w14:textId="12A0867B" w:rsidR="00770160" w:rsidRDefault="00770160" w:rsidP="00BC5391">
    <w:pPr>
      <w:tabs>
        <w:tab w:val="center" w:pos="4876"/>
        <w:tab w:val="left" w:pos="6480"/>
      </w:tabs>
      <w:spacing w:after="600"/>
    </w:pPr>
    <w:r>
      <w:tab/>
      <w:t xml:space="preserve">- </w:t>
    </w:r>
    <w:r>
      <w:rPr>
        <w:rStyle w:val="PageNumber"/>
      </w:rPr>
      <w:fldChar w:fldCharType="begin"/>
    </w:r>
    <w:r>
      <w:rPr>
        <w:rStyle w:val="PageNumber"/>
      </w:rPr>
      <w:instrText xml:space="preserve"> PAGE </w:instrText>
    </w:r>
    <w:r>
      <w:rPr>
        <w:rStyle w:val="PageNumber"/>
      </w:rPr>
      <w:fldChar w:fldCharType="separate"/>
    </w:r>
    <w:r w:rsidR="00E5621A">
      <w:rPr>
        <w:rStyle w:val="PageNumber"/>
        <w:noProof/>
      </w:rPr>
      <w:t>3</w:t>
    </w:r>
    <w:r>
      <w:rPr>
        <w:rStyle w:val="PageNumber"/>
      </w:rPr>
      <w:fldChar w:fldCharType="end"/>
    </w:r>
    <w:r>
      <w:rPr>
        <w:rStyle w:val="PageNumber"/>
      </w:rPr>
      <w:t xml:space="preserve"> -</w:t>
    </w:r>
    <w:r>
      <w:rPr>
        <w:rStyle w:val="PageNumber"/>
      </w:rPr>
      <w:tab/>
    </w:r>
    <w:r w:rsidR="000D26D5">
      <w:t>FS</w:t>
    </w:r>
    <w:r w:rsidR="00725205">
      <w:t>MP</w:t>
    </w:r>
    <w:r w:rsidR="007E6A06">
      <w:t>-WG/</w:t>
    </w:r>
    <w:r w:rsidR="00C32F4A">
      <w:t>1</w:t>
    </w:r>
    <w:r w:rsidR="00C03A76">
      <w:t>7</w:t>
    </w:r>
    <w:r w:rsidR="004409B4">
      <w:t>-</w:t>
    </w:r>
    <w:r>
      <w:t>WP/</w:t>
    </w:r>
    <w:r w:rsidR="004409B4">
      <w:t>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920C27" w14:paraId="6E1D1403" w14:textId="77777777" w:rsidTr="00664C07">
      <w:trPr>
        <w:trHeight w:val="1790"/>
      </w:trPr>
      <w:tc>
        <w:tcPr>
          <w:tcW w:w="1915" w:type="dxa"/>
          <w:shd w:val="clear" w:color="auto" w:fill="FFFFFF"/>
        </w:tcPr>
        <w:p w14:paraId="42B34702" w14:textId="0244C65C" w:rsidR="00920C27" w:rsidRDefault="00AC7CC4" w:rsidP="00664C07">
          <w:bookmarkStart w:id="1" w:name="logo"/>
          <w:r w:rsidRPr="00484298">
            <w:rPr>
              <w:noProof/>
              <w:lang w:eastAsia="zh-CN"/>
            </w:rPr>
            <w:drawing>
              <wp:inline distT="0" distB="0" distL="0" distR="0" wp14:anchorId="4CEF6D6E" wp14:editId="34AA3F22">
                <wp:extent cx="1092200" cy="863600"/>
                <wp:effectExtent l="0" t="0" r="0" b="0"/>
                <wp:docPr id="1"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2200" cy="863600"/>
                        </a:xfrm>
                        <a:prstGeom prst="rect">
                          <a:avLst/>
                        </a:prstGeom>
                        <a:noFill/>
                        <a:ln>
                          <a:noFill/>
                        </a:ln>
                      </pic:spPr>
                    </pic:pic>
                  </a:graphicData>
                </a:graphic>
              </wp:inline>
            </w:drawing>
          </w:r>
          <w:bookmarkEnd w:id="1"/>
        </w:p>
      </w:tc>
      <w:tc>
        <w:tcPr>
          <w:tcW w:w="3895" w:type="dxa"/>
          <w:shd w:val="clear" w:color="auto" w:fill="FFFFFF"/>
          <w:tcMar>
            <w:right w:w="0" w:type="dxa"/>
          </w:tcMar>
        </w:tcPr>
        <w:p w14:paraId="72B7FCCD" w14:textId="0E2ED29C" w:rsidR="00920C27" w:rsidRPr="00066AB7" w:rsidRDefault="00AC7CC4" w:rsidP="00664C07">
          <w:pPr>
            <w:rPr>
              <w:rFonts w:ascii="Arial" w:hAnsi="Arial" w:cs="Arial"/>
              <w:szCs w:val="22"/>
            </w:rPr>
          </w:pPr>
          <w:r w:rsidRPr="00066AB7">
            <w:rPr>
              <w:rFonts w:ascii="Arial" w:hAnsi="Arial" w:cs="Arial"/>
              <w:noProof/>
              <w:szCs w:val="22"/>
              <w:lang w:eastAsia="zh-CN"/>
            </w:rPr>
            <mc:AlternateContent>
              <mc:Choice Requires="wps">
                <w:drawing>
                  <wp:anchor distT="0" distB="0" distL="114300" distR="114300" simplePos="0" relativeHeight="251658240" behindDoc="0" locked="0" layoutInCell="1" allowOverlap="1" wp14:anchorId="1845EF67" wp14:editId="5A7D262F">
                    <wp:simplePos x="0" y="0"/>
                    <wp:positionH relativeFrom="column">
                      <wp:posOffset>12700</wp:posOffset>
                    </wp:positionH>
                    <wp:positionV relativeFrom="paragraph">
                      <wp:posOffset>342900</wp:posOffset>
                    </wp:positionV>
                    <wp:extent cx="2400300" cy="0"/>
                    <wp:effectExtent l="0" t="0" r="0" b="0"/>
                    <wp:wrapNone/>
                    <wp:docPr id="1064167714" name="Straight Connector 10641677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948B16" id="Straight Connector 106416771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D1brwEAAEgDAAAOAAAAZHJzL2Uyb0RvYy54bWysU8GO0zAQvSPxD5bvNGlhEURN99BluSxQ&#10;aZcPmNpOYuF4rBm3Sf8e29t2V3BD5GDZnpnn995M1rfz6MTREFv0rVwuaimMV6it71v58+n+3Scp&#10;OILX4NCbVp4My9vN2zfrKTRmhQM6bUgkEM/NFFo5xBiaqmI1mBF4gcH4FOyQRojpSH2lCaaEPrpq&#10;VdcfqwlJB0JlmNPt3XNQbgp+1xkVf3QdmyhcKxO3WFYq6z6v1WYNTU8QBqvONOAfWIxgfXr0CnUH&#10;EcSB7F9Qo1WEjF1cKBwr7DqrTNGQ1CzrP9Q8DhBM0ZLM4XC1if8frPp+3PodZepq9o/hAdUvFh63&#10;A/jeFAJPp5Aat8xWVVPg5lqSDxx2JPbTN9QpBw4RiwtzR2OGTPrEXMw+Xc02cxQqXa4+1PX7OvVE&#10;XWIVNJfCQBy/GhxF3rTSWZ99gAaODxwzEWguKfna4711rvTSeTG18vPN6qYUMDqrczCnMfX7rSNx&#10;hDwN5SuqUuR1GuHB6wI2GNBfzvsI1j3v0+POn83I+vOwcbNHfdrRxaTUrsLyPFp5Hl6fS/XLD7D5&#10;DQAA//8DAFBLAwQUAAYACAAAACEAF6zSYtsAAAAHAQAADwAAAGRycy9kb3ducmV2LnhtbEyPT0/D&#10;MAzF70h8h8hIXCaW0AGaStMJAb1xYYC4eo1pKxqna7Kt8Okx2gFO/vOs934uVpPv1Z7G2AW2cDk3&#10;oIjr4DpuLLy+VBdLUDEhO+wDk4UvirAqT08KzF048DPt16lRYsIxRwttSkOudaxb8hjnYSAW7SOM&#10;HpOMY6PdiAcx973OjLnRHjuWhBYHum+p/lzvvIVYvdG2+p7VM/O+aAJl24enR7T2/Gy6uwWVaEp/&#10;x/CLL+hQCtMm7NhF1VvI5JNk4fpKqsiLpZFmc1zostD/+csfAAAA//8DAFBLAQItABQABgAIAAAA&#10;IQC2gziS/gAAAOEBAAATAAAAAAAAAAAAAAAAAAAAAABbQ29udGVudF9UeXBlc10ueG1sUEsBAi0A&#10;FAAGAAgAAAAhADj9If/WAAAAlAEAAAsAAAAAAAAAAAAAAAAALwEAAF9yZWxzLy5yZWxzUEsBAi0A&#10;FAAGAAgAAAAhADtYPVuvAQAASAMAAA4AAAAAAAAAAAAAAAAALgIAAGRycy9lMm9Eb2MueG1sUEsB&#10;Ai0AFAAGAAgAAAAhABes0mLbAAAABwEAAA8AAAAAAAAAAAAAAAAACQQAAGRycy9kb3ducmV2Lnht&#10;bFBLBQYAAAAABAAEAPMAAAARBQAAAAA=&#10;"/>
                </w:pict>
              </mc:Fallback>
            </mc:AlternateContent>
          </w:r>
        </w:p>
        <w:p w14:paraId="176A45F4" w14:textId="77777777" w:rsidR="00920C27" w:rsidRPr="00066AB7" w:rsidRDefault="00920C27" w:rsidP="00664C07">
          <w:pPr>
            <w:rPr>
              <w:rFonts w:ascii="Arial" w:hAnsi="Arial" w:cs="Arial"/>
              <w:szCs w:val="22"/>
            </w:rPr>
          </w:pPr>
          <w:r w:rsidRPr="00066AB7">
            <w:rPr>
              <w:rFonts w:ascii="Arial" w:hAnsi="Arial" w:cs="Arial"/>
              <w:szCs w:val="22"/>
            </w:rPr>
            <w:t>International Civil Aviation Organization</w:t>
          </w:r>
        </w:p>
        <w:p w14:paraId="630A5052" w14:textId="77777777" w:rsidR="00920C27" w:rsidRPr="00066AB7" w:rsidRDefault="00920C27" w:rsidP="00664C07">
          <w:pPr>
            <w:rPr>
              <w:rFonts w:ascii="Arial" w:hAnsi="Arial" w:cs="Arial"/>
              <w:szCs w:val="22"/>
            </w:rPr>
          </w:pPr>
        </w:p>
        <w:p w14:paraId="1DB839D9" w14:textId="77777777" w:rsidR="00920C27" w:rsidRPr="00066AB7" w:rsidRDefault="00920C27" w:rsidP="00664C07">
          <w:pPr>
            <w:rPr>
              <w:rFonts w:ascii="Arial" w:hAnsi="Arial" w:cs="Arial"/>
              <w:b/>
              <w:sz w:val="24"/>
              <w:szCs w:val="22"/>
            </w:rPr>
          </w:pPr>
          <w:r w:rsidRPr="00066AB7">
            <w:rPr>
              <w:rFonts w:ascii="Arial" w:hAnsi="Arial" w:cs="Arial"/>
              <w:b/>
              <w:sz w:val="24"/>
              <w:szCs w:val="22"/>
            </w:rPr>
            <w:t>WORKING PAPER</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184"/>
          </w:tblGrid>
          <w:tr w:rsidR="00920C27" w14:paraId="7E8D0692" w14:textId="77777777" w:rsidTr="00664C07">
            <w:trPr>
              <w:jc w:val="right"/>
            </w:trPr>
            <w:tc>
              <w:tcPr>
                <w:tcW w:w="0" w:type="auto"/>
              </w:tcPr>
              <w:p w14:paraId="3F900E6D" w14:textId="63AA1B4C" w:rsidR="00920C27" w:rsidRPr="00066AB7" w:rsidRDefault="000D26D5" w:rsidP="004409B4">
                <w:pPr>
                  <w:framePr w:hSpace="180" w:wrap="around" w:vAnchor="text" w:hAnchor="text" w:y="1"/>
                  <w:suppressOverlap/>
                  <w:jc w:val="left"/>
                  <w:rPr>
                    <w:szCs w:val="22"/>
                  </w:rPr>
                </w:pPr>
                <w:bookmarkStart w:id="2" w:name="document_no"/>
                <w:r>
                  <w:rPr>
                    <w:szCs w:val="22"/>
                  </w:rPr>
                  <w:t>FS</w:t>
                </w:r>
                <w:r w:rsidR="00725205">
                  <w:rPr>
                    <w:szCs w:val="22"/>
                  </w:rPr>
                  <w:t>MP</w:t>
                </w:r>
                <w:r w:rsidR="007E6A06">
                  <w:rPr>
                    <w:szCs w:val="22"/>
                  </w:rPr>
                  <w:t>-WG</w:t>
                </w:r>
                <w:r w:rsidR="00920C27" w:rsidRPr="00066AB7">
                  <w:rPr>
                    <w:szCs w:val="22"/>
                  </w:rPr>
                  <w:t>/</w:t>
                </w:r>
                <w:r w:rsidR="00885035">
                  <w:rPr>
                    <w:szCs w:val="22"/>
                  </w:rPr>
                  <w:t>1</w:t>
                </w:r>
                <w:r w:rsidR="00FC389A">
                  <w:rPr>
                    <w:szCs w:val="22"/>
                  </w:rPr>
                  <w:t>7-</w:t>
                </w:r>
                <w:r w:rsidR="00920C27" w:rsidRPr="00066AB7">
                  <w:rPr>
                    <w:szCs w:val="22"/>
                  </w:rPr>
                  <w:t>WP/</w:t>
                </w:r>
                <w:r w:rsidR="004409B4">
                  <w:rPr>
                    <w:szCs w:val="22"/>
                  </w:rPr>
                  <w:t>19</w:t>
                </w:r>
                <w:bookmarkEnd w:id="2"/>
              </w:p>
              <w:p w14:paraId="14864836" w14:textId="77777777" w:rsidR="00920C27" w:rsidRPr="00066AB7" w:rsidRDefault="00885035" w:rsidP="004409B4">
                <w:pPr>
                  <w:framePr w:hSpace="180" w:wrap="around" w:vAnchor="text" w:hAnchor="text" w:y="1"/>
                  <w:suppressOverlap/>
                  <w:jc w:val="left"/>
                  <w:rPr>
                    <w:b/>
                  </w:rPr>
                </w:pPr>
                <w:bookmarkStart w:id="3" w:name="restricted"/>
                <w:bookmarkStart w:id="4" w:name="addendum_corrigendum_appendix"/>
                <w:bookmarkStart w:id="5" w:name="revision_no"/>
                <w:bookmarkStart w:id="6" w:name="revision_date"/>
                <w:bookmarkStart w:id="7" w:name="related_to"/>
                <w:bookmarkEnd w:id="3"/>
                <w:bookmarkEnd w:id="4"/>
                <w:bookmarkEnd w:id="5"/>
                <w:bookmarkEnd w:id="6"/>
                <w:bookmarkEnd w:id="7"/>
                <w:r>
                  <w:rPr>
                    <w:sz w:val="18"/>
                    <w:szCs w:val="18"/>
                  </w:rPr>
                  <w:t>202</w:t>
                </w:r>
                <w:r w:rsidR="00E5621A">
                  <w:rPr>
                    <w:sz w:val="18"/>
                    <w:szCs w:val="18"/>
                  </w:rPr>
                  <w:t>3</w:t>
                </w:r>
                <w:r>
                  <w:rPr>
                    <w:sz w:val="18"/>
                    <w:szCs w:val="18"/>
                  </w:rPr>
                  <w:t>-0</w:t>
                </w:r>
                <w:r w:rsidR="00FC389A">
                  <w:rPr>
                    <w:sz w:val="18"/>
                    <w:szCs w:val="18"/>
                  </w:rPr>
                  <w:t>8</w:t>
                </w:r>
                <w:r>
                  <w:rPr>
                    <w:sz w:val="18"/>
                    <w:szCs w:val="18"/>
                  </w:rPr>
                  <w:t>-</w:t>
                </w:r>
                <w:r w:rsidR="00FC389A">
                  <w:rPr>
                    <w:sz w:val="18"/>
                    <w:szCs w:val="18"/>
                  </w:rPr>
                  <w:t>30</w:t>
                </w:r>
                <w:r w:rsidR="00920C27" w:rsidRPr="00066AB7">
                  <w:rPr>
                    <w:b/>
                    <w:sz w:val="18"/>
                    <w:szCs w:val="18"/>
                  </w:rPr>
                  <w:t xml:space="preserve"> </w:t>
                </w:r>
                <w:bookmarkStart w:id="8" w:name="info_paper"/>
                <w:bookmarkEnd w:id="8"/>
              </w:p>
            </w:tc>
          </w:tr>
          <w:tr w:rsidR="00920C27" w14:paraId="1863AE71" w14:textId="77777777" w:rsidTr="00664C07">
            <w:trPr>
              <w:jc w:val="right"/>
            </w:trPr>
            <w:tc>
              <w:tcPr>
                <w:tcW w:w="0" w:type="auto"/>
              </w:tcPr>
              <w:p w14:paraId="03420FC5" w14:textId="77777777" w:rsidR="00920C27" w:rsidRPr="00066AB7" w:rsidRDefault="00920C27" w:rsidP="004409B4">
                <w:pPr>
                  <w:framePr w:hSpace="180" w:wrap="around" w:vAnchor="text" w:hAnchor="text" w:y="1"/>
                  <w:suppressOverlap/>
                  <w:jc w:val="left"/>
                  <w:rPr>
                    <w:szCs w:val="22"/>
                  </w:rPr>
                </w:pPr>
              </w:p>
            </w:tc>
          </w:tr>
        </w:tbl>
        <w:p w14:paraId="4327EF88" w14:textId="77777777" w:rsidR="00920C27" w:rsidRPr="00066AB7" w:rsidRDefault="00920C27" w:rsidP="00664C07">
          <w:pPr>
            <w:tabs>
              <w:tab w:val="left" w:pos="720"/>
              <w:tab w:val="left" w:pos="1440"/>
              <w:tab w:val="left" w:pos="1800"/>
              <w:tab w:val="left" w:pos="2160"/>
              <w:tab w:val="left" w:pos="2520"/>
              <w:tab w:val="left" w:pos="2880"/>
            </w:tabs>
            <w:ind w:left="4320"/>
            <w:rPr>
              <w:b/>
              <w:sz w:val="18"/>
              <w:szCs w:val="18"/>
            </w:rPr>
          </w:pPr>
        </w:p>
      </w:tc>
    </w:tr>
  </w:tbl>
  <w:p w14:paraId="455818FF" w14:textId="38FC456B" w:rsidR="00770160" w:rsidRDefault="00770160">
    <w:pPr>
      <w:pStyle w:val="smallfont"/>
      <w:tabs>
        <w:tab w:val="clear" w:pos="6660"/>
        <w:tab w:val="left" w:pos="6480"/>
      </w:tabs>
      <w:spacing w:after="600"/>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11E07"/>
    <w:multiLevelType w:val="singleLevel"/>
    <w:tmpl w:val="CD8E7696"/>
    <w:lvl w:ilvl="0">
      <w:start w:val="1"/>
      <w:numFmt w:val="bullet"/>
      <w:pStyle w:val="List-"/>
      <w:lvlText w:val="—"/>
      <w:lvlJc w:val="left"/>
      <w:pPr>
        <w:tabs>
          <w:tab w:val="num" w:pos="2520"/>
        </w:tabs>
        <w:ind w:left="2520" w:hanging="360"/>
      </w:pPr>
      <w:rPr>
        <w:rFonts w:ascii="Times New Roman" w:hAnsi="Times New Roman" w:hint="default"/>
      </w:rPr>
    </w:lvl>
  </w:abstractNum>
  <w:abstractNum w:abstractNumId="1" w15:restartNumberingAfterBreak="0">
    <w:nsid w:val="1F2B6BB0"/>
    <w:multiLevelType w:val="singleLevel"/>
    <w:tmpl w:val="F490B8D8"/>
    <w:lvl w:ilvl="0">
      <w:start w:val="1"/>
      <w:numFmt w:val="decimal"/>
      <w:pStyle w:val="List123"/>
      <w:lvlText w:val="%1)"/>
      <w:lvlJc w:val="left"/>
      <w:pPr>
        <w:tabs>
          <w:tab w:val="num" w:pos="2160"/>
        </w:tabs>
        <w:ind w:left="2160" w:hanging="360"/>
      </w:pPr>
    </w:lvl>
  </w:abstractNum>
  <w:abstractNum w:abstractNumId="2" w15:restartNumberingAfterBreak="0">
    <w:nsid w:val="26A12967"/>
    <w:multiLevelType w:val="hybridMultilevel"/>
    <w:tmpl w:val="B5900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A62DF4"/>
    <w:multiLevelType w:val="hybridMultilevel"/>
    <w:tmpl w:val="2B721B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A5C61B2"/>
    <w:multiLevelType w:val="multilevel"/>
    <w:tmpl w:val="C8E6D60A"/>
    <w:lvl w:ilvl="0">
      <w:start w:val="1"/>
      <w:numFmt w:val="decimal"/>
      <w:pStyle w:val="1Heading"/>
      <w:lvlText w:val="%1."/>
      <w:lvlJc w:val="left"/>
      <w:pPr>
        <w:tabs>
          <w:tab w:val="num" w:pos="720"/>
        </w:tabs>
        <w:ind w:left="720" w:hanging="720"/>
      </w:pPr>
      <w:rPr>
        <w:rFonts w:ascii="Times New Roman" w:hAnsi="Times New Roman" w:hint="default"/>
        <w:b w:val="0"/>
        <w:i w:val="0"/>
        <w:sz w:val="22"/>
      </w:rPr>
    </w:lvl>
    <w:lvl w:ilvl="1">
      <w:start w:val="1"/>
      <w:numFmt w:val="decimal"/>
      <w:pStyle w:val="2Heading"/>
      <w:lvlText w:val="%1.%2"/>
      <w:lvlJc w:val="left"/>
      <w:pPr>
        <w:tabs>
          <w:tab w:val="num" w:pos="720"/>
        </w:tabs>
        <w:ind w:left="720" w:hanging="720"/>
      </w:pPr>
      <w:rPr>
        <w:rFonts w:ascii="Times New Roman" w:hAnsi="Times New Roman" w:hint="default"/>
        <w:b w:val="0"/>
        <w:i w:val="0"/>
        <w:sz w:val="22"/>
      </w:rPr>
    </w:lvl>
    <w:lvl w:ilvl="2">
      <w:start w:val="1"/>
      <w:numFmt w:val="decimal"/>
      <w:pStyle w:val="3para"/>
      <w:lvlText w:val="%1.%2.%3"/>
      <w:lvlJc w:val="left"/>
      <w:pPr>
        <w:tabs>
          <w:tab w:val="num" w:pos="1440"/>
        </w:tabs>
        <w:ind w:left="1440" w:hanging="1440"/>
      </w:pPr>
    </w:lvl>
    <w:lvl w:ilvl="3">
      <w:start w:val="1"/>
      <w:numFmt w:val="decimal"/>
      <w:pStyle w:val="4para"/>
      <w:lvlText w:val="%1.%2.%3.%4"/>
      <w:lvlJc w:val="left"/>
      <w:pPr>
        <w:tabs>
          <w:tab w:val="num" w:pos="1080"/>
        </w:tabs>
        <w:ind w:left="0" w:firstLine="0"/>
      </w:pPr>
    </w:lvl>
    <w:lvl w:ilvl="4">
      <w:start w:val="1"/>
      <w:numFmt w:val="decimal"/>
      <w:pStyle w:val="5para"/>
      <w:lvlText w:val="%1.%2.%3.%4.%5"/>
      <w:lvlJc w:val="left"/>
      <w:pPr>
        <w:tabs>
          <w:tab w:val="num" w:pos="1440"/>
        </w:tabs>
        <w:ind w:left="0" w:firstLine="0"/>
      </w:pPr>
    </w:lvl>
    <w:lvl w:ilvl="5">
      <w:start w:val="1"/>
      <w:numFmt w:val="decimal"/>
      <w:pStyle w:val="6para"/>
      <w:lvlText w:val="%1.%2.%3.%4.%5.%6"/>
      <w:lvlJc w:val="left"/>
      <w:pPr>
        <w:tabs>
          <w:tab w:val="num" w:pos="1440"/>
        </w:tabs>
        <w:ind w:left="0" w:firstLine="0"/>
      </w:pPr>
    </w:lvl>
    <w:lvl w:ilvl="6">
      <w:start w:val="1"/>
      <w:numFmt w:val="decimal"/>
      <w:pStyle w:val="7para"/>
      <w:lvlText w:val="%1.%2.%3.%4.%5.%6.%7"/>
      <w:lvlJc w:val="left"/>
      <w:pPr>
        <w:tabs>
          <w:tab w:val="num" w:pos="1800"/>
        </w:tabs>
        <w:ind w:left="0" w:firstLine="0"/>
      </w:pPr>
    </w:lvl>
    <w:lvl w:ilvl="7">
      <w:start w:val="1"/>
      <w:numFmt w:val="decimal"/>
      <w:pStyle w:val="8para"/>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5" w15:restartNumberingAfterBreak="0">
    <w:nsid w:val="674E637C"/>
    <w:multiLevelType w:val="singleLevel"/>
    <w:tmpl w:val="DCF4410C"/>
    <w:lvl w:ilvl="0">
      <w:start w:val="1"/>
      <w:numFmt w:val="lowerLetter"/>
      <w:pStyle w:val="Listabc"/>
      <w:lvlText w:val="%1)"/>
      <w:lvlJc w:val="left"/>
      <w:pPr>
        <w:tabs>
          <w:tab w:val="num" w:pos="360"/>
        </w:tabs>
        <w:ind w:left="360" w:hanging="360"/>
      </w:pPr>
    </w:lvl>
  </w:abstractNum>
  <w:num w:numId="1" w16cid:durableId="347146955">
    <w:abstractNumId w:val="4"/>
  </w:num>
  <w:num w:numId="2" w16cid:durableId="969288036">
    <w:abstractNumId w:val="5"/>
  </w:num>
  <w:num w:numId="3" w16cid:durableId="595095678">
    <w:abstractNumId w:val="1"/>
  </w:num>
  <w:num w:numId="4" w16cid:durableId="1643192452">
    <w:abstractNumId w:val="0"/>
  </w:num>
  <w:num w:numId="5" w16cid:durableId="5159232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28934949">
    <w:abstractNumId w:val="3"/>
  </w:num>
  <w:num w:numId="7" w16cid:durableId="4960011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fr-CA" w:vendorID="64" w:dllVersion="0" w:nlCheck="1" w:checkStyle="0"/>
  <w:activeWritingStyle w:appName="MSWord" w:lang="en-CA"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160"/>
    <w:rsid w:val="000105BC"/>
    <w:rsid w:val="00020EC3"/>
    <w:rsid w:val="00022626"/>
    <w:rsid w:val="00024801"/>
    <w:rsid w:val="0002582F"/>
    <w:rsid w:val="000273D2"/>
    <w:rsid w:val="00030951"/>
    <w:rsid w:val="000330E5"/>
    <w:rsid w:val="0004103F"/>
    <w:rsid w:val="000436D4"/>
    <w:rsid w:val="00044017"/>
    <w:rsid w:val="00045C23"/>
    <w:rsid w:val="00046D18"/>
    <w:rsid w:val="0005072A"/>
    <w:rsid w:val="00051483"/>
    <w:rsid w:val="00064166"/>
    <w:rsid w:val="00066B7B"/>
    <w:rsid w:val="00067C56"/>
    <w:rsid w:val="0007272E"/>
    <w:rsid w:val="00077263"/>
    <w:rsid w:val="00086DDD"/>
    <w:rsid w:val="00095013"/>
    <w:rsid w:val="000C32B4"/>
    <w:rsid w:val="000C7559"/>
    <w:rsid w:val="000D26D5"/>
    <w:rsid w:val="000E0167"/>
    <w:rsid w:val="000E07CB"/>
    <w:rsid w:val="000E218A"/>
    <w:rsid w:val="000E3583"/>
    <w:rsid w:val="000F006A"/>
    <w:rsid w:val="000F482C"/>
    <w:rsid w:val="000F7CD9"/>
    <w:rsid w:val="001016EE"/>
    <w:rsid w:val="0011446D"/>
    <w:rsid w:val="00116BF4"/>
    <w:rsid w:val="00123E29"/>
    <w:rsid w:val="00132756"/>
    <w:rsid w:val="0014207A"/>
    <w:rsid w:val="00146A4E"/>
    <w:rsid w:val="00154800"/>
    <w:rsid w:val="001566B0"/>
    <w:rsid w:val="0016131F"/>
    <w:rsid w:val="00162000"/>
    <w:rsid w:val="001656AA"/>
    <w:rsid w:val="00167F97"/>
    <w:rsid w:val="00180B43"/>
    <w:rsid w:val="00197605"/>
    <w:rsid w:val="001979DC"/>
    <w:rsid w:val="001A5893"/>
    <w:rsid w:val="001B0404"/>
    <w:rsid w:val="001E1497"/>
    <w:rsid w:val="001E611C"/>
    <w:rsid w:val="001F57E2"/>
    <w:rsid w:val="00217B15"/>
    <w:rsid w:val="00222992"/>
    <w:rsid w:val="002317D5"/>
    <w:rsid w:val="00245065"/>
    <w:rsid w:val="00252882"/>
    <w:rsid w:val="00262BA0"/>
    <w:rsid w:val="00265E47"/>
    <w:rsid w:val="002676AE"/>
    <w:rsid w:val="0026783E"/>
    <w:rsid w:val="002707CB"/>
    <w:rsid w:val="00275240"/>
    <w:rsid w:val="002759E5"/>
    <w:rsid w:val="00284304"/>
    <w:rsid w:val="00284FC2"/>
    <w:rsid w:val="00286C59"/>
    <w:rsid w:val="00296C3E"/>
    <w:rsid w:val="002A2AEE"/>
    <w:rsid w:val="002A44DC"/>
    <w:rsid w:val="002B09E8"/>
    <w:rsid w:val="002B3F5A"/>
    <w:rsid w:val="002C2D0B"/>
    <w:rsid w:val="002C548E"/>
    <w:rsid w:val="002C5F2C"/>
    <w:rsid w:val="002F0C3A"/>
    <w:rsid w:val="002F53C3"/>
    <w:rsid w:val="00312DEC"/>
    <w:rsid w:val="0032441E"/>
    <w:rsid w:val="003308E6"/>
    <w:rsid w:val="00346BB5"/>
    <w:rsid w:val="00346FC8"/>
    <w:rsid w:val="003617BC"/>
    <w:rsid w:val="00365A1B"/>
    <w:rsid w:val="003715A0"/>
    <w:rsid w:val="003725D0"/>
    <w:rsid w:val="00385323"/>
    <w:rsid w:val="00386287"/>
    <w:rsid w:val="0038727A"/>
    <w:rsid w:val="0039357D"/>
    <w:rsid w:val="003A010B"/>
    <w:rsid w:val="003B4641"/>
    <w:rsid w:val="003C110D"/>
    <w:rsid w:val="003C161C"/>
    <w:rsid w:val="003D3EFE"/>
    <w:rsid w:val="003D4D7B"/>
    <w:rsid w:val="003D6351"/>
    <w:rsid w:val="003D7FD8"/>
    <w:rsid w:val="003E00DC"/>
    <w:rsid w:val="003F225C"/>
    <w:rsid w:val="00400374"/>
    <w:rsid w:val="00402E5F"/>
    <w:rsid w:val="00410109"/>
    <w:rsid w:val="004134B3"/>
    <w:rsid w:val="00413B25"/>
    <w:rsid w:val="00422F6A"/>
    <w:rsid w:val="00423C6F"/>
    <w:rsid w:val="00430A08"/>
    <w:rsid w:val="00431946"/>
    <w:rsid w:val="004322C0"/>
    <w:rsid w:val="0043323A"/>
    <w:rsid w:val="00433998"/>
    <w:rsid w:val="004409B4"/>
    <w:rsid w:val="00443F73"/>
    <w:rsid w:val="0044707E"/>
    <w:rsid w:val="0045688D"/>
    <w:rsid w:val="004651D1"/>
    <w:rsid w:val="00466F30"/>
    <w:rsid w:val="00472EDE"/>
    <w:rsid w:val="004735BC"/>
    <w:rsid w:val="00490DC2"/>
    <w:rsid w:val="00491A18"/>
    <w:rsid w:val="0049280E"/>
    <w:rsid w:val="00492CD2"/>
    <w:rsid w:val="004B5656"/>
    <w:rsid w:val="004B7534"/>
    <w:rsid w:val="004C54CB"/>
    <w:rsid w:val="004D452D"/>
    <w:rsid w:val="004E2DAC"/>
    <w:rsid w:val="004E6F80"/>
    <w:rsid w:val="004F0C74"/>
    <w:rsid w:val="00500551"/>
    <w:rsid w:val="00505F6E"/>
    <w:rsid w:val="00511A38"/>
    <w:rsid w:val="00515509"/>
    <w:rsid w:val="0051551F"/>
    <w:rsid w:val="0051574F"/>
    <w:rsid w:val="00524992"/>
    <w:rsid w:val="00526B3A"/>
    <w:rsid w:val="00536B64"/>
    <w:rsid w:val="00536F5D"/>
    <w:rsid w:val="00540A1F"/>
    <w:rsid w:val="00544E1C"/>
    <w:rsid w:val="00552B85"/>
    <w:rsid w:val="00565A6B"/>
    <w:rsid w:val="00572517"/>
    <w:rsid w:val="005763E5"/>
    <w:rsid w:val="005768E8"/>
    <w:rsid w:val="00581757"/>
    <w:rsid w:val="00581E57"/>
    <w:rsid w:val="00585957"/>
    <w:rsid w:val="005A09EC"/>
    <w:rsid w:val="005A64FA"/>
    <w:rsid w:val="005B5D3F"/>
    <w:rsid w:val="005B5E77"/>
    <w:rsid w:val="005C4D5C"/>
    <w:rsid w:val="005C6679"/>
    <w:rsid w:val="005E3E28"/>
    <w:rsid w:val="005E5CB7"/>
    <w:rsid w:val="005F13DE"/>
    <w:rsid w:val="005F535B"/>
    <w:rsid w:val="005F53A8"/>
    <w:rsid w:val="005F7191"/>
    <w:rsid w:val="00601A95"/>
    <w:rsid w:val="00614E28"/>
    <w:rsid w:val="00614FFD"/>
    <w:rsid w:val="00617191"/>
    <w:rsid w:val="00625656"/>
    <w:rsid w:val="00625E2A"/>
    <w:rsid w:val="00633639"/>
    <w:rsid w:val="006347E9"/>
    <w:rsid w:val="00637E86"/>
    <w:rsid w:val="006402F5"/>
    <w:rsid w:val="006447FC"/>
    <w:rsid w:val="00664C07"/>
    <w:rsid w:val="00671FC1"/>
    <w:rsid w:val="00675C06"/>
    <w:rsid w:val="006B1C93"/>
    <w:rsid w:val="006D5D32"/>
    <w:rsid w:val="006E3865"/>
    <w:rsid w:val="006E3DD8"/>
    <w:rsid w:val="006F299E"/>
    <w:rsid w:val="0070491D"/>
    <w:rsid w:val="00705B26"/>
    <w:rsid w:val="0070796F"/>
    <w:rsid w:val="00710008"/>
    <w:rsid w:val="00725205"/>
    <w:rsid w:val="00725D86"/>
    <w:rsid w:val="00732C86"/>
    <w:rsid w:val="00743BF1"/>
    <w:rsid w:val="00750ADF"/>
    <w:rsid w:val="0075336B"/>
    <w:rsid w:val="00760654"/>
    <w:rsid w:val="00770160"/>
    <w:rsid w:val="0077566A"/>
    <w:rsid w:val="007A6A62"/>
    <w:rsid w:val="007B501E"/>
    <w:rsid w:val="007B7822"/>
    <w:rsid w:val="007B7B18"/>
    <w:rsid w:val="007C18AE"/>
    <w:rsid w:val="007C75BA"/>
    <w:rsid w:val="007E3CEF"/>
    <w:rsid w:val="007E6A06"/>
    <w:rsid w:val="007F61BE"/>
    <w:rsid w:val="007F797B"/>
    <w:rsid w:val="00801108"/>
    <w:rsid w:val="00805AAA"/>
    <w:rsid w:val="00824223"/>
    <w:rsid w:val="00845DD9"/>
    <w:rsid w:val="0085780D"/>
    <w:rsid w:val="00860FB4"/>
    <w:rsid w:val="00866E82"/>
    <w:rsid w:val="00882809"/>
    <w:rsid w:val="00885035"/>
    <w:rsid w:val="00885740"/>
    <w:rsid w:val="00890844"/>
    <w:rsid w:val="00890EB7"/>
    <w:rsid w:val="008914E7"/>
    <w:rsid w:val="0089586E"/>
    <w:rsid w:val="00895D87"/>
    <w:rsid w:val="00896451"/>
    <w:rsid w:val="008B1056"/>
    <w:rsid w:val="008B431E"/>
    <w:rsid w:val="008B54C4"/>
    <w:rsid w:val="008B6B68"/>
    <w:rsid w:val="008C5E2C"/>
    <w:rsid w:val="008E2D1F"/>
    <w:rsid w:val="008F5B27"/>
    <w:rsid w:val="008F7C1C"/>
    <w:rsid w:val="0090167D"/>
    <w:rsid w:val="0090204A"/>
    <w:rsid w:val="009111EC"/>
    <w:rsid w:val="009124F1"/>
    <w:rsid w:val="00920B80"/>
    <w:rsid w:val="00920C27"/>
    <w:rsid w:val="009232A9"/>
    <w:rsid w:val="00923848"/>
    <w:rsid w:val="00927479"/>
    <w:rsid w:val="00946FFF"/>
    <w:rsid w:val="00947AE2"/>
    <w:rsid w:val="00951478"/>
    <w:rsid w:val="009602EE"/>
    <w:rsid w:val="00961F5E"/>
    <w:rsid w:val="00965785"/>
    <w:rsid w:val="0097093A"/>
    <w:rsid w:val="00971CC0"/>
    <w:rsid w:val="00975646"/>
    <w:rsid w:val="00975991"/>
    <w:rsid w:val="00981088"/>
    <w:rsid w:val="00995105"/>
    <w:rsid w:val="00995F78"/>
    <w:rsid w:val="009A3BB6"/>
    <w:rsid w:val="009B258B"/>
    <w:rsid w:val="009C5E07"/>
    <w:rsid w:val="009D233C"/>
    <w:rsid w:val="009F1AF0"/>
    <w:rsid w:val="009F700D"/>
    <w:rsid w:val="00A036DA"/>
    <w:rsid w:val="00A03CFF"/>
    <w:rsid w:val="00A11F15"/>
    <w:rsid w:val="00A12CBA"/>
    <w:rsid w:val="00A22BDE"/>
    <w:rsid w:val="00A232A8"/>
    <w:rsid w:val="00A2566E"/>
    <w:rsid w:val="00A3261E"/>
    <w:rsid w:val="00A36628"/>
    <w:rsid w:val="00A45E6B"/>
    <w:rsid w:val="00A51834"/>
    <w:rsid w:val="00A54A76"/>
    <w:rsid w:val="00A6511F"/>
    <w:rsid w:val="00A72D84"/>
    <w:rsid w:val="00A77A91"/>
    <w:rsid w:val="00A8008B"/>
    <w:rsid w:val="00A80507"/>
    <w:rsid w:val="00A91EDA"/>
    <w:rsid w:val="00AA4CFD"/>
    <w:rsid w:val="00AB6E52"/>
    <w:rsid w:val="00AB7819"/>
    <w:rsid w:val="00AC7CC4"/>
    <w:rsid w:val="00AD19A5"/>
    <w:rsid w:val="00AD64E0"/>
    <w:rsid w:val="00AF227A"/>
    <w:rsid w:val="00AF2FC5"/>
    <w:rsid w:val="00AF7848"/>
    <w:rsid w:val="00B0256E"/>
    <w:rsid w:val="00B0735D"/>
    <w:rsid w:val="00B11D0F"/>
    <w:rsid w:val="00B167E9"/>
    <w:rsid w:val="00B21CCD"/>
    <w:rsid w:val="00B21D0A"/>
    <w:rsid w:val="00B251DD"/>
    <w:rsid w:val="00B261F9"/>
    <w:rsid w:val="00B34E2D"/>
    <w:rsid w:val="00B35561"/>
    <w:rsid w:val="00B3637B"/>
    <w:rsid w:val="00B366E8"/>
    <w:rsid w:val="00B37D4E"/>
    <w:rsid w:val="00B44875"/>
    <w:rsid w:val="00B46B55"/>
    <w:rsid w:val="00B47155"/>
    <w:rsid w:val="00B51134"/>
    <w:rsid w:val="00B751EC"/>
    <w:rsid w:val="00B76541"/>
    <w:rsid w:val="00B81215"/>
    <w:rsid w:val="00B83615"/>
    <w:rsid w:val="00B8378C"/>
    <w:rsid w:val="00B95AA6"/>
    <w:rsid w:val="00BA438B"/>
    <w:rsid w:val="00BA535B"/>
    <w:rsid w:val="00BB68B0"/>
    <w:rsid w:val="00BC5391"/>
    <w:rsid w:val="00BE2CC0"/>
    <w:rsid w:val="00BE4F31"/>
    <w:rsid w:val="00BF066E"/>
    <w:rsid w:val="00BF22F0"/>
    <w:rsid w:val="00C03A76"/>
    <w:rsid w:val="00C10EF5"/>
    <w:rsid w:val="00C218B2"/>
    <w:rsid w:val="00C2608A"/>
    <w:rsid w:val="00C30395"/>
    <w:rsid w:val="00C32F4A"/>
    <w:rsid w:val="00C37A8B"/>
    <w:rsid w:val="00C52BAD"/>
    <w:rsid w:val="00C572BD"/>
    <w:rsid w:val="00C66993"/>
    <w:rsid w:val="00C812BF"/>
    <w:rsid w:val="00C82A6D"/>
    <w:rsid w:val="00C91A34"/>
    <w:rsid w:val="00C956B3"/>
    <w:rsid w:val="00CA0C4E"/>
    <w:rsid w:val="00CA10EA"/>
    <w:rsid w:val="00CA220F"/>
    <w:rsid w:val="00CB0264"/>
    <w:rsid w:val="00CB0BF5"/>
    <w:rsid w:val="00CB1219"/>
    <w:rsid w:val="00CB2110"/>
    <w:rsid w:val="00CB5172"/>
    <w:rsid w:val="00CB702B"/>
    <w:rsid w:val="00CC1CCA"/>
    <w:rsid w:val="00CC46ED"/>
    <w:rsid w:val="00CD3481"/>
    <w:rsid w:val="00CD450B"/>
    <w:rsid w:val="00CE02D2"/>
    <w:rsid w:val="00CF04E5"/>
    <w:rsid w:val="00CF72A2"/>
    <w:rsid w:val="00D01C6E"/>
    <w:rsid w:val="00D104FD"/>
    <w:rsid w:val="00D125F6"/>
    <w:rsid w:val="00D15135"/>
    <w:rsid w:val="00D20FE6"/>
    <w:rsid w:val="00D22255"/>
    <w:rsid w:val="00D40B78"/>
    <w:rsid w:val="00D41884"/>
    <w:rsid w:val="00D45F33"/>
    <w:rsid w:val="00D56E24"/>
    <w:rsid w:val="00D60C30"/>
    <w:rsid w:val="00D66600"/>
    <w:rsid w:val="00D8375B"/>
    <w:rsid w:val="00D87EE4"/>
    <w:rsid w:val="00D90302"/>
    <w:rsid w:val="00D915C7"/>
    <w:rsid w:val="00D94FD3"/>
    <w:rsid w:val="00D9635E"/>
    <w:rsid w:val="00DA3CE2"/>
    <w:rsid w:val="00DA5BD2"/>
    <w:rsid w:val="00DA5BE2"/>
    <w:rsid w:val="00DA654F"/>
    <w:rsid w:val="00DB011B"/>
    <w:rsid w:val="00DB35D9"/>
    <w:rsid w:val="00DC756C"/>
    <w:rsid w:val="00DD544F"/>
    <w:rsid w:val="00DD618B"/>
    <w:rsid w:val="00DD6696"/>
    <w:rsid w:val="00DF4DD9"/>
    <w:rsid w:val="00DF76D3"/>
    <w:rsid w:val="00E06E45"/>
    <w:rsid w:val="00E1405D"/>
    <w:rsid w:val="00E22DF2"/>
    <w:rsid w:val="00E3543E"/>
    <w:rsid w:val="00E35B6D"/>
    <w:rsid w:val="00E43E8D"/>
    <w:rsid w:val="00E5621A"/>
    <w:rsid w:val="00E601A0"/>
    <w:rsid w:val="00E635C2"/>
    <w:rsid w:val="00E676A3"/>
    <w:rsid w:val="00E7263C"/>
    <w:rsid w:val="00E77340"/>
    <w:rsid w:val="00E80693"/>
    <w:rsid w:val="00E91DF2"/>
    <w:rsid w:val="00E91F66"/>
    <w:rsid w:val="00E93144"/>
    <w:rsid w:val="00EA31F4"/>
    <w:rsid w:val="00EB1EAC"/>
    <w:rsid w:val="00EB2BED"/>
    <w:rsid w:val="00EB353A"/>
    <w:rsid w:val="00EB4D96"/>
    <w:rsid w:val="00EB599D"/>
    <w:rsid w:val="00EB7D8D"/>
    <w:rsid w:val="00EC07F6"/>
    <w:rsid w:val="00EC5E00"/>
    <w:rsid w:val="00EC6C2E"/>
    <w:rsid w:val="00EC6D1D"/>
    <w:rsid w:val="00EC7240"/>
    <w:rsid w:val="00EE3EAC"/>
    <w:rsid w:val="00EE48F9"/>
    <w:rsid w:val="00EE6E88"/>
    <w:rsid w:val="00EF1061"/>
    <w:rsid w:val="00EF57B7"/>
    <w:rsid w:val="00F069DA"/>
    <w:rsid w:val="00F15E43"/>
    <w:rsid w:val="00F21EDB"/>
    <w:rsid w:val="00F2215A"/>
    <w:rsid w:val="00F31417"/>
    <w:rsid w:val="00F314C8"/>
    <w:rsid w:val="00F35D7D"/>
    <w:rsid w:val="00F43C5B"/>
    <w:rsid w:val="00F47508"/>
    <w:rsid w:val="00F56F90"/>
    <w:rsid w:val="00F6177D"/>
    <w:rsid w:val="00F641A9"/>
    <w:rsid w:val="00F724F9"/>
    <w:rsid w:val="00F72FAA"/>
    <w:rsid w:val="00F77B05"/>
    <w:rsid w:val="00F85F07"/>
    <w:rsid w:val="00F92938"/>
    <w:rsid w:val="00F975FD"/>
    <w:rsid w:val="00FA1F6E"/>
    <w:rsid w:val="00FA4D64"/>
    <w:rsid w:val="00FB3194"/>
    <w:rsid w:val="00FB3443"/>
    <w:rsid w:val="00FB3C58"/>
    <w:rsid w:val="00FB3EB4"/>
    <w:rsid w:val="00FC19B3"/>
    <w:rsid w:val="00FC220D"/>
    <w:rsid w:val="00FC389A"/>
    <w:rsid w:val="00FD4147"/>
    <w:rsid w:val="00FD543C"/>
    <w:rsid w:val="00FE2743"/>
    <w:rsid w:val="00FE3558"/>
    <w:rsid w:val="00FF125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30B3F5"/>
  <w15:chartTrackingRefBased/>
  <w15:docId w15:val="{6A2BA7B4-F9EA-44EF-BE55-348ADBD0E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2"/>
      <w:lang w:val="en-GB"/>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pPr>
      <w:numPr>
        <w:numId w:val="1"/>
      </w:numPr>
      <w:spacing w:before="240" w:after="240"/>
      <w:ind w:right="2880"/>
    </w:pPr>
    <w:rPr>
      <w:b/>
    </w:rPr>
  </w:style>
  <w:style w:type="paragraph" w:customStyle="1" w:styleId="2Heading">
    <w:name w:val="2Heading"/>
    <w:basedOn w:val="1Heading"/>
    <w:next w:val="3para"/>
    <w:pPr>
      <w:numPr>
        <w:ilvl w:val="1"/>
      </w:numPr>
      <w:spacing w:before="0"/>
    </w:pPr>
  </w:style>
  <w:style w:type="paragraph" w:customStyle="1" w:styleId="3para">
    <w:name w:val="3para"/>
    <w:basedOn w:val="2Heading"/>
    <w:pPr>
      <w:numPr>
        <w:ilvl w:val="2"/>
      </w:numPr>
      <w:ind w:left="0" w:right="0" w:firstLine="0"/>
      <w:outlineLvl w:val="2"/>
    </w:pPr>
    <w:rPr>
      <w:b w:val="0"/>
    </w:rPr>
  </w:style>
  <w:style w:type="paragraph" w:customStyle="1" w:styleId="4para">
    <w:name w:val="4para"/>
    <w:basedOn w:val="3para"/>
    <w:pPr>
      <w:numPr>
        <w:ilvl w:val="3"/>
      </w:numPr>
      <w:tabs>
        <w:tab w:val="clear" w:pos="1080"/>
        <w:tab w:val="left" w:pos="1440"/>
      </w:tabs>
    </w:pPr>
  </w:style>
  <w:style w:type="paragraph" w:customStyle="1" w:styleId="5para">
    <w:name w:val="5para"/>
    <w:basedOn w:val="3para"/>
    <w:pPr>
      <w:numPr>
        <w:ilvl w:val="4"/>
      </w:numPr>
    </w:pPr>
  </w:style>
  <w:style w:type="paragraph" w:customStyle="1" w:styleId="6para">
    <w:name w:val="6para"/>
    <w:basedOn w:val="3para"/>
    <w:pPr>
      <w:numPr>
        <w:ilvl w:val="5"/>
      </w:numPr>
      <w:outlineLvl w:val="5"/>
    </w:pPr>
  </w:style>
  <w:style w:type="paragraph" w:customStyle="1" w:styleId="7para">
    <w:name w:val="7para"/>
    <w:basedOn w:val="3para"/>
    <w:pPr>
      <w:numPr>
        <w:ilvl w:val="6"/>
      </w:numPr>
      <w:tabs>
        <w:tab w:val="left" w:pos="1440"/>
      </w:tabs>
      <w:outlineLvl w:val="6"/>
    </w:pPr>
  </w:style>
  <w:style w:type="paragraph" w:customStyle="1" w:styleId="2para">
    <w:name w:val="2para"/>
    <w:basedOn w:val="3para"/>
    <w:pPr>
      <w:numPr>
        <w:ilvl w:val="1"/>
      </w:numPr>
      <w:tabs>
        <w:tab w:val="clear" w:pos="720"/>
        <w:tab w:val="left" w:pos="1440"/>
      </w:tabs>
      <w:ind w:left="0" w:firstLine="0"/>
      <w:outlineLvl w:val="1"/>
    </w:pPr>
  </w:style>
  <w:style w:type="paragraph" w:customStyle="1" w:styleId="8para">
    <w:name w:val="8para"/>
    <w:basedOn w:val="3para"/>
    <w:pPr>
      <w:numPr>
        <w:ilvl w:val="7"/>
      </w:numPr>
      <w:tabs>
        <w:tab w:val="left" w:pos="1440"/>
      </w:tab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numPr>
        <w:ilvl w:val="0"/>
        <w:numId w:val="0"/>
      </w:numPr>
    </w:pPr>
    <w:rPr>
      <w:i/>
    </w:rPr>
  </w:style>
  <w:style w:type="paragraph" w:customStyle="1" w:styleId="Listabc">
    <w:name w:val="List_a_b_c"/>
    <w:pPr>
      <w:numPr>
        <w:numId w:val="2"/>
      </w:numPr>
      <w:spacing w:after="240"/>
      <w:ind w:left="1800"/>
    </w:pPr>
    <w:rPr>
      <w:noProof/>
      <w:sz w:val="22"/>
      <w:lang w:val="en-AU"/>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paragraph" w:styleId="BalloonText">
    <w:name w:val="Balloon Text"/>
    <w:basedOn w:val="Normal"/>
    <w:link w:val="BalloonTextChar"/>
    <w:rsid w:val="00EB1EAC"/>
    <w:rPr>
      <w:sz w:val="18"/>
      <w:szCs w:val="18"/>
    </w:rPr>
  </w:style>
  <w:style w:type="paragraph" w:customStyle="1" w:styleId="Blockquote">
    <w:name w:val="Blockquote"/>
    <w:basedOn w:val="Normal"/>
    <w:pPr>
      <w:spacing w:after="240"/>
      <w:ind w:left="1440"/>
      <w:jc w:val="center"/>
    </w:pPr>
    <w:rPr>
      <w:b/>
      <w:sz w:val="24"/>
      <w:lang w:val="en-US"/>
    </w:rPr>
  </w:style>
  <w:style w:type="character" w:customStyle="1" w:styleId="BalloonTextChar">
    <w:name w:val="Balloon Text Char"/>
    <w:link w:val="BalloonText"/>
    <w:rsid w:val="00EB1EAC"/>
    <w:rPr>
      <w:sz w:val="18"/>
      <w:szCs w:val="18"/>
      <w:lang w:val="en-GB"/>
    </w:rPr>
  </w:style>
  <w:style w:type="paragraph" w:styleId="FootnoteText">
    <w:name w:val="footnote text"/>
    <w:basedOn w:val="Normal"/>
    <w:link w:val="FootnoteTextChar"/>
    <w:uiPriority w:val="99"/>
    <w:rsid w:val="00882809"/>
    <w:rPr>
      <w:sz w:val="20"/>
    </w:rPr>
  </w:style>
  <w:style w:type="character" w:customStyle="1" w:styleId="FootnoteTextChar">
    <w:name w:val="Footnote Text Char"/>
    <w:basedOn w:val="DefaultParagraphFont"/>
    <w:link w:val="FootnoteText"/>
    <w:uiPriority w:val="99"/>
    <w:rsid w:val="00882809"/>
    <w:rPr>
      <w:lang w:val="en-GB"/>
    </w:rPr>
  </w:style>
  <w:style w:type="character" w:styleId="FootnoteReference">
    <w:name w:val="footnote reference"/>
    <w:basedOn w:val="DefaultParagraphFont"/>
    <w:uiPriority w:val="99"/>
    <w:rsid w:val="00882809"/>
    <w:rPr>
      <w:vertAlign w:val="superscript"/>
    </w:rPr>
  </w:style>
  <w:style w:type="character" w:styleId="Hyperlink">
    <w:name w:val="Hyperlink"/>
    <w:basedOn w:val="DefaultParagraphFont"/>
    <w:uiPriority w:val="99"/>
    <w:unhideWhenUsed/>
    <w:rsid w:val="004C54CB"/>
    <w:rPr>
      <w:color w:val="0563C1" w:themeColor="hyperlink"/>
      <w:u w:val="single"/>
    </w:rPr>
  </w:style>
  <w:style w:type="character" w:styleId="CommentReference">
    <w:name w:val="annotation reference"/>
    <w:basedOn w:val="DefaultParagraphFont"/>
    <w:rsid w:val="00946FFF"/>
    <w:rPr>
      <w:sz w:val="16"/>
      <w:szCs w:val="16"/>
    </w:rPr>
  </w:style>
  <w:style w:type="paragraph" w:styleId="CommentText">
    <w:name w:val="annotation text"/>
    <w:basedOn w:val="Normal"/>
    <w:link w:val="CommentTextChar"/>
    <w:rsid w:val="00946FFF"/>
    <w:rPr>
      <w:sz w:val="20"/>
    </w:rPr>
  </w:style>
  <w:style w:type="character" w:customStyle="1" w:styleId="CommentTextChar">
    <w:name w:val="Comment Text Char"/>
    <w:basedOn w:val="DefaultParagraphFont"/>
    <w:link w:val="CommentText"/>
    <w:rsid w:val="00946FFF"/>
    <w:rPr>
      <w:lang w:val="en-GB"/>
    </w:rPr>
  </w:style>
  <w:style w:type="paragraph" w:styleId="CommentSubject">
    <w:name w:val="annotation subject"/>
    <w:basedOn w:val="CommentText"/>
    <w:next w:val="CommentText"/>
    <w:link w:val="CommentSubjectChar"/>
    <w:rsid w:val="00946FFF"/>
    <w:rPr>
      <w:b/>
      <w:bCs/>
    </w:rPr>
  </w:style>
  <w:style w:type="character" w:customStyle="1" w:styleId="CommentSubjectChar">
    <w:name w:val="Comment Subject Char"/>
    <w:basedOn w:val="CommentTextChar"/>
    <w:link w:val="CommentSubject"/>
    <w:rsid w:val="00946FFF"/>
    <w:rPr>
      <w:b/>
      <w:bCs/>
      <w:lang w:val="en-GB"/>
    </w:rPr>
  </w:style>
  <w:style w:type="paragraph" w:styleId="Revision">
    <w:name w:val="Revision"/>
    <w:hidden/>
    <w:uiPriority w:val="99"/>
    <w:semiHidden/>
    <w:rsid w:val="00B261F9"/>
    <w:rPr>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66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ocs.fcc.gov/public/attachments/FCC-23-22A1.pdf" TargetMode="External"/><Relationship Id="rId1" Type="http://schemas.openxmlformats.org/officeDocument/2006/relationships/hyperlink" Target="https://www.icao.int/safety/FSMP/MeetingDocs/FSMP%20WG6/IP/FSMP-WG06-IP04_Channel%20Plan%20for%20136-136.975%20MHz%20Band.DOC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My%20Documents\Web%20Sites\ATMRPP\Templates\ATMRPP_WG_WHL_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8770B9-F339-40E9-AF50-BD8889D5DE7D}"/>
</file>

<file path=customXml/itemProps2.xml><?xml version="1.0" encoding="utf-8"?>
<ds:datastoreItem xmlns:ds="http://schemas.openxmlformats.org/officeDocument/2006/customXml" ds:itemID="{B7A3C677-220D-4C82-9BAC-9C5CB62A0E3C}">
  <ds:schemaRefs>
    <ds:schemaRef ds:uri="http://schemas.microsoft.com/office/2006/metadata/properties"/>
    <ds:schemaRef ds:uri="http://schemas.microsoft.com/office/infopath/2007/PartnerControls"/>
    <ds:schemaRef ds:uri="713d6f2d-8a98-4dfb-98ca-54a7c3d9951e"/>
    <ds:schemaRef ds:uri="3a32ac1f-2b4c-47fa-adda-3523a18d37ad"/>
  </ds:schemaRefs>
</ds:datastoreItem>
</file>

<file path=customXml/itemProps3.xml><?xml version="1.0" encoding="utf-8"?>
<ds:datastoreItem xmlns:ds="http://schemas.openxmlformats.org/officeDocument/2006/customXml" ds:itemID="{AB170D6D-31FE-4CB0-BDFB-FA178CAFE5EA}">
  <ds:schemaRefs>
    <ds:schemaRef ds:uri="http://schemas.openxmlformats.org/officeDocument/2006/bibliography"/>
  </ds:schemaRefs>
</ds:datastoreItem>
</file>

<file path=customXml/itemProps4.xml><?xml version="1.0" encoding="utf-8"?>
<ds:datastoreItem xmlns:ds="http://schemas.openxmlformats.org/officeDocument/2006/customXml" ds:itemID="{DB6B1C62-558F-49F9-9FED-87C2418F15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ATMRPP_WG_WHL_1.dot</Template>
  <TotalTime>168</TotalTime>
  <Pages>6</Pages>
  <Words>2039</Words>
  <Characters>11256</Characters>
  <Application>Microsoft Office Word</Application>
  <DocSecurity>0</DocSecurity>
  <Lines>178</Lines>
  <Paragraphs>67</Paragraphs>
  <ScaleCrop>false</ScaleCrop>
  <HeadingPairs>
    <vt:vector size="2" baseType="variant">
      <vt:variant>
        <vt:lpstr>Title</vt:lpstr>
      </vt:variant>
      <vt:variant>
        <vt:i4>1</vt:i4>
      </vt:variant>
    </vt:vector>
  </HeadingPairs>
  <TitlesOfParts>
    <vt:vector size="1" baseType="lpstr">
      <vt:lpstr>1</vt:lpstr>
    </vt:vector>
  </TitlesOfParts>
  <Company>ICAO</Company>
  <LinksUpToDate>false</LinksUpToDate>
  <CharactersWithSpaces>13228</CharactersWithSpaces>
  <SharedDoc>false</SharedDoc>
  <HLinks>
    <vt:vector size="12" baseType="variant">
      <vt:variant>
        <vt:i4>6946929</vt:i4>
      </vt:variant>
      <vt:variant>
        <vt:i4>3</vt:i4>
      </vt:variant>
      <vt:variant>
        <vt:i4>0</vt:i4>
      </vt:variant>
      <vt:variant>
        <vt:i4>5</vt:i4>
      </vt:variant>
      <vt:variant>
        <vt:lpwstr>https://docs.fcc.gov/public/attachments/FCC-23-22A1.pdf</vt:lpwstr>
      </vt:variant>
      <vt:variant>
        <vt:lpwstr/>
      </vt:variant>
      <vt:variant>
        <vt:i4>1507360</vt:i4>
      </vt:variant>
      <vt:variant>
        <vt:i4>0</vt:i4>
      </vt:variant>
      <vt:variant>
        <vt:i4>0</vt:i4>
      </vt:variant>
      <vt:variant>
        <vt:i4>5</vt:i4>
      </vt:variant>
      <vt:variant>
        <vt:lpwstr>https://www.icao.int/safety/FSMP/MeetingDocs/FSMP WG6/IP/FSMP-WG06-IP04_Channel Plan for 136-136.975 MHz Band.DOCX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I.C.A.O.</dc:creator>
  <cp:keywords/>
  <cp:lastModifiedBy>Utsunomiya, Mie</cp:lastModifiedBy>
  <cp:revision>166</cp:revision>
  <cp:lastPrinted>2005-03-17T00:26:00Z</cp:lastPrinted>
  <dcterms:created xsi:type="dcterms:W3CDTF">2023-08-21T23:52:00Z</dcterms:created>
  <dcterms:modified xsi:type="dcterms:W3CDTF">2023-08-21T23:54:00Z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0x010100B372B09A9A77C4438999FF1325BEF759</vt:lpwstr>
  </property>
  <property fmtid="{D5CDD505-2E9C-101B-9397-08002B2CF9AE}" pid="3" name="MediaServiceImageTags">
    <vt:lpwstr/>
  </property>
</Properties>
</file>