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B20D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76B3773C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5DF222D2" w14:textId="77777777" w:rsidR="00E5621A" w:rsidRDefault="00E5621A" w:rsidP="00E5621A">
      <w:pPr>
        <w:pStyle w:val="Maintitle"/>
      </w:pPr>
      <w:r>
        <w:t>S</w:t>
      </w:r>
      <w:r w:rsidR="006B3636">
        <w:t>even</w:t>
      </w:r>
      <w:r>
        <w:t>teenth Working Group meeting</w:t>
      </w:r>
    </w:p>
    <w:p w14:paraId="2D2EAD07" w14:textId="77777777" w:rsidR="00E5621A" w:rsidRDefault="00E5621A" w:rsidP="00E5621A"/>
    <w:p w14:paraId="72B0BE1B" w14:textId="28C046CD" w:rsidR="00E5621A" w:rsidRDefault="006B3636" w:rsidP="00E5621A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Cairo</w:t>
      </w:r>
      <w:r w:rsidR="00E5621A">
        <w:rPr>
          <w:b/>
          <w:bCs/>
          <w:szCs w:val="22"/>
        </w:rPr>
        <w:t xml:space="preserve">, </w:t>
      </w:r>
      <w:r>
        <w:rPr>
          <w:b/>
          <w:bCs/>
          <w:szCs w:val="22"/>
        </w:rPr>
        <w:t>Egypt</w:t>
      </w:r>
      <w:r w:rsidR="00E5621A">
        <w:rPr>
          <w:b/>
          <w:bCs/>
          <w:szCs w:val="22"/>
        </w:rPr>
        <w:t xml:space="preserve">, </w:t>
      </w:r>
      <w:r>
        <w:rPr>
          <w:b/>
          <w:bCs/>
          <w:szCs w:val="22"/>
        </w:rPr>
        <w:t>30 August</w:t>
      </w:r>
      <w:r w:rsidR="00E5621A">
        <w:rPr>
          <w:b/>
          <w:bCs/>
          <w:szCs w:val="22"/>
        </w:rPr>
        <w:t xml:space="preserve"> – </w:t>
      </w:r>
      <w:r w:rsidR="00335CCC">
        <w:rPr>
          <w:b/>
          <w:bCs/>
          <w:szCs w:val="22"/>
        </w:rPr>
        <w:t>7</w:t>
      </w:r>
      <w:r w:rsidR="00E5621A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September</w:t>
      </w:r>
      <w:r w:rsidR="00E5621A">
        <w:rPr>
          <w:b/>
          <w:bCs/>
          <w:szCs w:val="22"/>
        </w:rPr>
        <w:t xml:space="preserve"> 2023</w:t>
      </w:r>
    </w:p>
    <w:p w14:paraId="017A067A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415722C1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46DD14F0" w14:textId="4FDBD6C3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3710A8">
        <w:rPr>
          <w:lang w:val="sv-SE"/>
        </w:rPr>
        <w:t xml:space="preserve"> 3b</w:t>
      </w:r>
      <w:r>
        <w:rPr>
          <w:lang w:val="sv-SE"/>
        </w:rPr>
        <w:t>:</w:t>
      </w:r>
      <w:r>
        <w:rPr>
          <w:lang w:val="sv-SE"/>
        </w:rPr>
        <w:tab/>
      </w:r>
      <w:r w:rsidR="003710A8" w:rsidRPr="003710A8">
        <w:rPr>
          <w:lang w:val="sv-SE"/>
        </w:rPr>
        <w:t>WRC-23 AI 1.7 VHF AMS(R)S</w:t>
      </w:r>
    </w:p>
    <w:p w14:paraId="2A7923CA" w14:textId="77777777" w:rsidR="00770160" w:rsidRDefault="00770160">
      <w:pPr>
        <w:pStyle w:val="Agendaitemtitle"/>
        <w:rPr>
          <w:b w:val="0"/>
          <w:lang w:val="sv-SE"/>
        </w:rPr>
      </w:pPr>
    </w:p>
    <w:p w14:paraId="045EC5BE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42D4B6D5" w14:textId="77777777" w:rsidR="00770160" w:rsidRDefault="000A15C2">
      <w:pPr>
        <w:pStyle w:val="Maintitle"/>
      </w:pPr>
      <w:r>
        <w:t>AMS(R)S INTERFERENCE PROTECTION CRITERIA</w:t>
      </w:r>
    </w:p>
    <w:p w14:paraId="7576D4AE" w14:textId="77777777" w:rsidR="00770160" w:rsidRDefault="00770160">
      <w:pPr>
        <w:tabs>
          <w:tab w:val="left" w:pos="6972"/>
        </w:tabs>
      </w:pPr>
    </w:p>
    <w:p w14:paraId="6ACA061A" w14:textId="77777777" w:rsidR="00770160" w:rsidRDefault="00770160">
      <w:pPr>
        <w:tabs>
          <w:tab w:val="left" w:pos="6972"/>
        </w:tabs>
      </w:pPr>
    </w:p>
    <w:p w14:paraId="63590D0D" w14:textId="553DFF83" w:rsidR="00770160" w:rsidRDefault="00770160">
      <w:pPr>
        <w:jc w:val="center"/>
      </w:pPr>
      <w:r>
        <w:t>Presented by</w:t>
      </w:r>
      <w:bookmarkStart w:id="1" w:name="presented_by"/>
      <w:bookmarkEnd w:id="1"/>
      <w:r>
        <w:t xml:space="preserve"> </w:t>
      </w:r>
      <w:r w:rsidR="003710A8">
        <w:t>Guillaume Novella (France)</w:t>
      </w:r>
    </w:p>
    <w:p w14:paraId="6A56A46E" w14:textId="77777777" w:rsidR="00770160" w:rsidRDefault="00770160"/>
    <w:p w14:paraId="18EF01B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26B76AF4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242125E4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35FF08C6" w14:textId="77777777">
        <w:trPr>
          <w:cantSplit/>
          <w:jc w:val="center"/>
        </w:trPr>
        <w:tc>
          <w:tcPr>
            <w:tcW w:w="7200" w:type="dxa"/>
          </w:tcPr>
          <w:p w14:paraId="658EE549" w14:textId="468037C1" w:rsidR="00770160" w:rsidRDefault="000A15C2">
            <w:pPr>
              <w:rPr>
                <w:lang w:val="en-US"/>
              </w:rPr>
            </w:pPr>
            <w:r>
              <w:rPr>
                <w:lang w:val="en-US"/>
              </w:rPr>
              <w:t xml:space="preserve">The objective of this contribution is to initiate discussion on the interference protection criteria of AMS(R)S operating in the aeronautical VHF frequency band. This AMS(R)S protection criteria </w:t>
            </w:r>
            <w:r w:rsidR="003710A8">
              <w:rPr>
                <w:lang w:val="en-US"/>
              </w:rPr>
              <w:t>could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indeed</w:t>
            </w:r>
            <w:proofErr w:type="gramEnd"/>
            <w:r>
              <w:rPr>
                <w:lang w:val="en-US"/>
              </w:rPr>
              <w:t xml:space="preserve"> necessary for compatibility analyses conducted in ITU as part of WRC-23 AI 1.7.</w:t>
            </w:r>
          </w:p>
        </w:tc>
      </w:tr>
    </w:tbl>
    <w:p w14:paraId="140052F3" w14:textId="77777777" w:rsidR="00770160" w:rsidRDefault="00770160"/>
    <w:p w14:paraId="6B7ADE89" w14:textId="77777777" w:rsidR="00770160" w:rsidRDefault="00770160"/>
    <w:p w14:paraId="63B818B1" w14:textId="77777777" w:rsidR="00770160" w:rsidRDefault="00770160">
      <w:pPr>
        <w:pStyle w:val="1Heading"/>
      </w:pPr>
      <w:r>
        <w:t>INTRODUCTION</w:t>
      </w:r>
    </w:p>
    <w:p w14:paraId="28981FEF" w14:textId="330C71A9" w:rsidR="00770160" w:rsidRDefault="000A15C2">
      <w:pPr>
        <w:pStyle w:val="2para"/>
      </w:pPr>
      <w:r>
        <w:t xml:space="preserve">ITU is currently considering a potential new allocation for AMS(R)S in </w:t>
      </w:r>
      <w:r w:rsidR="003710A8">
        <w:t xml:space="preserve">all or part of </w:t>
      </w:r>
      <w:r>
        <w:t>the aeronautical VHF frequency band 117.975-137 MHz, as par</w:t>
      </w:r>
      <w:r w:rsidR="00480B77">
        <w:t>t</w:t>
      </w:r>
      <w:r>
        <w:t xml:space="preserve"> of WRC-23 AI1.7. According to ITU-R Resolution 42</w:t>
      </w:r>
      <w:r w:rsidR="00480B77">
        <w:t>8</w:t>
      </w:r>
      <w:r>
        <w:t xml:space="preserve">, a requirement to approve this allocation </w:t>
      </w:r>
      <w:r w:rsidR="0010430D">
        <w:t>would be that AMS(R)S technical characteristics ensure the protection of systems using existing primary services in adjacent frequency bands and ensure that planned usage of those system is not constrained.</w:t>
      </w:r>
    </w:p>
    <w:p w14:paraId="6F0DE14C" w14:textId="1E40C015" w:rsidR="0010430D" w:rsidRDefault="0010430D">
      <w:pPr>
        <w:pStyle w:val="2para"/>
      </w:pPr>
      <w:r>
        <w:t>Studies conducted by ITU WP-5B provide conditions so that AMS(R)</w:t>
      </w:r>
      <w:r w:rsidR="007D502F">
        <w:t>S does not cause harmful interference to adjacent band systems.</w:t>
      </w:r>
    </w:p>
    <w:p w14:paraId="028919C6" w14:textId="77777777" w:rsidR="007D502F" w:rsidRDefault="007D502F">
      <w:pPr>
        <w:pStyle w:val="2para"/>
      </w:pPr>
      <w:r>
        <w:t>AMS(R)S is by nature a safety of life system and therefore, it shall be protected from harmful interference</w:t>
      </w:r>
      <w:r w:rsidR="00480B77">
        <w:t>:</w:t>
      </w:r>
      <w:r w:rsidR="00BB1B16">
        <w:t xml:space="preserve"> as a consequence,</w:t>
      </w:r>
      <w:r w:rsidR="00480B77">
        <w:t xml:space="preserve"> a system </w:t>
      </w:r>
      <w:proofErr w:type="spellStart"/>
      <w:r w:rsidR="00480B77">
        <w:t>wich</w:t>
      </w:r>
      <w:proofErr w:type="spellEnd"/>
      <w:r w:rsidR="00480B77">
        <w:t xml:space="preserve"> would create harmful interference on AMS(R)S shall immediately </w:t>
      </w:r>
      <w:proofErr w:type="gramStart"/>
      <w:r w:rsidR="00480B77">
        <w:t>stops</w:t>
      </w:r>
      <w:proofErr w:type="gramEnd"/>
      <w:r w:rsidR="00480B77">
        <w:t xml:space="preserve"> its emission. </w:t>
      </w:r>
      <w:proofErr w:type="gramStart"/>
      <w:r w:rsidR="00480B77">
        <w:t>As a consequence</w:t>
      </w:r>
      <w:proofErr w:type="gramEnd"/>
      <w:r w:rsidR="00480B77">
        <w:t>, to fulfil the conditions of ITU Resolution 428, it is necessary to study the impact of adjacent band services on AMS(R)S. These studies have been conducted by ITU WP-5B.</w:t>
      </w:r>
    </w:p>
    <w:p w14:paraId="60AE6977" w14:textId="5047C339" w:rsidR="00480B77" w:rsidRPr="006A65FA" w:rsidRDefault="00480B77" w:rsidP="00480B77">
      <w:pPr>
        <w:pStyle w:val="2para"/>
      </w:pPr>
      <w:r w:rsidRPr="006A65FA">
        <w:lastRenderedPageBreak/>
        <w:t>Studies conducted by ITU WP-5B has not yet concluded on the capability of the AMS(R)S satellite receiver to operate in the VDL Mode 2 CSC channel (</w:t>
      </w:r>
      <w:proofErr w:type="spellStart"/>
      <w:r w:rsidRPr="006A65FA">
        <w:t>centered</w:t>
      </w:r>
      <w:proofErr w:type="spellEnd"/>
      <w:r w:rsidRPr="006A65FA">
        <w:t xml:space="preserve"> on 137.975 MHz), with the interference environment </w:t>
      </w:r>
      <w:r w:rsidR="00432537" w:rsidRPr="006A65FA">
        <w:t xml:space="preserve">induced by services operating in the frequency band 137-138 </w:t>
      </w:r>
      <w:proofErr w:type="spellStart"/>
      <w:r w:rsidR="00432537" w:rsidRPr="006A65FA">
        <w:t>MHz.</w:t>
      </w:r>
      <w:proofErr w:type="spellEnd"/>
      <w:r w:rsidR="00432537" w:rsidRPr="006A65FA">
        <w:t xml:space="preserve"> As a matter of fact, the acceptable level of interference which must be tolerated by AMS(R)S satellite receiver is not yet defined</w:t>
      </w:r>
      <w:r w:rsidR="007B136F" w:rsidRPr="006A65FA">
        <w:t xml:space="preserve">, and the aggregated interference level caused by systems operating in the frequency band 137-138 MHz is still under discussion. </w:t>
      </w:r>
      <w:proofErr w:type="gramStart"/>
      <w:r w:rsidR="007B136F" w:rsidRPr="006A65FA">
        <w:t>However</w:t>
      </w:r>
      <w:proofErr w:type="gramEnd"/>
      <w:r w:rsidR="007B136F" w:rsidRPr="006A65FA">
        <w:t xml:space="preserve"> this acceptable level of interference would be useful to </w:t>
      </w:r>
      <w:r w:rsidR="006A65FA" w:rsidRPr="006A65FA">
        <w:t>close</w:t>
      </w:r>
      <w:r w:rsidR="007B136F" w:rsidRPr="006A65FA">
        <w:t xml:space="preserve"> the</w:t>
      </w:r>
      <w:r w:rsidR="00432537" w:rsidRPr="006A65FA">
        <w:t xml:space="preserve"> ITU compatibility analyses.</w:t>
      </w:r>
    </w:p>
    <w:p w14:paraId="29643553" w14:textId="15105F9A" w:rsidR="007B136F" w:rsidRDefault="00795E90" w:rsidP="00480B77">
      <w:pPr>
        <w:pStyle w:val="2para"/>
      </w:pPr>
      <w:r>
        <w:t xml:space="preserve">The objective of this paper </w:t>
      </w:r>
      <w:proofErr w:type="gramStart"/>
      <w:r>
        <w:t xml:space="preserve">is </w:t>
      </w:r>
      <w:r w:rsidR="007B136F">
        <w:t xml:space="preserve"> to</w:t>
      </w:r>
      <w:proofErr w:type="gramEnd"/>
      <w:r w:rsidR="007B136F">
        <w:t xml:space="preserve"> compare several protection </w:t>
      </w:r>
      <w:proofErr w:type="spellStart"/>
      <w:r w:rsidR="007B136F">
        <w:t>criterias</w:t>
      </w:r>
      <w:proofErr w:type="spellEnd"/>
      <w:r w:rsidR="007B136F">
        <w:t xml:space="preserve"> commonly used by ICAO and ITU.</w:t>
      </w:r>
    </w:p>
    <w:p w14:paraId="2D3C1F32" w14:textId="77777777" w:rsidR="00770160" w:rsidRDefault="00770160">
      <w:pPr>
        <w:pStyle w:val="1Heading"/>
      </w:pPr>
      <w:r>
        <w:t>ACTION BY THE MEETING</w:t>
      </w:r>
    </w:p>
    <w:p w14:paraId="76859621" w14:textId="77777777" w:rsidR="00770160" w:rsidRDefault="00770160">
      <w:pPr>
        <w:pStyle w:val="2para"/>
      </w:pPr>
      <w:r>
        <w:t>The meeting is invited to:</w:t>
      </w:r>
    </w:p>
    <w:p w14:paraId="7DDD6F70" w14:textId="2CACC7FE"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</w:t>
      </w:r>
      <w:r w:rsidR="00795E90">
        <w:t xml:space="preserve"> and its annex</w:t>
      </w:r>
      <w:r>
        <w:t>;</w:t>
      </w:r>
    </w:p>
    <w:p w14:paraId="33091AD8" w14:textId="1F9B1532" w:rsidR="00770160" w:rsidRDefault="00DB7B76">
      <w:pPr>
        <w:pStyle w:val="Listabc"/>
      </w:pPr>
      <w:r>
        <w:t xml:space="preserve">initiate discussion on </w:t>
      </w:r>
      <w:r w:rsidR="00E62014">
        <w:t xml:space="preserve">the acceptable level of interference for AMS(R)S satellite receiver to be considered for the protection of AMS(R)S. </w:t>
      </w:r>
    </w:p>
    <w:p w14:paraId="45CEDE40" w14:textId="2C31069B" w:rsidR="00795E90" w:rsidRDefault="00795E90" w:rsidP="00795E90">
      <w:pPr>
        <w:pStyle w:val="Listabc"/>
        <w:numPr>
          <w:ilvl w:val="0"/>
          <w:numId w:val="0"/>
        </w:numPr>
      </w:pPr>
    </w:p>
    <w:p w14:paraId="6FD73B7A" w14:textId="2F11A8FD" w:rsidR="00795E90" w:rsidRDefault="00795E90" w:rsidP="00795E90">
      <w:pPr>
        <w:pStyle w:val="Listabc"/>
        <w:numPr>
          <w:ilvl w:val="0"/>
          <w:numId w:val="0"/>
        </w:numPr>
      </w:pPr>
    </w:p>
    <w:p w14:paraId="538CBA84" w14:textId="58DC342A" w:rsidR="00795E90" w:rsidRDefault="00795E90" w:rsidP="00795E90">
      <w:pPr>
        <w:pStyle w:val="Listabc"/>
        <w:numPr>
          <w:ilvl w:val="0"/>
          <w:numId w:val="0"/>
        </w:numPr>
      </w:pPr>
    </w:p>
    <w:p w14:paraId="12CA23C6" w14:textId="6FCB27B6" w:rsidR="00795E90" w:rsidRDefault="00795E90" w:rsidP="00795E90">
      <w:pPr>
        <w:pStyle w:val="Listabc"/>
        <w:numPr>
          <w:ilvl w:val="0"/>
          <w:numId w:val="0"/>
        </w:numPr>
      </w:pPr>
    </w:p>
    <w:p w14:paraId="5FBF6794" w14:textId="4CF57959" w:rsidR="00795E90" w:rsidRDefault="00795E90" w:rsidP="00795E90">
      <w:pPr>
        <w:pStyle w:val="Listabc"/>
        <w:numPr>
          <w:ilvl w:val="0"/>
          <w:numId w:val="0"/>
        </w:numPr>
      </w:pPr>
    </w:p>
    <w:p w14:paraId="003D2A58" w14:textId="458E31BC" w:rsidR="00795E90" w:rsidRDefault="00795E90" w:rsidP="00795E90">
      <w:pPr>
        <w:pStyle w:val="Listabc"/>
        <w:numPr>
          <w:ilvl w:val="0"/>
          <w:numId w:val="0"/>
        </w:numPr>
      </w:pPr>
    </w:p>
    <w:p w14:paraId="7B16C2E0" w14:textId="333F01D6" w:rsidR="00795E90" w:rsidRDefault="00795E90" w:rsidP="00795E90">
      <w:pPr>
        <w:pStyle w:val="Listabc"/>
        <w:numPr>
          <w:ilvl w:val="0"/>
          <w:numId w:val="0"/>
        </w:numPr>
      </w:pPr>
    </w:p>
    <w:p w14:paraId="13364F54" w14:textId="258E022A" w:rsidR="00795E90" w:rsidRDefault="00795E90" w:rsidP="00795E90">
      <w:pPr>
        <w:pStyle w:val="Listabc"/>
        <w:numPr>
          <w:ilvl w:val="0"/>
          <w:numId w:val="0"/>
        </w:numPr>
      </w:pPr>
    </w:p>
    <w:p w14:paraId="53F5C505" w14:textId="169440C3" w:rsidR="00795E90" w:rsidRDefault="00795E90" w:rsidP="00795E90">
      <w:pPr>
        <w:pStyle w:val="Listabc"/>
        <w:numPr>
          <w:ilvl w:val="0"/>
          <w:numId w:val="0"/>
        </w:numPr>
      </w:pPr>
    </w:p>
    <w:p w14:paraId="50853A8D" w14:textId="22241887" w:rsidR="00795E90" w:rsidRDefault="00795E90" w:rsidP="00795E90">
      <w:pPr>
        <w:pStyle w:val="Listabc"/>
        <w:numPr>
          <w:ilvl w:val="0"/>
          <w:numId w:val="0"/>
        </w:numPr>
      </w:pPr>
    </w:p>
    <w:p w14:paraId="5DCDBCB2" w14:textId="38CCE7B5" w:rsidR="00795E90" w:rsidRDefault="00795E90" w:rsidP="00795E90">
      <w:pPr>
        <w:pStyle w:val="Listabc"/>
        <w:numPr>
          <w:ilvl w:val="0"/>
          <w:numId w:val="0"/>
        </w:numPr>
      </w:pPr>
    </w:p>
    <w:p w14:paraId="27E1EBF0" w14:textId="21252038" w:rsidR="00795E90" w:rsidRDefault="00795E90" w:rsidP="00795E90">
      <w:pPr>
        <w:pStyle w:val="Listabc"/>
        <w:numPr>
          <w:ilvl w:val="0"/>
          <w:numId w:val="0"/>
        </w:numPr>
      </w:pPr>
    </w:p>
    <w:p w14:paraId="2851C981" w14:textId="64AC2670" w:rsidR="00795E90" w:rsidRDefault="00795E90" w:rsidP="00795E90">
      <w:pPr>
        <w:pStyle w:val="Listabc"/>
        <w:numPr>
          <w:ilvl w:val="0"/>
          <w:numId w:val="0"/>
        </w:numPr>
      </w:pPr>
    </w:p>
    <w:p w14:paraId="3B4B88F4" w14:textId="77777777" w:rsidR="00795E90" w:rsidRDefault="00795E90" w:rsidP="00795E90">
      <w:pPr>
        <w:pStyle w:val="Listabc"/>
        <w:numPr>
          <w:ilvl w:val="0"/>
          <w:numId w:val="0"/>
        </w:numPr>
      </w:pPr>
    </w:p>
    <w:p w14:paraId="2227B8EF" w14:textId="65D50344" w:rsidR="00795E90" w:rsidRDefault="00795E90" w:rsidP="00795E90">
      <w:pPr>
        <w:pStyle w:val="1Heading"/>
      </w:pPr>
      <w:r>
        <w:t>ANNEX: COMPARISON OF SEVERAL PROTECTION CRITERIAS</w:t>
      </w:r>
    </w:p>
    <w:p w14:paraId="68EE7866" w14:textId="77777777" w:rsidR="00795E90" w:rsidRDefault="00795E90" w:rsidP="00795E90">
      <w:pPr>
        <w:pStyle w:val="2para"/>
      </w:pPr>
      <w:r>
        <w:t>Several approaches are investigated and compared using the following typical metrics of interference characterization:</w:t>
      </w:r>
    </w:p>
    <w:p w14:paraId="1F8DCE27" w14:textId="77777777" w:rsidR="00795E90" w:rsidRDefault="00795E90" w:rsidP="00795E90">
      <w:pPr>
        <w:pStyle w:val="2para"/>
        <w:numPr>
          <w:ilvl w:val="0"/>
          <w:numId w:val="7"/>
        </w:numPr>
      </w:pPr>
      <w:r>
        <w:t>Carrier to interference power ratio (C/I)</w:t>
      </w:r>
    </w:p>
    <w:p w14:paraId="1E2A73A1" w14:textId="77777777" w:rsidR="00795E90" w:rsidRDefault="00795E90" w:rsidP="00795E90">
      <w:pPr>
        <w:pStyle w:val="2para"/>
        <w:numPr>
          <w:ilvl w:val="0"/>
          <w:numId w:val="7"/>
        </w:numPr>
      </w:pPr>
      <w:r>
        <w:t>Interference to noise power ratio (I/N)</w:t>
      </w:r>
    </w:p>
    <w:p w14:paraId="5DA2A993" w14:textId="77777777" w:rsidR="00795E90" w:rsidRDefault="00795E90" w:rsidP="00795E90">
      <w:pPr>
        <w:pStyle w:val="2para"/>
        <w:numPr>
          <w:ilvl w:val="0"/>
          <w:numId w:val="7"/>
        </w:numPr>
      </w:pPr>
      <w:r>
        <w:t>Degradation of energy per bit to noise power spectral density ratio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).</w:t>
      </w:r>
    </w:p>
    <w:p w14:paraId="44504E2F" w14:textId="77777777" w:rsidR="00795E90" w:rsidRDefault="00795E90" w:rsidP="00795E90">
      <w:pPr>
        <w:pStyle w:val="2para"/>
        <w:numPr>
          <w:ilvl w:val="0"/>
          <w:numId w:val="7"/>
        </w:numPr>
      </w:pPr>
      <w:r>
        <w:t>Remaining energy per bit to effective noise power spectral density ratio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0,eff</m:t>
            </m:r>
          </m:sub>
        </m:sSub>
      </m:oMath>
      <w:r>
        <w:t>) link budget margin.</w:t>
      </w:r>
    </w:p>
    <w:p w14:paraId="57D43C7C" w14:textId="77777777" w:rsidR="00795E90" w:rsidRDefault="00795E90" w:rsidP="00795E90">
      <w:pPr>
        <w:pStyle w:val="2para"/>
      </w:pPr>
      <w:r>
        <w:t xml:space="preserve">The characterization of the interference through 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degradation or the remaining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0,eff</m:t>
            </m:r>
          </m:sub>
        </m:sSub>
      </m:oMath>
      <w:r>
        <w:t xml:space="preserve"> link budget margin relies on a link budget analysis at the satellite receiver. It is detailed below.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2449"/>
        <w:gridCol w:w="3560"/>
      </w:tblGrid>
      <w:tr w:rsidR="00795E90" w:rsidRPr="0018379E" w14:paraId="05BE387D" w14:textId="77777777" w:rsidTr="00E41E37">
        <w:trPr>
          <w:trHeight w:val="273"/>
          <w:jc w:val="center"/>
        </w:trPr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042151F8" w14:textId="77777777" w:rsidR="00795E90" w:rsidRPr="0018379E" w:rsidRDefault="00795E90" w:rsidP="00E41E37">
            <w:pPr>
              <w:jc w:val="left"/>
              <w:rPr>
                <w:color w:val="000000"/>
                <w:szCs w:val="22"/>
                <w:lang w:val="fr-FR" w:eastAsia="fr-FR"/>
              </w:rPr>
            </w:pPr>
            <w:r w:rsidRPr="0018379E">
              <w:rPr>
                <w:color w:val="000000"/>
                <w:szCs w:val="22"/>
                <w:lang w:val="fr-FR" w:eastAsia="fr-FR"/>
              </w:rPr>
              <w:t xml:space="preserve">Minimum signal power at satellite </w:t>
            </w:r>
            <w:proofErr w:type="spellStart"/>
            <w:r w:rsidRPr="0018379E">
              <w:rPr>
                <w:color w:val="000000"/>
                <w:szCs w:val="22"/>
                <w:lang w:val="fr-FR" w:eastAsia="fr-FR"/>
              </w:rPr>
              <w:t>antenna</w:t>
            </w:r>
            <w:proofErr w:type="spellEnd"/>
            <w:r w:rsidRPr="0018379E">
              <w:rPr>
                <w:color w:val="000000"/>
                <w:szCs w:val="22"/>
                <w:lang w:val="fr-FR" w:eastAsia="fr-FR"/>
              </w:rPr>
              <w:t xml:space="preserve"> port</w:t>
            </w:r>
            <w:r>
              <w:rPr>
                <w:color w:val="000000"/>
                <w:szCs w:val="22"/>
                <w:lang w:val="fr-FR" w:eastAsia="fr-FR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Cs w:val="22"/>
                  <w:lang w:val="fr-FR" w:eastAsia="fr-FR"/>
                </w:rPr>
                <m:t>C</m:t>
              </m:r>
            </m:oMath>
            <w:r w:rsidRPr="0018379E">
              <w:rPr>
                <w:color w:val="000000"/>
                <w:szCs w:val="22"/>
                <w:lang w:val="fr-FR" w:eastAsia="fr-FR"/>
              </w:rPr>
              <w:t xml:space="preserve"> (dBm)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0D52404F" w14:textId="77777777" w:rsidR="00795E90" w:rsidRPr="0018379E" w:rsidRDefault="00795E90" w:rsidP="00E41E37">
            <w:pPr>
              <w:jc w:val="center"/>
              <w:rPr>
                <w:color w:val="000000"/>
                <w:szCs w:val="22"/>
                <w:lang w:val="fr-FR" w:eastAsia="fr-FR"/>
              </w:rPr>
            </w:pPr>
            <w:r w:rsidRPr="0018379E">
              <w:rPr>
                <w:color w:val="000000"/>
                <w:szCs w:val="22"/>
                <w:lang w:val="fr-FR" w:eastAsia="fr-FR"/>
              </w:rPr>
              <w:t>-131,8</w:t>
            </w:r>
          </w:p>
        </w:tc>
        <w:tc>
          <w:tcPr>
            <w:tcW w:w="3560" w:type="dxa"/>
            <w:vAlign w:val="center"/>
          </w:tcPr>
          <w:p w14:paraId="2779C66E" w14:textId="77777777" w:rsidR="00795E90" w:rsidRPr="0018379E" w:rsidRDefault="00795E90" w:rsidP="00E41E37">
            <w:pPr>
              <w:jc w:val="left"/>
              <w:rPr>
                <w:color w:val="000000"/>
                <w:szCs w:val="22"/>
                <w:lang w:val="fr-FR" w:eastAsia="fr-FR"/>
              </w:rPr>
            </w:pPr>
            <w:r>
              <w:rPr>
                <w:color w:val="000000"/>
                <w:szCs w:val="22"/>
                <w:lang w:val="fr-FR" w:eastAsia="fr-FR"/>
              </w:rPr>
              <w:t xml:space="preserve">PDNR </w:t>
            </w:r>
            <w:proofErr w:type="spellStart"/>
            <w:r>
              <w:rPr>
                <w:color w:val="000000"/>
                <w:szCs w:val="22"/>
                <w:lang w:val="fr-FR" w:eastAsia="fr-FR"/>
              </w:rPr>
              <w:t>Space</w:t>
            </w:r>
            <w:proofErr w:type="spellEnd"/>
            <w:r>
              <w:rPr>
                <w:color w:val="000000"/>
                <w:szCs w:val="22"/>
                <w:lang w:val="fr-FR" w:eastAsia="fr-FR"/>
              </w:rPr>
              <w:t xml:space="preserve"> VHF</w:t>
            </w:r>
          </w:p>
        </w:tc>
      </w:tr>
      <w:tr w:rsidR="00795E90" w:rsidRPr="0018379E" w14:paraId="0D37DB16" w14:textId="77777777" w:rsidTr="00E41E37">
        <w:trPr>
          <w:trHeight w:val="273"/>
          <w:jc w:val="center"/>
        </w:trPr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6D89D4AC" w14:textId="77777777" w:rsidR="00795E90" w:rsidRPr="00335CCC" w:rsidRDefault="00795E90" w:rsidP="00E41E37">
            <w:pPr>
              <w:jc w:val="left"/>
              <w:rPr>
                <w:color w:val="000000"/>
                <w:szCs w:val="22"/>
                <w:lang w:val="en-CA" w:eastAsia="fr-FR"/>
              </w:rPr>
            </w:pPr>
            <w:r w:rsidRPr="00335CCC">
              <w:rPr>
                <w:color w:val="000000"/>
                <w:szCs w:val="22"/>
                <w:lang w:val="en-CA" w:eastAsia="fr-FR"/>
              </w:rPr>
              <w:t xml:space="preserve">Bit rate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b</m:t>
                  </m:r>
                </m:sub>
              </m:sSub>
            </m:oMath>
            <w:r w:rsidRPr="00335CCC">
              <w:rPr>
                <w:color w:val="000000"/>
                <w:szCs w:val="22"/>
                <w:lang w:val="en-CA" w:eastAsia="fr-FR"/>
              </w:rPr>
              <w:t xml:space="preserve"> (bit/s)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5BB0AC57" w14:textId="77777777" w:rsidR="00795E90" w:rsidRPr="0018379E" w:rsidRDefault="00795E90" w:rsidP="00E41E37">
            <w:pPr>
              <w:jc w:val="center"/>
              <w:rPr>
                <w:color w:val="000000"/>
                <w:szCs w:val="22"/>
                <w:lang w:val="fr-FR" w:eastAsia="fr-FR"/>
              </w:rPr>
            </w:pPr>
            <w:r w:rsidRPr="0018379E">
              <w:rPr>
                <w:color w:val="000000"/>
                <w:szCs w:val="22"/>
                <w:lang w:val="fr-FR" w:eastAsia="fr-FR"/>
              </w:rPr>
              <w:t xml:space="preserve">31.5 </w:t>
            </w:r>
            <w:proofErr w:type="spellStart"/>
            <w:r w:rsidRPr="0018379E">
              <w:rPr>
                <w:color w:val="000000"/>
                <w:szCs w:val="22"/>
                <w:lang w:val="fr-FR" w:eastAsia="fr-FR"/>
              </w:rPr>
              <w:t>kbits/s</w:t>
            </w:r>
            <w:proofErr w:type="spellEnd"/>
          </w:p>
        </w:tc>
        <w:tc>
          <w:tcPr>
            <w:tcW w:w="3560" w:type="dxa"/>
            <w:vAlign w:val="center"/>
          </w:tcPr>
          <w:p w14:paraId="23D06823" w14:textId="77777777" w:rsidR="00795E90" w:rsidRPr="0018379E" w:rsidRDefault="00795E90" w:rsidP="00E41E37">
            <w:pPr>
              <w:jc w:val="left"/>
              <w:rPr>
                <w:color w:val="000000"/>
                <w:szCs w:val="22"/>
                <w:lang w:val="fr-FR" w:eastAsia="fr-FR"/>
              </w:rPr>
            </w:pPr>
          </w:p>
        </w:tc>
      </w:tr>
      <w:tr w:rsidR="00795E90" w:rsidRPr="0018379E" w14:paraId="2B2E5AB1" w14:textId="77777777" w:rsidTr="00E41E37">
        <w:trPr>
          <w:trHeight w:val="273"/>
          <w:jc w:val="center"/>
        </w:trPr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32DCA2B3" w14:textId="77777777" w:rsidR="00795E90" w:rsidRPr="00335CCC" w:rsidRDefault="00795E90" w:rsidP="00E41E37">
            <w:pPr>
              <w:jc w:val="left"/>
              <w:rPr>
                <w:color w:val="000000"/>
                <w:szCs w:val="22"/>
                <w:lang w:val="en-CA" w:eastAsia="fr-FR"/>
              </w:rPr>
            </w:pPr>
            <w:r w:rsidRPr="00335CCC">
              <w:rPr>
                <w:color w:val="000000"/>
                <w:szCs w:val="22"/>
                <w:lang w:val="en-CA" w:eastAsia="fr-FR"/>
              </w:rPr>
              <w:t xml:space="preserve">Energy per bits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b</m:t>
                  </m:r>
                </m:sub>
              </m:sSub>
            </m:oMath>
            <w:r w:rsidRPr="00335CCC">
              <w:rPr>
                <w:color w:val="000000"/>
                <w:szCs w:val="22"/>
                <w:lang w:val="en-CA" w:eastAsia="fr-FR"/>
              </w:rPr>
              <w:t xml:space="preserve"> (dBm.s)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555A8059" w14:textId="77777777" w:rsidR="00795E90" w:rsidRPr="0018379E" w:rsidRDefault="00795E90" w:rsidP="00E41E37">
            <w:pPr>
              <w:jc w:val="center"/>
              <w:rPr>
                <w:color w:val="000000"/>
                <w:szCs w:val="22"/>
                <w:lang w:val="fr-FR" w:eastAsia="fr-FR"/>
              </w:rPr>
            </w:pPr>
            <w:r w:rsidRPr="0018379E">
              <w:rPr>
                <w:color w:val="000000"/>
                <w:szCs w:val="22"/>
                <w:lang w:val="fr-FR" w:eastAsia="fr-FR"/>
              </w:rPr>
              <w:t>-176,</w:t>
            </w:r>
            <w:r>
              <w:rPr>
                <w:color w:val="000000"/>
                <w:szCs w:val="22"/>
                <w:lang w:val="fr-FR" w:eastAsia="fr-FR"/>
              </w:rPr>
              <w:t>8</w:t>
            </w:r>
          </w:p>
        </w:tc>
        <w:tc>
          <w:tcPr>
            <w:tcW w:w="3560" w:type="dxa"/>
            <w:vAlign w:val="center"/>
          </w:tcPr>
          <w:p w14:paraId="0BFAAF93" w14:textId="77777777" w:rsidR="00795E90" w:rsidRPr="0018379E" w:rsidRDefault="00000000" w:rsidP="00E41E37">
            <w:pPr>
              <w:jc w:val="left"/>
              <w:rPr>
                <w:color w:val="000000"/>
                <w:szCs w:val="22"/>
                <w:lang w:val="fr-FR"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2"/>
                        <w:lang w:val="fr-FR"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2"/>
                        <w:lang w:val="fr-FR" w:eastAsia="fr-FR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2"/>
                        <w:lang w:val="fr-FR" w:eastAsia="fr-FR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Cs w:val="22"/>
                    <w:lang w:val="fr-FR" w:eastAsia="fr-FR"/>
                  </w:rPr>
                  <m:t>=C/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2"/>
                        <w:lang w:val="fr-FR" w:eastAsia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2"/>
                        <w:lang w:val="fr-FR" w:eastAsia="fr-FR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2"/>
                        <w:lang w:val="fr-FR" w:eastAsia="fr-FR"/>
                      </w:rPr>
                      <m:t>b</m:t>
                    </m:r>
                  </m:sub>
                </m:sSub>
              </m:oMath>
            </m:oMathPara>
          </w:p>
        </w:tc>
      </w:tr>
      <w:tr w:rsidR="00795E90" w:rsidRPr="0018379E" w14:paraId="3487467D" w14:textId="77777777" w:rsidTr="00E41E37">
        <w:trPr>
          <w:trHeight w:val="273"/>
          <w:jc w:val="center"/>
        </w:trPr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2C5A0C4C" w14:textId="77777777" w:rsidR="00795E90" w:rsidRPr="00335CCC" w:rsidRDefault="00795E90" w:rsidP="00E41E37">
            <w:pPr>
              <w:jc w:val="left"/>
              <w:rPr>
                <w:color w:val="000000"/>
                <w:szCs w:val="22"/>
                <w:lang w:val="en-CA" w:eastAsia="fr-FR"/>
              </w:rPr>
            </w:pPr>
            <w:r w:rsidRPr="00335CCC">
              <w:rPr>
                <w:color w:val="000000"/>
                <w:szCs w:val="22"/>
                <w:lang w:val="en-CA" w:eastAsia="fr-FR"/>
              </w:rPr>
              <w:t xml:space="preserve">Noise power spectral density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en-CA" w:eastAsia="fr-FR"/>
                    </w:rPr>
                    <m:t>0</m:t>
                  </m:r>
                </m:sub>
              </m:sSub>
            </m:oMath>
            <w:r w:rsidRPr="00335CCC">
              <w:rPr>
                <w:color w:val="000000"/>
                <w:szCs w:val="22"/>
                <w:lang w:val="en-CA" w:eastAsia="fr-FR"/>
              </w:rPr>
              <w:t xml:space="preserve"> (dBW/Hz)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15968AD7" w14:textId="77777777" w:rsidR="00795E90" w:rsidRPr="0018379E" w:rsidRDefault="00795E90" w:rsidP="00E41E37">
            <w:pPr>
              <w:jc w:val="center"/>
              <w:rPr>
                <w:color w:val="000000"/>
                <w:szCs w:val="22"/>
                <w:lang w:val="fr-FR" w:eastAsia="fr-FR"/>
              </w:rPr>
            </w:pPr>
            <w:r w:rsidRPr="0018379E">
              <w:rPr>
                <w:color w:val="000000"/>
                <w:szCs w:val="22"/>
                <w:lang w:val="fr-FR" w:eastAsia="fr-FR"/>
              </w:rPr>
              <w:t>-198,6</w:t>
            </w:r>
          </w:p>
        </w:tc>
        <w:tc>
          <w:tcPr>
            <w:tcW w:w="3560" w:type="dxa"/>
            <w:vAlign w:val="center"/>
          </w:tcPr>
          <w:p w14:paraId="4B591BAB" w14:textId="6B87F9C1" w:rsidR="00795E90" w:rsidRPr="00335CCC" w:rsidRDefault="00795E90" w:rsidP="00E41E37">
            <w:pPr>
              <w:jc w:val="left"/>
              <w:rPr>
                <w:color w:val="000000"/>
                <w:szCs w:val="22"/>
                <w:lang w:val="en-CA" w:eastAsia="fr-FR"/>
              </w:rPr>
            </w:pPr>
            <w:r w:rsidRPr="00335CCC">
              <w:rPr>
                <w:color w:val="000000"/>
                <w:szCs w:val="22"/>
                <w:lang w:val="en-CA" w:eastAsia="fr-FR"/>
              </w:rPr>
              <w:t xml:space="preserve">Computed from equivalent system noise temperature of ITU-R </w:t>
            </w:r>
            <w:r w:rsidR="0010721A">
              <w:t>SA.2426</w:t>
            </w:r>
          </w:p>
        </w:tc>
      </w:tr>
      <w:tr w:rsidR="00795E90" w:rsidRPr="0018379E" w14:paraId="4026166F" w14:textId="77777777" w:rsidTr="00E41E37">
        <w:trPr>
          <w:trHeight w:val="273"/>
          <w:jc w:val="center"/>
        </w:trPr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44A7FB4F" w14:textId="77777777" w:rsidR="00795E90" w:rsidRPr="0018379E" w:rsidRDefault="00000000" w:rsidP="00E41E37">
            <w:pPr>
              <w:jc w:val="left"/>
              <w:rPr>
                <w:color w:val="000000"/>
                <w:szCs w:val="22"/>
                <w:lang w:val="fr-FR" w:eastAsia="fr-FR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000000"/>
                  <w:szCs w:val="22"/>
                  <w:lang w:val="fr-FR" w:eastAsia="fr-FR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0</m:t>
                  </m:r>
                </m:sub>
              </m:sSub>
            </m:oMath>
            <w:r w:rsidR="00795E90" w:rsidRPr="0018379E">
              <w:rPr>
                <w:color w:val="000000"/>
                <w:szCs w:val="22"/>
                <w:lang w:val="fr-FR" w:eastAsia="fr-FR"/>
              </w:rPr>
              <w:t xml:space="preserve"> (</w:t>
            </w:r>
            <w:proofErr w:type="gramStart"/>
            <w:r w:rsidR="00795E90" w:rsidRPr="0018379E">
              <w:rPr>
                <w:color w:val="000000"/>
                <w:szCs w:val="22"/>
                <w:lang w:val="fr-FR" w:eastAsia="fr-FR"/>
              </w:rPr>
              <w:t>dB</w:t>
            </w:r>
            <w:proofErr w:type="gramEnd"/>
            <w:r w:rsidR="00795E90" w:rsidRPr="0018379E">
              <w:rPr>
                <w:color w:val="000000"/>
                <w:szCs w:val="22"/>
                <w:lang w:val="fr-FR" w:eastAsia="fr-FR"/>
              </w:rPr>
              <w:t>)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7B60CDA1" w14:textId="77777777" w:rsidR="00795E90" w:rsidRPr="0018379E" w:rsidRDefault="00795E90" w:rsidP="00E41E37">
            <w:pPr>
              <w:jc w:val="center"/>
              <w:rPr>
                <w:color w:val="000000"/>
                <w:szCs w:val="22"/>
                <w:lang w:val="fr-FR" w:eastAsia="fr-FR"/>
              </w:rPr>
            </w:pPr>
            <w:r w:rsidRPr="0018379E">
              <w:rPr>
                <w:color w:val="000000"/>
                <w:szCs w:val="22"/>
                <w:lang w:val="fr-FR" w:eastAsia="fr-FR"/>
              </w:rPr>
              <w:t>21,8</w:t>
            </w:r>
            <w:r>
              <w:rPr>
                <w:color w:val="000000"/>
                <w:szCs w:val="22"/>
                <w:lang w:val="fr-FR" w:eastAsia="fr-FR"/>
              </w:rPr>
              <w:t>2</w:t>
            </w:r>
          </w:p>
        </w:tc>
        <w:tc>
          <w:tcPr>
            <w:tcW w:w="3560" w:type="dxa"/>
            <w:vAlign w:val="center"/>
          </w:tcPr>
          <w:p w14:paraId="4BBD81B7" w14:textId="77777777" w:rsidR="00795E90" w:rsidRPr="0018379E" w:rsidRDefault="00795E90" w:rsidP="00E41E37">
            <w:pPr>
              <w:jc w:val="left"/>
              <w:rPr>
                <w:color w:val="000000"/>
                <w:szCs w:val="22"/>
                <w:lang w:val="fr-FR" w:eastAsia="fr-FR"/>
              </w:rPr>
            </w:pPr>
          </w:p>
        </w:tc>
      </w:tr>
      <w:tr w:rsidR="00795E90" w:rsidRPr="0018379E" w14:paraId="26DC6F2E" w14:textId="77777777" w:rsidTr="00E41E37">
        <w:trPr>
          <w:trHeight w:val="273"/>
          <w:jc w:val="center"/>
        </w:trPr>
        <w:tc>
          <w:tcPr>
            <w:tcW w:w="3200" w:type="dxa"/>
            <w:shd w:val="clear" w:color="auto" w:fill="auto"/>
            <w:noWrap/>
            <w:vAlign w:val="center"/>
            <w:hideMark/>
          </w:tcPr>
          <w:p w14:paraId="103768B5" w14:textId="77777777" w:rsidR="00795E90" w:rsidRPr="00335CCC" w:rsidRDefault="00000000" w:rsidP="00E41E37">
            <w:pPr>
              <w:jc w:val="left"/>
              <w:rPr>
                <w:color w:val="000000"/>
                <w:szCs w:val="22"/>
                <w:lang w:val="en-CA" w:eastAsia="fr-FR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000000"/>
                  <w:szCs w:val="22"/>
                  <w:lang w:val="en-CA" w:eastAsia="fr-FR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en-CA" w:eastAsia="fr-FR"/>
                    </w:rPr>
                    <m:t>0</m:t>
                  </m:r>
                </m:sub>
              </m:sSub>
            </m:oMath>
            <w:r w:rsidR="00795E90" w:rsidRPr="00335CCC">
              <w:rPr>
                <w:color w:val="000000"/>
                <w:szCs w:val="22"/>
                <w:lang w:val="en-CA" w:eastAsia="fr-FR"/>
              </w:rPr>
              <w:t xml:space="preserve"> threshold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en-CA" w:eastAsia="fr-FR"/>
                    </w:rPr>
                    <m:t>h</m:t>
                  </m:r>
                </m:sub>
              </m:sSub>
            </m:oMath>
            <w:r w:rsidR="00795E90" w:rsidRPr="00335CCC">
              <w:rPr>
                <w:color w:val="000000"/>
                <w:szCs w:val="22"/>
                <w:lang w:val="en-CA" w:eastAsia="fr-FR"/>
              </w:rPr>
              <w:t xml:space="preserve"> (dB)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38B8AD10" w14:textId="77777777" w:rsidR="00795E90" w:rsidRPr="0018379E" w:rsidRDefault="00795E90" w:rsidP="00E41E37">
            <w:pPr>
              <w:jc w:val="center"/>
              <w:rPr>
                <w:color w:val="000000"/>
                <w:szCs w:val="22"/>
                <w:lang w:val="fr-FR" w:eastAsia="fr-FR"/>
              </w:rPr>
            </w:pPr>
            <w:r w:rsidRPr="0018379E">
              <w:rPr>
                <w:color w:val="000000"/>
                <w:szCs w:val="22"/>
                <w:lang w:val="fr-FR" w:eastAsia="fr-FR"/>
              </w:rPr>
              <w:t>13,8</w:t>
            </w:r>
          </w:p>
        </w:tc>
        <w:tc>
          <w:tcPr>
            <w:tcW w:w="3560" w:type="dxa"/>
            <w:vAlign w:val="center"/>
          </w:tcPr>
          <w:p w14:paraId="1FD41954" w14:textId="77777777" w:rsidR="00795E90" w:rsidRPr="00335CCC" w:rsidRDefault="00795E90" w:rsidP="00E41E37">
            <w:pPr>
              <w:jc w:val="left"/>
              <w:rPr>
                <w:color w:val="000000"/>
                <w:szCs w:val="22"/>
                <w:lang w:val="en-CA" w:eastAsia="fr-FR"/>
              </w:rPr>
            </w:pPr>
            <w:r w:rsidRPr="00335CCC">
              <w:rPr>
                <w:color w:val="000000"/>
                <w:szCs w:val="22"/>
                <w:lang w:val="en-CA" w:eastAsia="fr-FR"/>
              </w:rPr>
              <w:t xml:space="preserve">Minimum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000000"/>
                  <w:szCs w:val="22"/>
                  <w:lang w:val="en-CA" w:eastAsia="fr-FR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  <w:lang w:val="fr-FR" w:eastAsia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2"/>
                      <w:lang w:val="fr-FR" w:eastAsia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2"/>
                      <w:lang w:val="en-CA" w:eastAsia="fr-FR"/>
                    </w:rPr>
                    <m:t>0</m:t>
                  </m:r>
                </m:sub>
              </m:sSub>
            </m:oMath>
            <w:r w:rsidRPr="00335CCC">
              <w:rPr>
                <w:color w:val="000000"/>
                <w:szCs w:val="22"/>
                <w:lang w:val="en-CA" w:eastAsia="fr-FR"/>
              </w:rPr>
              <w:t xml:space="preserve"> for an uncorrected BER of 10</w:t>
            </w:r>
            <w:r w:rsidRPr="00335CCC">
              <w:rPr>
                <w:color w:val="000000"/>
                <w:szCs w:val="22"/>
                <w:vertAlign w:val="superscript"/>
                <w:lang w:val="en-CA" w:eastAsia="fr-FR"/>
              </w:rPr>
              <w:t>-3</w:t>
            </w:r>
            <w:r w:rsidRPr="00335CCC">
              <w:rPr>
                <w:color w:val="000000"/>
                <w:szCs w:val="22"/>
                <w:lang w:val="en-CA" w:eastAsia="fr-FR"/>
              </w:rPr>
              <w:t xml:space="preserve"> for a D8PSK modulation with Reed Solomon code, as required by DO-224</w:t>
            </w:r>
          </w:p>
        </w:tc>
      </w:tr>
      <w:tr w:rsidR="00795E90" w:rsidRPr="0018379E" w14:paraId="4AEEA5B7" w14:textId="77777777" w:rsidTr="00E41E37">
        <w:trPr>
          <w:trHeight w:val="273"/>
          <w:jc w:val="center"/>
        </w:trPr>
        <w:tc>
          <w:tcPr>
            <w:tcW w:w="3200" w:type="dxa"/>
            <w:shd w:val="clear" w:color="auto" w:fill="auto"/>
            <w:noWrap/>
            <w:vAlign w:val="center"/>
          </w:tcPr>
          <w:p w14:paraId="71A1EC02" w14:textId="77777777" w:rsidR="00795E90" w:rsidRPr="00335CCC" w:rsidRDefault="00795E90" w:rsidP="00E41E37">
            <w:pPr>
              <w:jc w:val="left"/>
              <w:rPr>
                <w:color w:val="000000"/>
                <w:szCs w:val="22"/>
                <w:lang w:val="en-CA" w:eastAsia="fr-FR"/>
              </w:rPr>
            </w:pPr>
            <w:r w:rsidRPr="00335CCC">
              <w:rPr>
                <w:color w:val="000000"/>
                <w:szCs w:val="22"/>
                <w:lang w:val="en-CA" w:eastAsia="fr-FR"/>
              </w:rPr>
              <w:t xml:space="preserve">Link budget margin </w:t>
            </w:r>
            <m:oMath>
              <m:r>
                <w:rPr>
                  <w:rFonts w:ascii="Cambria Math" w:hAnsi="Cambria Math"/>
                  <w:color w:val="000000"/>
                  <w:szCs w:val="22"/>
                  <w:lang w:val="fr-FR" w:eastAsia="fr-FR"/>
                </w:rPr>
                <m:t>M</m:t>
              </m:r>
            </m:oMath>
            <w:r w:rsidRPr="00335CCC">
              <w:rPr>
                <w:color w:val="000000"/>
                <w:szCs w:val="22"/>
                <w:lang w:val="en-CA" w:eastAsia="fr-FR"/>
              </w:rPr>
              <w:t xml:space="preserve"> (dB)</w:t>
            </w:r>
          </w:p>
        </w:tc>
        <w:tc>
          <w:tcPr>
            <w:tcW w:w="2449" w:type="dxa"/>
            <w:shd w:val="clear" w:color="auto" w:fill="auto"/>
            <w:noWrap/>
            <w:vAlign w:val="center"/>
          </w:tcPr>
          <w:p w14:paraId="6BE800AF" w14:textId="77777777" w:rsidR="00795E90" w:rsidRPr="0018379E" w:rsidRDefault="00795E90" w:rsidP="00E41E37">
            <w:pPr>
              <w:jc w:val="center"/>
              <w:rPr>
                <w:color w:val="000000"/>
                <w:szCs w:val="22"/>
                <w:lang w:val="fr-FR" w:eastAsia="fr-FR"/>
              </w:rPr>
            </w:pPr>
            <w:r>
              <w:rPr>
                <w:color w:val="000000"/>
                <w:szCs w:val="22"/>
                <w:lang w:val="fr-FR" w:eastAsia="fr-FR"/>
              </w:rPr>
              <w:t>8.02</w:t>
            </w:r>
          </w:p>
        </w:tc>
        <w:tc>
          <w:tcPr>
            <w:tcW w:w="3560" w:type="dxa"/>
            <w:vAlign w:val="center"/>
          </w:tcPr>
          <w:p w14:paraId="3E6F326F" w14:textId="77777777" w:rsidR="00795E90" w:rsidRPr="0018379E" w:rsidRDefault="00795E90" w:rsidP="00E41E37">
            <w:pPr>
              <w:jc w:val="left"/>
              <w:rPr>
                <w:color w:val="000000"/>
                <w:szCs w:val="22"/>
                <w:lang w:val="fr-FR" w:eastAsia="fr-FR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2"/>
                    <w:lang w:val="fr-FR" w:eastAsia="fr-FR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Cs w:val="22"/>
                        <w:lang w:val="fr-FR" w:eastAsia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2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2"/>
                            <w:lang w:val="fr-FR" w:eastAsia="fr-FR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2"/>
                            <w:lang w:val="fr-FR" w:eastAsia="fr-FR"/>
                          </w:rPr>
                          <m:t>b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Cs w:val="22"/>
                        <w:lang w:val="fr-FR" w:eastAsia="fr-FR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2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2"/>
                            <w:lang w:val="fr-FR" w:eastAsia="fr-FR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2"/>
                            <w:lang w:val="fr-FR" w:eastAsia="fr-FR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Cs w:val="22"/>
                            <w:lang w:val="fr-FR" w:eastAsia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Cs w:val="22"/>
                            <w:lang w:val="fr-FR" w:eastAsia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Cs w:val="22"/>
                            <w:lang w:val="fr-FR" w:eastAsia="fr-FR"/>
                          </w:rPr>
                          <m:t>h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40582BB5" w14:textId="77777777" w:rsidR="00795E90" w:rsidRDefault="00795E90" w:rsidP="00795E90">
      <w:pPr>
        <w:pStyle w:val="2para"/>
        <w:numPr>
          <w:ilvl w:val="0"/>
          <w:numId w:val="0"/>
        </w:numPr>
      </w:pPr>
    </w:p>
    <w:p w14:paraId="11918A82" w14:textId="3191F319" w:rsidR="00795E90" w:rsidRDefault="00795E90" w:rsidP="00795E90">
      <w:pPr>
        <w:pStyle w:val="2para"/>
        <w:numPr>
          <w:ilvl w:val="0"/>
          <w:numId w:val="7"/>
        </w:numPr>
      </w:pPr>
      <w:r>
        <w:t xml:space="preserve">The noise power spectral density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computed from the ITU-R SA.2426, which provide the maximum space station system noise temperature of up to 1000 K. Note that this value</w:t>
      </w:r>
      <w:r w:rsidR="0010721A">
        <w:t xml:space="preserve"> includes</w:t>
      </w:r>
      <w:r>
        <w:t xml:space="preserve"> cable loss and filters.</w:t>
      </w:r>
    </w:p>
    <w:p w14:paraId="177B6935" w14:textId="77777777" w:rsidR="00795E90" w:rsidRDefault="00795E90" w:rsidP="00795E90">
      <w:pPr>
        <w:pStyle w:val="2para"/>
        <w:numPr>
          <w:ilvl w:val="0"/>
          <w:numId w:val="7"/>
        </w:numPr>
      </w:pPr>
      <w:r>
        <w:t xml:space="preserve">ICAO SARPs requires that VDL mode 2 aircraft </w:t>
      </w:r>
      <w:proofErr w:type="gramStart"/>
      <w:r>
        <w:t>receiver</w:t>
      </w:r>
      <w:proofErr w:type="gramEnd"/>
      <w:r>
        <w:t xml:space="preserve"> to achieve a corrected BER of 10</w:t>
      </w:r>
      <w:r w:rsidRPr="00604922">
        <w:rPr>
          <w:vertAlign w:val="superscript"/>
        </w:rPr>
        <w:t>-4</w:t>
      </w:r>
      <w:r>
        <w:t xml:space="preserve">. DO-224 transforms </w:t>
      </w:r>
      <w:proofErr w:type="gramStart"/>
      <w:r>
        <w:t>this requirements</w:t>
      </w:r>
      <w:proofErr w:type="gramEnd"/>
      <w:r>
        <w:t xml:space="preserve"> to a corrected BER of 10</w:t>
      </w:r>
      <w:r w:rsidRPr="00604922">
        <w:rPr>
          <w:vertAlign w:val="superscript"/>
        </w:rPr>
        <w:t>-3</w:t>
      </w:r>
      <w:r>
        <w:t xml:space="preserve">. DO-224 also estimates that the presence of the Reed Solomon code degrades the received power by 0.8 </w:t>
      </w:r>
      <w:proofErr w:type="spellStart"/>
      <w:r>
        <w:t>dB.</w:t>
      </w:r>
      <w:proofErr w:type="spellEnd"/>
      <w:r>
        <w:t xml:space="preserve"> For a non-coded D8PSK, the minimum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to obtain a BER of 10</w:t>
      </w:r>
      <w:r w:rsidRPr="00604922">
        <w:rPr>
          <w:vertAlign w:val="superscript"/>
        </w:rPr>
        <w:t>-3</w:t>
      </w:r>
      <w:r>
        <w:t xml:space="preserve"> is 13 </w:t>
      </w:r>
      <w:proofErr w:type="spellStart"/>
      <w:r>
        <w:t>dB.</w:t>
      </w:r>
      <w:proofErr w:type="spellEnd"/>
      <w:r>
        <w:t xml:space="preserve"> Adding the 0.8 dB to </w:t>
      </w:r>
      <w:proofErr w:type="gramStart"/>
      <w:r>
        <w:t>take into account</w:t>
      </w:r>
      <w:proofErr w:type="gramEnd"/>
      <w:r>
        <w:t xml:space="preserve"> the Reed Solomon code, the resulting threshold is 13.8 </w:t>
      </w:r>
      <w:proofErr w:type="spellStart"/>
      <w:r>
        <w:t>dB.</w:t>
      </w:r>
      <w:proofErr w:type="spellEnd"/>
      <w:r>
        <w:t xml:space="preserve"> </w:t>
      </w:r>
    </w:p>
    <w:p w14:paraId="747FD0C5" w14:textId="77777777" w:rsidR="00795E90" w:rsidRDefault="00795E90" w:rsidP="00795E90">
      <w:pPr>
        <w:pStyle w:val="2para"/>
      </w:pPr>
      <w:r>
        <w:t xml:space="preserve">The presence of an interference induces a degradation of 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0,eff</m:t>
            </m:r>
          </m:sub>
        </m:sSub>
      </m:oMath>
      <w:r>
        <w:t xml:space="preserve"> link budget margin. An interference is characterized by its equivalent noise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assuming a noise-like interference,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can be expressed as:</w:t>
      </w:r>
    </w:p>
    <w:p w14:paraId="66791072" w14:textId="77777777" w:rsidR="00795E90" w:rsidRPr="00CF40DF" w:rsidRDefault="00000000" w:rsidP="00795E90">
      <w:pPr>
        <w:pStyle w:val="2para"/>
        <w:numPr>
          <w:ilvl w:val="0"/>
          <w:numId w:val="0"/>
        </w:num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BW</m:t>
              </m:r>
            </m:den>
          </m:f>
        </m:oMath>
      </m:oMathPara>
    </w:p>
    <w:p w14:paraId="4D78E16B" w14:textId="77777777" w:rsidR="00795E90" w:rsidRDefault="00000000" w:rsidP="00795E90">
      <w:pPr>
        <w:pStyle w:val="2para"/>
        <w:numPr>
          <w:ilvl w:val="0"/>
          <w:numId w:val="0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795E90">
        <w:t xml:space="preserve"> is the interference power in the VDL Mode2 channel and </w:t>
      </w:r>
      <m:oMath>
        <m:r>
          <w:rPr>
            <w:rFonts w:ascii="Cambria Math" w:hAnsi="Cambria Math"/>
          </w:rPr>
          <m:t>BW</m:t>
        </m:r>
      </m:oMath>
      <w:r w:rsidR="00795E90">
        <w:t xml:space="preserve"> is the channel bandwidth.</w:t>
      </w:r>
    </w:p>
    <w:p w14:paraId="316CB750" w14:textId="77777777" w:rsidR="00795E90" w:rsidRDefault="00795E90" w:rsidP="00795E90">
      <w:pPr>
        <w:pStyle w:val="2para"/>
        <w:numPr>
          <w:ilvl w:val="0"/>
          <w:numId w:val="0"/>
        </w:numPr>
      </w:pPr>
      <w:r>
        <w:t xml:space="preserve">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0,eff</m:t>
            </m:r>
          </m:sub>
        </m:sSub>
      </m:oMath>
      <w:r>
        <w:t xml:space="preserve"> degradation induced by the interference is therefore:</w:t>
      </w:r>
    </w:p>
    <w:p w14:paraId="32C1520D" w14:textId="77777777" w:rsidR="00795E90" w:rsidRPr="00CF40DF" w:rsidRDefault="00795E90" w:rsidP="00795E90">
      <w:pPr>
        <w:pStyle w:val="2para"/>
        <w:numPr>
          <w:ilvl w:val="0"/>
          <w:numId w:val="0"/>
        </w:num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0,eff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0,eff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0,eff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3D759C55" w14:textId="77777777" w:rsidR="00795E90" w:rsidRDefault="00795E90" w:rsidP="00795E90">
      <w:pPr>
        <w:pStyle w:val="2para"/>
        <w:numPr>
          <w:ilvl w:val="0"/>
          <w:numId w:val="0"/>
        </w:numPr>
      </w:pPr>
      <w:r>
        <w:t>And the resulting link budget margin in presence of interference is:</w:t>
      </w:r>
    </w:p>
    <w:p w14:paraId="63FB3A06" w14:textId="77777777" w:rsidR="00795E90" w:rsidRDefault="00000000" w:rsidP="00795E90">
      <w:pPr>
        <w:pStyle w:val="2para"/>
        <w:numPr>
          <w:ilvl w:val="0"/>
          <w:numId w:val="0"/>
        </w:num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0,eff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den>
          </m:f>
        </m:oMath>
      </m:oMathPara>
    </w:p>
    <w:p w14:paraId="37EDED85" w14:textId="3ECAD9C1" w:rsidR="00795E90" w:rsidRDefault="00795E90" w:rsidP="00795E90">
      <w:pPr>
        <w:pStyle w:val="2para"/>
      </w:pPr>
      <w:r>
        <w:t xml:space="preserve">7 </w:t>
      </w:r>
      <w:r w:rsidR="00FE5D17">
        <w:t xml:space="preserve">potential </w:t>
      </w:r>
      <w:r>
        <w:t xml:space="preserve">AMS(R)S </w:t>
      </w:r>
      <w:r w:rsidR="00EA2CAC">
        <w:t>satellite receiver</w:t>
      </w:r>
      <w:r>
        <w:t xml:space="preserve"> protection </w:t>
      </w:r>
      <w:proofErr w:type="spellStart"/>
      <w:r>
        <w:t>criteria</w:t>
      </w:r>
      <w:r w:rsidR="00EA2CAC">
        <w:t>s</w:t>
      </w:r>
      <w:proofErr w:type="spellEnd"/>
      <w:r>
        <w:t xml:space="preserve"> are compared:</w:t>
      </w:r>
    </w:p>
    <w:p w14:paraId="64D4AEA9" w14:textId="060F7068" w:rsidR="003646AC" w:rsidRDefault="003646AC" w:rsidP="003646AC">
      <w:pPr>
        <w:pStyle w:val="3para"/>
      </w:pPr>
      <w:r w:rsidRPr="003646AC">
        <w:rPr>
          <w:b/>
          <w:bCs/>
        </w:rPr>
        <w:t>Criteria 1 - Closure of link budget</w:t>
      </w:r>
      <w:r>
        <w:t xml:space="preserve">: </w:t>
      </w:r>
      <w:proofErr w:type="gramStart"/>
      <w:r>
        <w:t>this criteria</w:t>
      </w:r>
      <w:proofErr w:type="gramEnd"/>
      <w:r>
        <w:t xml:space="preserve"> provides the interference power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 xml:space="preserve"> such that the remaining link budget margin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is equal to 0 </w:t>
      </w:r>
      <w:proofErr w:type="spellStart"/>
      <w:r>
        <w:t>dB.</w:t>
      </w:r>
      <w:proofErr w:type="spellEnd"/>
    </w:p>
    <w:p w14:paraId="19580759" w14:textId="7A788D95" w:rsidR="003646AC" w:rsidRDefault="003646AC" w:rsidP="003646AC">
      <w:pPr>
        <w:pStyle w:val="3para"/>
      </w:pPr>
      <w:r w:rsidRPr="00B40553">
        <w:rPr>
          <w:b/>
          <w:bCs/>
        </w:rPr>
        <w:t>Criteria 2 – D/U=20 dB</w:t>
      </w:r>
      <w:r>
        <w:t xml:space="preserve">: </w:t>
      </w:r>
      <w:proofErr w:type="gramStart"/>
      <w:r w:rsidR="00B40553">
        <w:t>this criteria</w:t>
      </w:r>
      <w:proofErr w:type="gramEnd"/>
      <w:r w:rsidR="00B40553">
        <w:t xml:space="preserve"> is used for </w:t>
      </w:r>
      <w:proofErr w:type="spellStart"/>
      <w:r w:rsidR="00B40553">
        <w:t>for</w:t>
      </w:r>
      <w:proofErr w:type="spellEnd"/>
      <w:r w:rsidR="00B40553">
        <w:t xml:space="preserve"> ground AM(R)S coordination. It must be interpreted as the ratio of VDL Mode 2 Desired over VDL Mode 2 </w:t>
      </w:r>
      <w:proofErr w:type="spellStart"/>
      <w:r w:rsidR="00B40553">
        <w:t>Undisered</w:t>
      </w:r>
      <w:proofErr w:type="spellEnd"/>
      <w:r w:rsidR="00B40553">
        <w:t xml:space="preserve"> power ratio. The application of this criteria for AMS(R)S satellite receiver protection would deserve additional discussion. </w:t>
      </w:r>
      <w:r w:rsidR="00797662">
        <w:t xml:space="preserve">As a matter of fact, </w:t>
      </w:r>
      <w:proofErr w:type="gramStart"/>
      <w:r w:rsidR="00797662">
        <w:t>this criteria</w:t>
      </w:r>
      <w:proofErr w:type="gramEnd"/>
      <w:r w:rsidR="00797662">
        <w:t xml:space="preserve"> is also used for the protection of Space Operation Systems (see ITU Recommendation SA.363), associated with a time criteria of 1%, and it is stated that these criteria are insufficient to guarantee the safety of spacecraft in certain brief critical phases. </w:t>
      </w:r>
    </w:p>
    <w:p w14:paraId="0AE83527" w14:textId="5C7A044E" w:rsidR="0010721A" w:rsidRPr="00335CCC" w:rsidRDefault="0010721A" w:rsidP="0010721A">
      <w:pPr>
        <w:pStyle w:val="3para"/>
        <w:rPr>
          <w:lang w:val="en-CA"/>
        </w:rPr>
      </w:pPr>
      <w:r w:rsidRPr="008A3E4D">
        <w:rPr>
          <w:b/>
          <w:bCs/>
        </w:rPr>
        <w:t xml:space="preserve">Criteria </w:t>
      </w:r>
      <w:r>
        <w:rPr>
          <w:b/>
          <w:bCs/>
        </w:rPr>
        <w:t>3</w:t>
      </w:r>
      <w:r w:rsidRPr="008A3E4D">
        <w:rPr>
          <w:b/>
          <w:bCs/>
        </w:rPr>
        <w:t xml:space="preserve"> – 3 dB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bi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Pr="008A3E4D">
        <w:rPr>
          <w:b/>
          <w:bCs/>
        </w:rPr>
        <w:t xml:space="preserve"> degradation</w:t>
      </w:r>
      <w:r>
        <w:t>:</w:t>
      </w:r>
      <w:r w:rsidRPr="008A3E4D">
        <w:t xml:space="preserve"> </w:t>
      </w:r>
      <w:proofErr w:type="gramStart"/>
      <w:r>
        <w:t>This criteria</w:t>
      </w:r>
      <w:proofErr w:type="gramEnd"/>
      <w:r>
        <w:t xml:space="preserve"> is used for the protection of space research service (SRS) </w:t>
      </w:r>
      <w:proofErr w:type="spellStart"/>
      <w:r>
        <w:t>Eart</w:t>
      </w:r>
      <w:proofErr w:type="spellEnd"/>
      <w:r>
        <w:t>-to-Space link, according to ITU Recommendation SA.1396, where it is stated that an “i</w:t>
      </w:r>
      <w:proofErr w:type="spellStart"/>
      <w:r w:rsidRPr="00335CCC">
        <w:rPr>
          <w:lang w:val="en-CA"/>
        </w:rPr>
        <w:t>ncrease</w:t>
      </w:r>
      <w:proofErr w:type="spellEnd"/>
      <w:r w:rsidRPr="00335CCC">
        <w:rPr>
          <w:lang w:val="en-CA"/>
        </w:rPr>
        <w:t xml:space="preserve"> of 3 dB in overall system noise due to interference is considered harmful to an Earth-to-space link</w:t>
      </w:r>
      <w:r>
        <w:t>”</w:t>
      </w:r>
      <w:r w:rsidRPr="00335CCC">
        <w:rPr>
          <w:rFonts w:ascii="TimesNewRoman" w:hAnsi="TimesNewRoman" w:cs="TimesNewRoman"/>
          <w:sz w:val="24"/>
          <w:szCs w:val="24"/>
          <w:lang w:val="en-CA" w:eastAsia="fr-FR"/>
        </w:rPr>
        <w:t>.</w:t>
      </w:r>
    </w:p>
    <w:p w14:paraId="1FB49F2F" w14:textId="15EB51AB" w:rsidR="0010721A" w:rsidRPr="007F4FC0" w:rsidRDefault="0010721A" w:rsidP="0010721A">
      <w:pPr>
        <w:pStyle w:val="3para"/>
      </w:pPr>
      <w:r w:rsidRPr="008A3E4D">
        <w:rPr>
          <w:b/>
          <w:bCs/>
        </w:rPr>
        <w:t xml:space="preserve">Criteria </w:t>
      </w:r>
      <w:r>
        <w:rPr>
          <w:b/>
          <w:bCs/>
        </w:rPr>
        <w:t>4</w:t>
      </w:r>
      <w:r w:rsidRPr="008A3E4D">
        <w:rPr>
          <w:b/>
          <w:bCs/>
        </w:rPr>
        <w:t xml:space="preserve"> – 1 dB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bi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Pr="008A3E4D">
        <w:rPr>
          <w:b/>
          <w:bCs/>
        </w:rPr>
        <w:t xml:space="preserve"> degradation</w:t>
      </w:r>
      <w:r>
        <w:t xml:space="preserve">: </w:t>
      </w:r>
      <w:proofErr w:type="gramStart"/>
      <w:r>
        <w:t>This criteria</w:t>
      </w:r>
      <w:proofErr w:type="gramEnd"/>
      <w:r>
        <w:t xml:space="preserve"> is used for the protection of near-Earth research satellite, according to ITU Recommendation SA.609, where it is stated that an “1 </w:t>
      </w:r>
      <w:r w:rsidRPr="00335CCC">
        <w:rPr>
          <w:rFonts w:ascii="TimesNewRoman" w:hAnsi="TimesNewRoman" w:cs="TimesNewRoman"/>
          <w:sz w:val="24"/>
          <w:szCs w:val="24"/>
          <w:lang w:val="en-CA" w:eastAsia="fr-FR"/>
        </w:rPr>
        <w:t>dB increase in overall system noise due to interference is considered harmful</w:t>
      </w:r>
      <w:r>
        <w:t>”</w:t>
      </w:r>
      <w:r w:rsidRPr="00335CCC">
        <w:rPr>
          <w:rFonts w:ascii="TimesNewRoman" w:hAnsi="TimesNewRoman" w:cs="TimesNewRoman"/>
          <w:sz w:val="24"/>
          <w:szCs w:val="24"/>
          <w:lang w:val="en-CA" w:eastAsia="fr-FR"/>
        </w:rPr>
        <w:t>.</w:t>
      </w:r>
    </w:p>
    <w:p w14:paraId="529BEF37" w14:textId="743D6364" w:rsidR="0010721A" w:rsidRDefault="0010721A" w:rsidP="0010721A">
      <w:pPr>
        <w:pStyle w:val="3para"/>
      </w:pPr>
      <w:r w:rsidRPr="00797662">
        <w:rPr>
          <w:b/>
          <w:bCs/>
        </w:rPr>
        <w:t xml:space="preserve">Criteria </w:t>
      </w:r>
      <w:r>
        <w:rPr>
          <w:b/>
          <w:bCs/>
        </w:rPr>
        <w:t>5</w:t>
      </w:r>
      <w:r w:rsidRPr="00797662">
        <w:rPr>
          <w:b/>
          <w:bCs/>
        </w:rPr>
        <w:t xml:space="preserve"> – I/N=-6 dB</w:t>
      </w:r>
      <w:r>
        <w:t xml:space="preserve">: </w:t>
      </w:r>
      <w:proofErr w:type="gramStart"/>
      <w:r>
        <w:t>this criteria</w:t>
      </w:r>
      <w:proofErr w:type="gramEnd"/>
      <w:r>
        <w:t xml:space="preserve"> is used for the protection of current L band AMS(R)S (see ITU-R M.1234). </w:t>
      </w:r>
      <w:proofErr w:type="gramStart"/>
      <w:r>
        <w:t>This criteria</w:t>
      </w:r>
      <w:proofErr w:type="gramEnd"/>
      <w:r>
        <w:t xml:space="preserve"> is also used for the protection of near-Earth research satellite, according to ITU Recommendation SA.609.</w:t>
      </w:r>
    </w:p>
    <w:p w14:paraId="5518014B" w14:textId="500417BA" w:rsidR="003646AC" w:rsidRDefault="003646AC" w:rsidP="003646AC">
      <w:pPr>
        <w:pStyle w:val="3para"/>
      </w:pPr>
      <w:r w:rsidRPr="00B40553">
        <w:rPr>
          <w:b/>
          <w:bCs/>
        </w:rPr>
        <w:t xml:space="preserve">Criteria </w:t>
      </w:r>
      <w:r w:rsidR="0010721A">
        <w:rPr>
          <w:b/>
          <w:bCs/>
        </w:rPr>
        <w:t>6</w:t>
      </w:r>
      <w:r w:rsidRPr="00B40553">
        <w:rPr>
          <w:b/>
          <w:bCs/>
        </w:rPr>
        <w:t xml:space="preserve"> – C/I=30 dB</w:t>
      </w:r>
      <w:r>
        <w:t>:</w:t>
      </w:r>
      <w:r w:rsidR="00B40553">
        <w:t xml:space="preserve"> </w:t>
      </w:r>
      <w:proofErr w:type="gramStart"/>
      <w:r w:rsidR="00B40553">
        <w:t>this criteria</w:t>
      </w:r>
      <w:proofErr w:type="gramEnd"/>
      <w:r w:rsidR="00B40553">
        <w:t xml:space="preserve"> is based on a D/U=20 dB, on top of which an extra 10 dB is added to take into account that interference affecting the AMS(R)S satellite receiver comes from non-aeronautical systems.  </w:t>
      </w:r>
    </w:p>
    <w:p w14:paraId="2196D9ED" w14:textId="51AFF98C" w:rsidR="003646AC" w:rsidRDefault="003646AC" w:rsidP="003646AC">
      <w:pPr>
        <w:pStyle w:val="3para"/>
      </w:pPr>
      <w:r w:rsidRPr="006E6442">
        <w:rPr>
          <w:b/>
          <w:bCs/>
        </w:rPr>
        <w:t xml:space="preserve">Criteria </w:t>
      </w:r>
      <w:r w:rsidR="0010721A">
        <w:rPr>
          <w:b/>
          <w:bCs/>
        </w:rPr>
        <w:t>7</w:t>
      </w:r>
      <w:r w:rsidRPr="006E6442">
        <w:rPr>
          <w:b/>
          <w:bCs/>
        </w:rPr>
        <w:t xml:space="preserve"> – I/N=-10 dB</w:t>
      </w:r>
      <w:r>
        <w:t>:</w:t>
      </w:r>
      <w:r w:rsidR="00B8380A">
        <w:t xml:space="preserve"> </w:t>
      </w:r>
      <w:proofErr w:type="gramStart"/>
      <w:r w:rsidR="00B8380A">
        <w:t>this criteria</w:t>
      </w:r>
      <w:proofErr w:type="gramEnd"/>
      <w:r w:rsidR="00B8380A">
        <w:t xml:space="preserve"> has been applied to protect the AM(R)S stations </w:t>
      </w:r>
      <w:r w:rsidR="00970FCB">
        <w:t xml:space="preserve">from interference caused by space operation services during WRC-19. </w:t>
      </w:r>
      <w:proofErr w:type="gramStart"/>
      <w:r w:rsidR="00970FCB">
        <w:t>This criteria</w:t>
      </w:r>
      <w:proofErr w:type="gramEnd"/>
      <w:r w:rsidR="00970FCB">
        <w:t xml:space="preserve"> is also used for the protection of several space applications and meteorology satellite receivers</w:t>
      </w:r>
      <w:r w:rsidR="006E6442">
        <w:t xml:space="preserve"> (see ITU Recommendation SA.1155)</w:t>
      </w:r>
      <w:r w:rsidR="00970FCB">
        <w:t xml:space="preserve">. </w:t>
      </w:r>
    </w:p>
    <w:p w14:paraId="6DDA4067" w14:textId="4D337AFF" w:rsidR="00DC6CBB" w:rsidRPr="00335CCC" w:rsidRDefault="00DC6CBB" w:rsidP="00DC6CBB">
      <w:pPr>
        <w:pStyle w:val="3para"/>
        <w:rPr>
          <w:lang w:val="en-CA"/>
        </w:rPr>
      </w:pPr>
      <w:r>
        <w:t xml:space="preserve">The equivalent C/I, I/N,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degradation and remaining link budget margin are given in the table below for the different </w:t>
      </w:r>
      <w:proofErr w:type="spellStart"/>
      <w:r>
        <w:t>criterias</w:t>
      </w:r>
      <w:proofErr w:type="spellEnd"/>
      <w:r>
        <w:t>.</w:t>
      </w:r>
    </w:p>
    <w:tbl>
      <w:tblPr>
        <w:tblW w:w="91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1134"/>
        <w:gridCol w:w="1134"/>
        <w:gridCol w:w="1134"/>
        <w:gridCol w:w="851"/>
        <w:gridCol w:w="992"/>
        <w:gridCol w:w="905"/>
      </w:tblGrid>
      <w:tr w:rsidR="002A0572" w:rsidRPr="00335CCC" w14:paraId="50BAFA13" w14:textId="77777777" w:rsidTr="007F4FC0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4BB3C" w14:textId="77777777" w:rsidR="002A0572" w:rsidRPr="00335CCC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CA" w:eastAsia="fr-FR"/>
              </w:rPr>
            </w:pPr>
            <w:r w:rsidRPr="00335CCC">
              <w:rPr>
                <w:rFonts w:ascii="Calibri" w:hAnsi="Calibri" w:cs="Calibri"/>
                <w:color w:val="000000"/>
                <w:sz w:val="18"/>
                <w:szCs w:val="18"/>
                <w:lang w:val="en-CA" w:eastAsia="fr-F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AC0A" w14:textId="73A1AAFD" w:rsidR="002A0572" w:rsidRPr="00335CCC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CA" w:eastAsia="fr-FR"/>
              </w:rPr>
            </w:pPr>
            <w:r w:rsidRPr="00335CCC">
              <w:rPr>
                <w:rFonts w:ascii="Calibri" w:hAnsi="Calibri" w:cs="Calibri"/>
                <w:color w:val="000000"/>
                <w:sz w:val="18"/>
                <w:szCs w:val="18"/>
                <w:lang w:val="en-CA" w:eastAsia="fr-FR"/>
              </w:rPr>
              <w:t>Closure of link budget (proposed by Spain)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2AC" w14:textId="73E386E4" w:rsidR="002A0572" w:rsidRPr="00335CCC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CA" w:eastAsia="fr-FR"/>
              </w:rPr>
            </w:pPr>
            <w:r w:rsidRPr="00335CCC">
              <w:rPr>
                <w:rFonts w:ascii="Calibri" w:hAnsi="Calibri" w:cs="Calibri"/>
                <w:color w:val="000000"/>
                <w:sz w:val="18"/>
                <w:szCs w:val="18"/>
                <w:lang w:val="en-CA" w:eastAsia="fr-FR"/>
              </w:rPr>
              <w:t>D/U=20 dB (coordination criteria for AM(R)S)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973725" w14:textId="040FC28B" w:rsidR="002A0572" w:rsidRPr="00DC6CBB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3 dB </w:t>
            </w:r>
            <w:proofErr w:type="spellStart"/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degradation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F69C741" w14:textId="65A4958B" w:rsidR="002A0572" w:rsidRPr="00DC6CBB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1 dB </w:t>
            </w:r>
            <w:proofErr w:type="spellStart"/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degradation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231A59" w14:textId="2819AAC3" w:rsidR="002A0572" w:rsidRPr="00DC6CBB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I/N=-6 dB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</w:t>
            </w:r>
            <w:r w:rsidRPr="00335CCC">
              <w:rPr>
                <w:rFonts w:ascii="Calibri" w:hAnsi="Calibri" w:cs="Calibri"/>
                <w:color w:val="000000"/>
                <w:sz w:val="18"/>
                <w:szCs w:val="18"/>
                <w:lang w:val="fr-CA" w:eastAsia="fr-FR"/>
              </w:rPr>
              <w:t>ITU</w:t>
            </w:r>
            <w:r w:rsidRPr="00335CCC">
              <w:rPr>
                <w:lang w:val="fr-CA"/>
              </w:rPr>
              <w:t xml:space="preserve"> </w:t>
            </w:r>
            <w:r w:rsidRPr="00335CCC">
              <w:rPr>
                <w:rFonts w:ascii="Calibri" w:hAnsi="Calibri" w:cs="Calibri"/>
                <w:color w:val="000000"/>
                <w:sz w:val="18"/>
                <w:szCs w:val="18"/>
                <w:lang w:val="fr-CA" w:eastAsia="fr-FR"/>
              </w:rPr>
              <w:t>Rec</w:t>
            </w:r>
            <w:r w:rsidRPr="00335CCC">
              <w:rPr>
                <w:lang w:val="fr-CA"/>
              </w:rPr>
              <w:t xml:space="preserve"> </w:t>
            </w:r>
            <w:r w:rsidRPr="00335CCC">
              <w:rPr>
                <w:rFonts w:ascii="Calibri" w:hAnsi="Calibri" w:cs="Calibri"/>
                <w:color w:val="000000"/>
                <w:sz w:val="18"/>
                <w:szCs w:val="18"/>
                <w:lang w:val="fr-CA" w:eastAsia="fr-FR"/>
              </w:rPr>
              <w:t>SA</w:t>
            </w:r>
            <w:r w:rsidRPr="00335CCC">
              <w:rPr>
                <w:lang w:val="fr-CA"/>
              </w:rPr>
              <w:t>.</w:t>
            </w:r>
            <w:r w:rsidRPr="00335CCC">
              <w:rPr>
                <w:rFonts w:ascii="Calibri" w:hAnsi="Calibri" w:cs="Calibri"/>
                <w:color w:val="000000"/>
                <w:sz w:val="18"/>
                <w:szCs w:val="18"/>
                <w:lang w:val="fr-CA" w:eastAsia="fr-FR"/>
              </w:rPr>
              <w:t>609)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49DED11" w14:textId="074DABA4" w:rsidR="002A0572" w:rsidRPr="00335CCC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CA" w:eastAsia="fr-FR"/>
              </w:rPr>
            </w:pPr>
            <w:r w:rsidRPr="00335CCC">
              <w:rPr>
                <w:rFonts w:ascii="Calibri" w:hAnsi="Calibri" w:cs="Calibri"/>
                <w:color w:val="000000"/>
                <w:sz w:val="18"/>
                <w:szCs w:val="18"/>
                <w:lang w:val="en-CA" w:eastAsia="fr-FR"/>
              </w:rPr>
              <w:t>C/I=30 dB (proposed by France)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66C7" w14:textId="01130E6E" w:rsidR="002A0572" w:rsidRPr="00DC6CBB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I/N=-10 dB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(</w:t>
            </w:r>
            <w:r w:rsidRPr="00335CCC">
              <w:rPr>
                <w:rFonts w:ascii="Calibri" w:hAnsi="Calibri" w:cs="Calibri"/>
                <w:color w:val="000000"/>
                <w:sz w:val="18"/>
                <w:szCs w:val="18"/>
                <w:lang w:val="fr-CA" w:eastAsia="fr-FR"/>
              </w:rPr>
              <w:t>ITU Rec SA.1155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</w:tr>
      <w:tr w:rsidR="002A0572" w:rsidRPr="00DC6CBB" w14:paraId="1C113CCB" w14:textId="77777777" w:rsidTr="007F4FC0">
        <w:trPr>
          <w:trHeight w:val="29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88EB5" w14:textId="77777777" w:rsidR="002A0572" w:rsidRPr="00DC6CBB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C/I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D7F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EE47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ECFBF" w14:textId="6BA70A36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EB4AB" w14:textId="770CA6BB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28,7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028D" w14:textId="3B114732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28,8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52049" w14:textId="26F6A8ED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30,0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2375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32,8</w:t>
            </w:r>
          </w:p>
        </w:tc>
      </w:tr>
      <w:tr w:rsidR="002A0572" w:rsidRPr="00DC6CBB" w14:paraId="1A2F687D" w14:textId="77777777" w:rsidTr="007F4FC0">
        <w:trPr>
          <w:trHeight w:val="29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EAC5" w14:textId="77777777" w:rsidR="002A0572" w:rsidRPr="00DC6CBB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I/N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7C27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A7F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E1DC8" w14:textId="023FB0E8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4E59F" w14:textId="387F1E4B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-5,9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BF669" w14:textId="20E50CE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-6,0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85C60" w14:textId="2FE7008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-7,2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357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-10,0</w:t>
            </w:r>
          </w:p>
        </w:tc>
      </w:tr>
      <w:tr w:rsidR="002A0572" w:rsidRPr="00DC6CBB" w14:paraId="5F7DD56A" w14:textId="77777777" w:rsidTr="007F4FC0">
        <w:trPr>
          <w:trHeight w:val="29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83CBB" w14:textId="77777777" w:rsidR="002A0572" w:rsidRPr="00DC6CBB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Link budget </w:t>
            </w:r>
            <w:proofErr w:type="spellStart"/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degradation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AA0D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5D9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A77D0" w14:textId="60726E59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01477" w14:textId="195AD2C4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1483B" w14:textId="0E2CB531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D5291" w14:textId="07280CAA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DBDC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0,4</w:t>
            </w:r>
          </w:p>
        </w:tc>
      </w:tr>
      <w:tr w:rsidR="002A0572" w:rsidRPr="00DC6CBB" w14:paraId="54834228" w14:textId="77777777" w:rsidTr="007F4FC0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13698" w14:textId="0EC45CCE" w:rsidR="002A0572" w:rsidRPr="00DC6CBB" w:rsidRDefault="002A0572" w:rsidP="0010721A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Remaining</w:t>
            </w:r>
            <w:proofErr w:type="spellEnd"/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link</w:t>
            </w:r>
            <w:proofErr w:type="spellEnd"/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DC6CBB">
              <w:rPr>
                <w:rFonts w:ascii="Calibri" w:hAnsi="Calibri" w:cs="Calibri"/>
                <w:color w:val="000000"/>
                <w:sz w:val="18"/>
                <w:szCs w:val="18"/>
                <w:lang w:val="fr-FR" w:eastAsia="fr-FR"/>
              </w:rPr>
              <w:t>margin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56D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CA8B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5FE590" w14:textId="210043C6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180F8E7" w14:textId="5F0667C1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D94FB9A" w14:textId="642FBFE9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7D26BC9" w14:textId="46656F2B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7,3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9FD1" w14:textId="77777777" w:rsidR="002A0572" w:rsidRPr="00DC6CBB" w:rsidRDefault="002A0572" w:rsidP="0010721A">
            <w:pPr>
              <w:jc w:val="right"/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r w:rsidRPr="00DC6CBB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7,6</w:t>
            </w:r>
          </w:p>
        </w:tc>
      </w:tr>
    </w:tbl>
    <w:p w14:paraId="4B0272BC" w14:textId="77777777" w:rsidR="00DC6CBB" w:rsidRPr="00DC6CBB" w:rsidRDefault="00DC6CBB" w:rsidP="00DC6CBB">
      <w:pPr>
        <w:pStyle w:val="3para"/>
        <w:numPr>
          <w:ilvl w:val="0"/>
          <w:numId w:val="0"/>
        </w:numPr>
        <w:rPr>
          <w:lang w:val="fr-FR"/>
        </w:rPr>
      </w:pPr>
    </w:p>
    <w:p w14:paraId="602AEE1B" w14:textId="77777777" w:rsidR="00A12CBA" w:rsidRDefault="00770160" w:rsidP="00E91DF2">
      <w:pPr>
        <w:spacing w:before="600"/>
        <w:jc w:val="center"/>
      </w:pPr>
      <w:r>
        <w:t>— END —</w:t>
      </w:r>
    </w:p>
    <w:sectPr w:rsidR="00A12CBA">
      <w:headerReference w:type="even" r:id="rId11"/>
      <w:headerReference w:type="default" r:id="rId12"/>
      <w:headerReference w:type="first" r:id="rId13"/>
      <w:footerReference w:type="first" r:id="rId14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59B5" w14:textId="77777777" w:rsidR="00705D93" w:rsidRDefault="00705D93">
      <w:r>
        <w:separator/>
      </w:r>
    </w:p>
  </w:endnote>
  <w:endnote w:type="continuationSeparator" w:id="0">
    <w:p w14:paraId="3C0004AD" w14:textId="77777777" w:rsidR="00705D93" w:rsidRDefault="0070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4B6F" w14:textId="77777777" w:rsidR="00770160" w:rsidRPr="00335CCC" w:rsidRDefault="00770160">
    <w:pPr>
      <w:pStyle w:val="Footer"/>
      <w:rPr>
        <w:sz w:val="18"/>
        <w:lang w:val="en-CA"/>
      </w:rPr>
    </w:pPr>
    <w:r w:rsidRPr="00335CCC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335CCC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 w:rsidRPr="00335CCC">
      <w:rPr>
        <w:noProof/>
        <w:sz w:val="18"/>
        <w:lang w:val="en-CA"/>
      </w:rPr>
      <w:t>2</w:t>
    </w:r>
    <w:r>
      <w:rPr>
        <w:sz w:val="18"/>
        <w:lang w:val="en-US"/>
      </w:rPr>
      <w:fldChar w:fldCharType="end"/>
    </w:r>
    <w:r w:rsidRPr="00335CCC">
      <w:rPr>
        <w:sz w:val="18"/>
        <w:lang w:val="en-CA"/>
      </w:rPr>
      <w:t xml:space="preserve"> pages)</w:t>
    </w:r>
  </w:p>
  <w:p w14:paraId="4407C7AD" w14:textId="3FCA9846" w:rsidR="00770160" w:rsidRPr="00335CCC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335CCC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335CCC" w:rsidRPr="00335CCC">
      <w:rPr>
        <w:noProof/>
        <w:sz w:val="18"/>
        <w:lang w:val="en-CA"/>
      </w:rPr>
      <w:t>FSMP-WG17-WP07_AMS(R)S INTERFERENCE PROTECTION CRITERIA.docx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3771" w14:textId="77777777" w:rsidR="00705D93" w:rsidRDefault="00705D93">
      <w:r>
        <w:separator/>
      </w:r>
    </w:p>
  </w:footnote>
  <w:footnote w:type="continuationSeparator" w:id="0">
    <w:p w14:paraId="6E1289D0" w14:textId="77777777" w:rsidR="00705D93" w:rsidRDefault="00705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AB32" w14:textId="25DB4E16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6B3636">
      <w:t>7</w:t>
    </w:r>
    <w:r w:rsidR="00335CCC">
      <w:t>-</w:t>
    </w:r>
    <w:r w:rsidR="00770160">
      <w:t>WP/</w:t>
    </w:r>
    <w:r w:rsidR="00335CCC">
      <w:t>07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6E10" w14:textId="19BAB08E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335CCC">
      <w:t>7-</w:t>
    </w:r>
    <w:r>
      <w:t>WP/</w:t>
    </w:r>
    <w:r w:rsidR="00335CCC">
      <w:t>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298A23CE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09B5DC3F" w14:textId="064FD993" w:rsidR="00920C27" w:rsidRDefault="00AC79D4" w:rsidP="00664C07">
          <w:bookmarkStart w:id="2" w:name="logo"/>
          <w:r w:rsidRPr="00484298">
            <w:rPr>
              <w:noProof/>
              <w:lang w:eastAsia="zh-CN"/>
            </w:rPr>
            <w:drawing>
              <wp:inline distT="0" distB="0" distL="0" distR="0" wp14:anchorId="1801C925" wp14:editId="3D5BD038">
                <wp:extent cx="1092200" cy="86360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20CF0966" w14:textId="664851E3" w:rsidR="00920C27" w:rsidRPr="00066AB7" w:rsidRDefault="00AC79D4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6F30549" wp14:editId="12B2894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962A29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41A8547A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71BDB36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5979DB5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4BE1C9D9" w14:textId="77777777" w:rsidTr="00664C07">
            <w:trPr>
              <w:jc w:val="right"/>
            </w:trPr>
            <w:tc>
              <w:tcPr>
                <w:tcW w:w="0" w:type="auto"/>
              </w:tcPr>
              <w:p w14:paraId="7489D9D4" w14:textId="23537844" w:rsidR="00920C27" w:rsidRPr="00066AB7" w:rsidRDefault="000D26D5" w:rsidP="00E510DD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6B3636">
                  <w:rPr>
                    <w:szCs w:val="22"/>
                  </w:rPr>
                  <w:t>7</w:t>
                </w:r>
                <w:r w:rsidR="00335CCC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3"/>
                <w:r w:rsidR="00335CCC">
                  <w:rPr>
                    <w:szCs w:val="22"/>
                  </w:rPr>
                  <w:t>07</w:t>
                </w:r>
              </w:p>
              <w:p w14:paraId="6776993E" w14:textId="637267E8" w:rsidR="00920C27" w:rsidRPr="00066AB7" w:rsidRDefault="00885035" w:rsidP="00E510DD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202</w:t>
                </w:r>
                <w:r w:rsidR="00E5621A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-0</w:t>
                </w:r>
                <w:r w:rsidR="00335CCC">
                  <w:rPr>
                    <w:sz w:val="18"/>
                    <w:szCs w:val="18"/>
                  </w:rPr>
                  <w:t>8</w:t>
                </w:r>
                <w:r>
                  <w:rPr>
                    <w:sz w:val="18"/>
                    <w:szCs w:val="18"/>
                  </w:rPr>
                  <w:t>-</w:t>
                </w:r>
                <w:r w:rsidR="00335CCC">
                  <w:rPr>
                    <w:sz w:val="18"/>
                    <w:szCs w:val="18"/>
                  </w:rPr>
                  <w:t>30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9" w:name="info_paper"/>
                <w:bookmarkEnd w:id="9"/>
              </w:p>
            </w:tc>
          </w:tr>
          <w:tr w:rsidR="00920C27" w14:paraId="71CEBFD6" w14:textId="77777777" w:rsidTr="00664C07">
            <w:trPr>
              <w:jc w:val="right"/>
            </w:trPr>
            <w:tc>
              <w:tcPr>
                <w:tcW w:w="0" w:type="auto"/>
              </w:tcPr>
              <w:p w14:paraId="30095A02" w14:textId="77777777" w:rsidR="00920C27" w:rsidRPr="00066AB7" w:rsidRDefault="00920C27" w:rsidP="00E510DD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23A26F07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338C5B85" w14:textId="7A44BA48" w:rsidR="00AC79D4" w:rsidRDefault="00A12CBA" w:rsidP="00AC79D4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  <w:p w14:paraId="2A9FD44F" w14:textId="08C550C5" w:rsidR="00770160" w:rsidRDefault="00770160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0209"/>
    <w:multiLevelType w:val="hybridMultilevel"/>
    <w:tmpl w:val="C6DC90D8"/>
    <w:lvl w:ilvl="0" w:tplc="93163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405345068">
    <w:abstractNumId w:val="4"/>
  </w:num>
  <w:num w:numId="2" w16cid:durableId="929461488">
    <w:abstractNumId w:val="5"/>
  </w:num>
  <w:num w:numId="3" w16cid:durableId="1842239224">
    <w:abstractNumId w:val="1"/>
  </w:num>
  <w:num w:numId="4" w16cid:durableId="787242890">
    <w:abstractNumId w:val="0"/>
  </w:num>
  <w:num w:numId="5" w16cid:durableId="218131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1709160">
    <w:abstractNumId w:val="2"/>
  </w:num>
  <w:num w:numId="7" w16cid:durableId="1805467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582F"/>
    <w:rsid w:val="000273D2"/>
    <w:rsid w:val="00067C56"/>
    <w:rsid w:val="000A15C2"/>
    <w:rsid w:val="000D26D5"/>
    <w:rsid w:val="000E218A"/>
    <w:rsid w:val="0010430D"/>
    <w:rsid w:val="0010721A"/>
    <w:rsid w:val="001566B0"/>
    <w:rsid w:val="0018379E"/>
    <w:rsid w:val="00217939"/>
    <w:rsid w:val="0027706E"/>
    <w:rsid w:val="00296C3E"/>
    <w:rsid w:val="002A0572"/>
    <w:rsid w:val="002C2D0B"/>
    <w:rsid w:val="002E2C7B"/>
    <w:rsid w:val="002F53C3"/>
    <w:rsid w:val="00335CCC"/>
    <w:rsid w:val="003646AC"/>
    <w:rsid w:val="003710A8"/>
    <w:rsid w:val="003715A0"/>
    <w:rsid w:val="003D7FD8"/>
    <w:rsid w:val="00423C6F"/>
    <w:rsid w:val="00432537"/>
    <w:rsid w:val="004735BC"/>
    <w:rsid w:val="00480B77"/>
    <w:rsid w:val="0049280E"/>
    <w:rsid w:val="00492CD2"/>
    <w:rsid w:val="00494C24"/>
    <w:rsid w:val="00505F6E"/>
    <w:rsid w:val="0051574F"/>
    <w:rsid w:val="00552B85"/>
    <w:rsid w:val="00576C3E"/>
    <w:rsid w:val="00604922"/>
    <w:rsid w:val="00625E2A"/>
    <w:rsid w:val="00664C07"/>
    <w:rsid w:val="006A65FA"/>
    <w:rsid w:val="006B272F"/>
    <w:rsid w:val="006B3636"/>
    <w:rsid w:val="006E6442"/>
    <w:rsid w:val="00705D93"/>
    <w:rsid w:val="00725205"/>
    <w:rsid w:val="00760654"/>
    <w:rsid w:val="00770160"/>
    <w:rsid w:val="00795E90"/>
    <w:rsid w:val="00797662"/>
    <w:rsid w:val="007B136F"/>
    <w:rsid w:val="007C0E9C"/>
    <w:rsid w:val="007D502F"/>
    <w:rsid w:val="007E6A06"/>
    <w:rsid w:val="007F4FC0"/>
    <w:rsid w:val="00802A56"/>
    <w:rsid w:val="00860C16"/>
    <w:rsid w:val="00860FB4"/>
    <w:rsid w:val="00885035"/>
    <w:rsid w:val="00896451"/>
    <w:rsid w:val="008A3E4D"/>
    <w:rsid w:val="008B54C4"/>
    <w:rsid w:val="0090204A"/>
    <w:rsid w:val="00920B80"/>
    <w:rsid w:val="00920BC0"/>
    <w:rsid w:val="00920C27"/>
    <w:rsid w:val="00923597"/>
    <w:rsid w:val="009602EE"/>
    <w:rsid w:val="00970FCB"/>
    <w:rsid w:val="009A3BB6"/>
    <w:rsid w:val="00A03CFF"/>
    <w:rsid w:val="00A12CBA"/>
    <w:rsid w:val="00A232A8"/>
    <w:rsid w:val="00A91DD3"/>
    <w:rsid w:val="00AC79D4"/>
    <w:rsid w:val="00B40553"/>
    <w:rsid w:val="00B8380A"/>
    <w:rsid w:val="00B95AA6"/>
    <w:rsid w:val="00BB1B16"/>
    <w:rsid w:val="00BC0179"/>
    <w:rsid w:val="00BC5391"/>
    <w:rsid w:val="00C2608A"/>
    <w:rsid w:val="00C32F4A"/>
    <w:rsid w:val="00CD4325"/>
    <w:rsid w:val="00CF40DF"/>
    <w:rsid w:val="00CF72A2"/>
    <w:rsid w:val="00D22255"/>
    <w:rsid w:val="00D56874"/>
    <w:rsid w:val="00D8375B"/>
    <w:rsid w:val="00D94FD3"/>
    <w:rsid w:val="00DA654F"/>
    <w:rsid w:val="00DB7B76"/>
    <w:rsid w:val="00DC6CBB"/>
    <w:rsid w:val="00DF76D3"/>
    <w:rsid w:val="00E510DD"/>
    <w:rsid w:val="00E5621A"/>
    <w:rsid w:val="00E62014"/>
    <w:rsid w:val="00E7263C"/>
    <w:rsid w:val="00E77340"/>
    <w:rsid w:val="00E91DF2"/>
    <w:rsid w:val="00EA2CAC"/>
    <w:rsid w:val="00EB1EAC"/>
    <w:rsid w:val="00F13CEA"/>
    <w:rsid w:val="00F56F90"/>
    <w:rsid w:val="00F975FD"/>
    <w:rsid w:val="00FE5D17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8B844"/>
  <w15:chartTrackingRefBased/>
  <w15:docId w15:val="{8EA868F9-C14B-4660-906F-464EC90F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AC79D4"/>
    <w:rPr>
      <w:color w:val="808080"/>
    </w:rPr>
  </w:style>
  <w:style w:type="paragraph" w:styleId="Revision">
    <w:name w:val="Revision"/>
    <w:hidden/>
    <w:uiPriority w:val="99"/>
    <w:semiHidden/>
    <w:rsid w:val="003710A8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2F26B4-DAF7-42D6-BA49-EA29695AA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1F82C-5AB3-4DAA-B81C-7E6B5E8D2C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5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3</cp:revision>
  <cp:lastPrinted>2005-03-16T12:26:00Z</cp:lastPrinted>
  <dcterms:created xsi:type="dcterms:W3CDTF">2023-08-18T18:39:00Z</dcterms:created>
  <dcterms:modified xsi:type="dcterms:W3CDTF">2023-08-18T18:43:00Z</dcterms:modified>
</cp:coreProperties>
</file>