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7E79C" w14:textId="77777777" w:rsidR="00D9052D" w:rsidRDefault="00D9052D" w:rsidP="00D9052D">
      <w:pPr>
        <w:jc w:val="center"/>
        <w:rPr>
          <w:b/>
        </w:rPr>
      </w:pPr>
      <w:r>
        <w:rPr>
          <w:b/>
        </w:rPr>
        <w:t>FREQUENCY SPECTRUM MANAGEMENT PANEL (FSMP)</w:t>
      </w:r>
    </w:p>
    <w:p w14:paraId="3C8D0CA3" w14:textId="77777777" w:rsidR="00D9052D" w:rsidRDefault="00D9052D" w:rsidP="00D9052D">
      <w:pPr>
        <w:tabs>
          <w:tab w:val="left" w:pos="6972"/>
        </w:tabs>
        <w:jc w:val="center"/>
        <w:rPr>
          <w:b/>
        </w:rPr>
      </w:pPr>
    </w:p>
    <w:p w14:paraId="0A2A8F34" w14:textId="77777777" w:rsidR="00AD5B55" w:rsidRPr="00AD5B55" w:rsidRDefault="00AD5B55" w:rsidP="00AD5B55">
      <w:pPr>
        <w:pStyle w:val="Maintitle"/>
        <w:rPr>
          <w:rFonts w:eastAsia="SimSun"/>
          <w:snapToGrid/>
          <w:szCs w:val="24"/>
        </w:rPr>
      </w:pPr>
      <w:r w:rsidRPr="00AD5B55">
        <w:rPr>
          <w:rFonts w:eastAsia="SimSun"/>
          <w:snapToGrid/>
          <w:szCs w:val="24"/>
        </w:rPr>
        <w:t xml:space="preserve">Twentieth Working Group Meeting </w:t>
      </w:r>
    </w:p>
    <w:p w14:paraId="1DC46408" w14:textId="77777777" w:rsidR="00AD5B55" w:rsidRPr="00AD5B55" w:rsidRDefault="00AD5B55" w:rsidP="00AD5B55">
      <w:pPr>
        <w:pStyle w:val="Maintitle"/>
        <w:rPr>
          <w:rFonts w:eastAsia="SimSun"/>
          <w:snapToGrid/>
          <w:szCs w:val="24"/>
        </w:rPr>
      </w:pPr>
    </w:p>
    <w:p w14:paraId="123E4BD8" w14:textId="77777777" w:rsidR="009C4637" w:rsidRDefault="00AD5B55" w:rsidP="00AD5B55">
      <w:pPr>
        <w:pStyle w:val="Maintitle"/>
      </w:pPr>
      <w:r w:rsidRPr="00AD5B55">
        <w:rPr>
          <w:rFonts w:eastAsia="SimSun"/>
          <w:snapToGrid/>
          <w:szCs w:val="24"/>
        </w:rPr>
        <w:t xml:space="preserve">Bangkok, Thailand, </w:t>
      </w:r>
      <w:r w:rsidR="00831B14">
        <w:rPr>
          <w:rFonts w:eastAsia="SimSun"/>
          <w:snapToGrid/>
          <w:szCs w:val="24"/>
        </w:rPr>
        <w:t>26</w:t>
      </w:r>
      <w:r w:rsidR="00831B14" w:rsidRPr="00831B14">
        <w:rPr>
          <w:rFonts w:eastAsia="SimSun"/>
          <w:snapToGrid/>
          <w:szCs w:val="24"/>
          <w:vertAlign w:val="superscript"/>
        </w:rPr>
        <w:t>th</w:t>
      </w:r>
      <w:r w:rsidR="00831B14">
        <w:rPr>
          <w:rFonts w:eastAsia="SimSun"/>
          <w:snapToGrid/>
          <w:szCs w:val="24"/>
        </w:rPr>
        <w:t xml:space="preserve"> </w:t>
      </w:r>
      <w:r w:rsidRPr="00AD5B55">
        <w:rPr>
          <w:rFonts w:eastAsia="SimSun"/>
          <w:snapToGrid/>
          <w:szCs w:val="24"/>
        </w:rPr>
        <w:t>February</w:t>
      </w:r>
      <w:r w:rsidR="00831B14">
        <w:rPr>
          <w:rFonts w:eastAsia="SimSun"/>
          <w:snapToGrid/>
          <w:szCs w:val="24"/>
        </w:rPr>
        <w:t xml:space="preserve"> – 7</w:t>
      </w:r>
      <w:r w:rsidR="00831B14" w:rsidRPr="00831B14">
        <w:rPr>
          <w:rFonts w:eastAsia="SimSun"/>
          <w:snapToGrid/>
          <w:szCs w:val="24"/>
          <w:vertAlign w:val="superscript"/>
        </w:rPr>
        <w:t>th</w:t>
      </w:r>
      <w:r w:rsidR="00831B14">
        <w:rPr>
          <w:rFonts w:eastAsia="SimSun"/>
          <w:snapToGrid/>
          <w:szCs w:val="24"/>
        </w:rPr>
        <w:t xml:space="preserve"> March</w:t>
      </w:r>
      <w:r w:rsidRPr="00AD5B55">
        <w:rPr>
          <w:rFonts w:eastAsia="SimSun"/>
          <w:snapToGrid/>
          <w:szCs w:val="24"/>
        </w:rPr>
        <w:t xml:space="preserve"> 2025</w:t>
      </w:r>
    </w:p>
    <w:p w14:paraId="7AF05523" w14:textId="77777777" w:rsidR="009C4637" w:rsidRDefault="009C4637" w:rsidP="009C4637">
      <w:pPr>
        <w:pStyle w:val="Maintitle"/>
      </w:pPr>
    </w:p>
    <w:p w14:paraId="70FF1E57" w14:textId="77777777" w:rsidR="00770160" w:rsidRDefault="00770160">
      <w:pPr>
        <w:tabs>
          <w:tab w:val="left" w:pos="0"/>
          <w:tab w:val="left" w:pos="1570"/>
          <w:tab w:val="left" w:pos="1857"/>
        </w:tabs>
      </w:pPr>
    </w:p>
    <w:p w14:paraId="063BEEEA" w14:textId="77777777" w:rsidR="00770160" w:rsidRDefault="00770160">
      <w:pPr>
        <w:tabs>
          <w:tab w:val="left" w:pos="0"/>
          <w:tab w:val="left" w:pos="1570"/>
          <w:tab w:val="left" w:pos="1857"/>
        </w:tabs>
      </w:pPr>
    </w:p>
    <w:p w14:paraId="64BD7E2F" w14:textId="77777777" w:rsidR="00B663C2" w:rsidRDefault="00B663C2">
      <w:pPr>
        <w:tabs>
          <w:tab w:val="left" w:pos="0"/>
          <w:tab w:val="left" w:pos="1570"/>
          <w:tab w:val="left" w:pos="1857"/>
        </w:tabs>
      </w:pPr>
    </w:p>
    <w:p w14:paraId="44492B7F" w14:textId="58640599" w:rsidR="00770160" w:rsidRDefault="00770160">
      <w:pPr>
        <w:pStyle w:val="Agendaitemtitle"/>
        <w:rPr>
          <w:lang w:val="sv-SE"/>
        </w:rPr>
      </w:pPr>
      <w:r>
        <w:rPr>
          <w:lang w:val="sv-SE"/>
        </w:rPr>
        <w:t>Agenda Item </w:t>
      </w:r>
      <w:r w:rsidR="00766B83">
        <w:rPr>
          <w:lang w:val="sv-SE"/>
        </w:rPr>
        <w:t>5a</w:t>
      </w:r>
      <w:r>
        <w:rPr>
          <w:lang w:val="sv-SE"/>
        </w:rPr>
        <w:t>:</w:t>
      </w:r>
      <w:r>
        <w:rPr>
          <w:lang w:val="sv-SE"/>
        </w:rPr>
        <w:tab/>
      </w:r>
      <w:r w:rsidR="002F1A4A">
        <w:rPr>
          <w:lang w:val="sv-SE"/>
        </w:rPr>
        <w:tab/>
      </w:r>
      <w:r w:rsidR="00766B83">
        <w:rPr>
          <w:lang w:val="sv-SE"/>
        </w:rPr>
        <w:t>Aeronautical Band Planning 108-137 MHz</w:t>
      </w:r>
    </w:p>
    <w:p w14:paraId="46169295" w14:textId="77777777" w:rsidR="00770160" w:rsidRDefault="00770160">
      <w:pPr>
        <w:pStyle w:val="Agendaitemtitle"/>
        <w:rPr>
          <w:b w:val="0"/>
          <w:lang w:val="sv-SE"/>
        </w:rPr>
      </w:pPr>
    </w:p>
    <w:p w14:paraId="6B024A19" w14:textId="77777777" w:rsidR="00770160" w:rsidRDefault="00770160">
      <w:pPr>
        <w:tabs>
          <w:tab w:val="left" w:pos="6972"/>
        </w:tabs>
        <w:rPr>
          <w:b/>
          <w:lang w:val="sv-SE"/>
        </w:rPr>
      </w:pPr>
    </w:p>
    <w:p w14:paraId="51E19778" w14:textId="77777777" w:rsidR="00770160" w:rsidRPr="002F1A4A" w:rsidRDefault="00ED2955">
      <w:pPr>
        <w:pStyle w:val="Maintitle"/>
        <w:rPr>
          <w:sz w:val="24"/>
          <w:szCs w:val="24"/>
        </w:rPr>
      </w:pPr>
      <w:r w:rsidRPr="002F1A4A">
        <w:rPr>
          <w:sz w:val="24"/>
          <w:szCs w:val="24"/>
        </w:rPr>
        <w:t xml:space="preserve">Space Based </w:t>
      </w:r>
      <w:r w:rsidR="00766B83" w:rsidRPr="002F1A4A">
        <w:rPr>
          <w:sz w:val="24"/>
          <w:szCs w:val="24"/>
        </w:rPr>
        <w:t>VHF</w:t>
      </w:r>
      <w:r w:rsidR="00155A53" w:rsidRPr="002F1A4A">
        <w:rPr>
          <w:sz w:val="24"/>
          <w:szCs w:val="24"/>
        </w:rPr>
        <w:t xml:space="preserve"> Spectrum Impact</w:t>
      </w:r>
    </w:p>
    <w:p w14:paraId="567CB022" w14:textId="77777777" w:rsidR="00770160" w:rsidRDefault="00770160">
      <w:pPr>
        <w:tabs>
          <w:tab w:val="left" w:pos="6972"/>
        </w:tabs>
      </w:pPr>
    </w:p>
    <w:p w14:paraId="087DE484" w14:textId="77777777" w:rsidR="00770160" w:rsidRDefault="00770160">
      <w:pPr>
        <w:tabs>
          <w:tab w:val="left" w:pos="6972"/>
        </w:tabs>
      </w:pPr>
    </w:p>
    <w:p w14:paraId="60B45F76" w14:textId="6EC75B50" w:rsidR="00770160" w:rsidRDefault="00770160">
      <w:pPr>
        <w:jc w:val="center"/>
      </w:pPr>
      <w:r>
        <w:t>(</w:t>
      </w:r>
      <w:r w:rsidR="002C0977">
        <w:t xml:space="preserve">Bertrand </w:t>
      </w:r>
      <w:proofErr w:type="spellStart"/>
      <w:r w:rsidR="002C0977">
        <w:t>Desp</w:t>
      </w:r>
      <w:r w:rsidR="00BB10CC">
        <w:t>é</w:t>
      </w:r>
      <w:r w:rsidR="002C0977">
        <w:t>rier</w:t>
      </w:r>
      <w:proofErr w:type="spellEnd"/>
      <w:r w:rsidR="002C0977">
        <w:t xml:space="preserve"> - E</w:t>
      </w:r>
      <w:r w:rsidR="006855D6">
        <w:t>UROCONTROL</w:t>
      </w:r>
      <w:r>
        <w:t>)</w:t>
      </w:r>
    </w:p>
    <w:p w14:paraId="02BF24F6"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6E3F5F" w14:paraId="7935C424" w14:textId="77777777">
        <w:trPr>
          <w:cantSplit/>
          <w:trHeight w:hRule="exact" w:val="480"/>
          <w:jc w:val="center"/>
        </w:trPr>
        <w:tc>
          <w:tcPr>
            <w:tcW w:w="7200" w:type="dxa"/>
            <w:vAlign w:val="center"/>
          </w:tcPr>
          <w:p w14:paraId="79F9A4D7" w14:textId="77777777" w:rsidR="006E3F5F" w:rsidRDefault="006E3F5F">
            <w:pPr>
              <w:jc w:val="center"/>
              <w:rPr>
                <w:sz w:val="24"/>
                <w:lang w:val="en-US"/>
              </w:rPr>
            </w:pPr>
            <w:r>
              <w:rPr>
                <w:b/>
              </w:rPr>
              <w:t>SUMMARY</w:t>
            </w:r>
          </w:p>
        </w:tc>
      </w:tr>
      <w:tr w:rsidR="006E3F5F" w14:paraId="42538C10" w14:textId="77777777">
        <w:trPr>
          <w:cantSplit/>
          <w:trHeight w:val="1194"/>
          <w:jc w:val="center"/>
        </w:trPr>
        <w:tc>
          <w:tcPr>
            <w:tcW w:w="7200" w:type="dxa"/>
          </w:tcPr>
          <w:p w14:paraId="321E901D" w14:textId="77777777" w:rsidR="006E3F5F" w:rsidRDefault="006D3702">
            <w:r w:rsidRPr="006D3702">
              <w:t>This document examines the potential impact of Space-Based VHF (SB-VHF) communication on the aeronautical VHF band (118–137 MHz), focusing on Europe. It highlights significant congestion in the band, particularly for 25 kHz channel assignments. SB-VHF is shown to have much lower spectrum efficiency compared to terrestrial systems in continental regions. The analysis demonstrates that SB-VHF should not be used in Europe to replace current services and should concentrate on remote or oceanic areas. Recommendations include developing validated propagation models and dynamic footprint assessments to refine the analysis and ensure sustainable spectrum management.</w:t>
            </w:r>
          </w:p>
          <w:p w14:paraId="1EB2898C" w14:textId="0CF89309" w:rsidR="00BB10CC" w:rsidRDefault="00BB10CC">
            <w:pPr>
              <w:rPr>
                <w:lang w:val="en-US"/>
              </w:rPr>
            </w:pPr>
          </w:p>
        </w:tc>
      </w:tr>
    </w:tbl>
    <w:p w14:paraId="676F1950" w14:textId="77777777" w:rsidR="00770160" w:rsidRPr="00E35591" w:rsidRDefault="00770160"/>
    <w:p w14:paraId="2C2B0F32" w14:textId="77777777" w:rsidR="00770160" w:rsidRDefault="00766B83" w:rsidP="005B6565">
      <w:pPr>
        <w:pStyle w:val="1Heading"/>
        <w:tabs>
          <w:tab w:val="clear" w:pos="720"/>
          <w:tab w:val="num" w:pos="1134"/>
        </w:tabs>
        <w:ind w:left="851" w:hanging="851"/>
      </w:pPr>
      <w:r>
        <w:t>SCOPE</w:t>
      </w:r>
    </w:p>
    <w:p w14:paraId="0AF2B1AE" w14:textId="6D9C32D9" w:rsidR="00AD5B55" w:rsidRPr="00AD5B55" w:rsidRDefault="006D3702" w:rsidP="005B6565">
      <w:pPr>
        <w:pStyle w:val="2para"/>
        <w:tabs>
          <w:tab w:val="clear" w:pos="720"/>
          <w:tab w:val="clear" w:pos="1440"/>
          <w:tab w:val="clear" w:pos="1866"/>
          <w:tab w:val="num" w:pos="851"/>
          <w:tab w:val="num" w:pos="1418"/>
          <w:tab w:val="left" w:pos="2127"/>
        </w:tabs>
        <w:ind w:left="851" w:hanging="851"/>
      </w:pPr>
      <w:r w:rsidRPr="006D3702">
        <w:t>This paper provides an initial analysis of the impact that Space-Based VHF (SB-VHF) voice communication may have on the aeronautical VHF band (118–137 MHz) globally, with a specific focus on the ICAO EUR region.</w:t>
      </w:r>
    </w:p>
    <w:p w14:paraId="1B9722C0" w14:textId="5F108655" w:rsidR="00AD5B55" w:rsidRPr="00AD5B55" w:rsidRDefault="00AD5B55" w:rsidP="005B6565">
      <w:pPr>
        <w:pStyle w:val="2para"/>
        <w:tabs>
          <w:tab w:val="clear" w:pos="720"/>
          <w:tab w:val="num" w:pos="993"/>
        </w:tabs>
        <w:ind w:left="851" w:hanging="851"/>
      </w:pPr>
      <w:r w:rsidRPr="00AD5B55">
        <w:t>It evaluates the potential use of SB-VHF by existing services in Europe, comparing its "frequency planning efficiency" to that of current terrestrial services.</w:t>
      </w:r>
    </w:p>
    <w:p w14:paraId="101CDE9E" w14:textId="12A53461" w:rsidR="00AD5B55" w:rsidRPr="00AD5B55" w:rsidRDefault="00AD5B55" w:rsidP="005B6565">
      <w:pPr>
        <w:pStyle w:val="2para"/>
        <w:tabs>
          <w:tab w:val="clear" w:pos="720"/>
          <w:tab w:val="left" w:pos="851"/>
        </w:tabs>
        <w:ind w:left="851" w:hanging="851"/>
      </w:pPr>
      <w:r w:rsidRPr="00AD5B55">
        <w:t xml:space="preserve">While separation planning criteria applicable to SB-VHF are yet to be defined, simple assumptions can offer valuable insights into the impact of allocating space-based channels for services in remote airspace, such as the North Atlantic, on existing </w:t>
      </w:r>
      <w:r w:rsidR="006D3702">
        <w:t xml:space="preserve">European </w:t>
      </w:r>
      <w:r w:rsidRPr="00AD5B55">
        <w:t>terrestrial services.</w:t>
      </w:r>
    </w:p>
    <w:p w14:paraId="3E951616" w14:textId="75F8B230" w:rsidR="00490274" w:rsidRDefault="00AD5B55" w:rsidP="005B6565">
      <w:pPr>
        <w:pStyle w:val="2para"/>
        <w:tabs>
          <w:tab w:val="clear" w:pos="720"/>
          <w:tab w:val="num" w:pos="851"/>
        </w:tabs>
        <w:ind w:left="851" w:hanging="851"/>
      </w:pPr>
      <w:r w:rsidRPr="00AD5B55">
        <w:lastRenderedPageBreak/>
        <w:t xml:space="preserve">The assumptions and calculations in this paper are based on the </w:t>
      </w:r>
      <w:r w:rsidR="003E3931" w:rsidRPr="008512C6">
        <w:t>FSMP-WG19-WP16_SB-VHF SARPs Validation Report</w:t>
      </w:r>
      <w:r w:rsidRPr="00AD5B55">
        <w:t xml:space="preserve">, </w:t>
      </w:r>
      <w:r w:rsidRPr="003E3931">
        <w:t>the current SAFIRE database, and the ICAO global database</w:t>
      </w:r>
      <w:r w:rsidRPr="00AD5B55">
        <w:t>.</w:t>
      </w:r>
    </w:p>
    <w:p w14:paraId="787D16CA" w14:textId="77777777" w:rsidR="00770160" w:rsidRDefault="00970ABA" w:rsidP="005B6565">
      <w:pPr>
        <w:pStyle w:val="1Heading"/>
        <w:tabs>
          <w:tab w:val="clear" w:pos="720"/>
          <w:tab w:val="num" w:pos="851"/>
        </w:tabs>
        <w:ind w:left="851" w:hanging="851"/>
      </w:pPr>
      <w:r>
        <w:t xml:space="preserve">FREQUENCY PLANNING </w:t>
      </w:r>
      <w:r w:rsidR="00B2376B">
        <w:t>CONSIDERATIONS</w:t>
      </w:r>
    </w:p>
    <w:p w14:paraId="71E04A8D" w14:textId="77777777" w:rsidR="0033510D" w:rsidRPr="009874DE" w:rsidRDefault="009874DE" w:rsidP="005B6565">
      <w:pPr>
        <w:pStyle w:val="2para"/>
        <w:tabs>
          <w:tab w:val="clear" w:pos="720"/>
          <w:tab w:val="num" w:pos="993"/>
        </w:tabs>
        <w:ind w:left="851" w:hanging="851"/>
        <w:rPr>
          <w:b/>
          <w:bCs/>
          <w:lang w:val="fr-BE"/>
        </w:rPr>
      </w:pPr>
      <w:r w:rsidRPr="009874DE">
        <w:rPr>
          <w:b/>
          <w:bCs/>
          <w:lang w:val="fr-BE"/>
        </w:rPr>
        <w:t xml:space="preserve">Curent </w:t>
      </w:r>
      <w:r w:rsidR="00766B83">
        <w:rPr>
          <w:b/>
          <w:bCs/>
          <w:lang w:val="fr-BE"/>
        </w:rPr>
        <w:t xml:space="preserve">VHF </w:t>
      </w:r>
      <w:r w:rsidRPr="009874DE">
        <w:rPr>
          <w:b/>
          <w:bCs/>
          <w:lang w:val="fr-BE"/>
        </w:rPr>
        <w:t>congestion situation in Eu</w:t>
      </w:r>
      <w:r>
        <w:rPr>
          <w:b/>
          <w:bCs/>
          <w:lang w:val="fr-BE"/>
        </w:rPr>
        <w:t>rope</w:t>
      </w:r>
    </w:p>
    <w:p w14:paraId="4498F723" w14:textId="77777777" w:rsidR="0033510D" w:rsidRDefault="00490274" w:rsidP="005B6565">
      <w:pPr>
        <w:pStyle w:val="3para"/>
        <w:tabs>
          <w:tab w:val="clear" w:pos="1440"/>
          <w:tab w:val="clear" w:pos="1866"/>
          <w:tab w:val="num" w:pos="851"/>
          <w:tab w:val="num" w:pos="993"/>
        </w:tabs>
        <w:ind w:left="851" w:hanging="851"/>
      </w:pPr>
      <w:r w:rsidRPr="00490274">
        <w:t xml:space="preserve">The VHF COM band (118–137 MHz) has been congested for many years in </w:t>
      </w:r>
      <w:r w:rsidR="001F1544">
        <w:t xml:space="preserve">western </w:t>
      </w:r>
      <w:r w:rsidRPr="00490274">
        <w:t xml:space="preserve">Europe. While the introduction and widespread adoption of 8.33 kHz channel spacing has provided additional capacity, this improvement applies only to 8.33 kHz frequency assignments. The congestion for </w:t>
      </w:r>
      <w:r w:rsidR="00A74D5A">
        <w:t>new</w:t>
      </w:r>
      <w:r w:rsidRPr="00490274">
        <w:t xml:space="preserve"> 25 kHz frequency assignments remains unchanged</w:t>
      </w:r>
      <w:r w:rsidR="001F1544">
        <w:t xml:space="preserve"> without a major re planning exercise.</w:t>
      </w:r>
    </w:p>
    <w:p w14:paraId="3B4DD38E" w14:textId="0EA6C24C" w:rsidR="00A60429" w:rsidRDefault="001F1544" w:rsidP="00C95FD6">
      <w:pPr>
        <w:pStyle w:val="3para"/>
        <w:tabs>
          <w:tab w:val="clear" w:pos="1866"/>
          <w:tab w:val="num" w:pos="851"/>
          <w:tab w:val="num" w:pos="993"/>
        </w:tabs>
        <w:ind w:left="851" w:hanging="851"/>
      </w:pPr>
      <w:r w:rsidRPr="001F1544">
        <w:t>The current congestion of 25 kHz frequency assignments can be illustrated as follows: Define a service volume as a cylinder with a specified radius, and height, and move this cylinder across Europe. At each location</w:t>
      </w:r>
      <w:r w:rsidR="006D3702">
        <w:t xml:space="preserve"> (centre of the volume)</w:t>
      </w:r>
      <w:r w:rsidRPr="001F1544">
        <w:t>, calculate the number of available frequencies</w:t>
      </w:r>
      <w:r>
        <w:t xml:space="preserve"> for such service volume</w:t>
      </w:r>
      <w:r w:rsidRPr="001F1544">
        <w:t>, represented by a corresponding colour.</w:t>
      </w:r>
    </w:p>
    <w:p w14:paraId="33B9C042" w14:textId="48381129" w:rsidR="00415E59" w:rsidRDefault="001F1544" w:rsidP="004312C0">
      <w:pPr>
        <w:pStyle w:val="3para"/>
        <w:tabs>
          <w:tab w:val="clear" w:pos="1866"/>
          <w:tab w:val="num" w:pos="851"/>
          <w:tab w:val="num" w:pos="993"/>
          <w:tab w:val="num" w:pos="1276"/>
        </w:tabs>
        <w:ind w:left="851" w:hanging="851"/>
      </w:pPr>
      <w:r w:rsidRPr="001F1544">
        <w:t>A Tower service typically covers a cylindrical volume with a radius of 25 NM and a height of 4</w:t>
      </w:r>
      <w:r w:rsidR="00CA7CCE">
        <w:t xml:space="preserve"> </w:t>
      </w:r>
      <w:r w:rsidRPr="001F1544">
        <w:t>000 feet. In contrast, an ACC service, which is polygonal in shape, can be approximated as a cylinder with a radius ranging from 50 NM to 100 NM and a height of 45</w:t>
      </w:r>
      <w:r w:rsidR="00CA7CCE">
        <w:t xml:space="preserve"> </w:t>
      </w:r>
      <w:r w:rsidRPr="001F1544">
        <w:t>000 feet. The map below illustrates the congestion levels associated with each type of service.</w:t>
      </w:r>
      <w:r w:rsidR="00A74D5A">
        <w:tab/>
      </w:r>
      <w:r w:rsidR="00A74D5A">
        <w:br/>
      </w:r>
      <w:r w:rsidR="00F54F58">
        <w:tab/>
      </w:r>
      <w:r w:rsidR="00F54F58">
        <w:br/>
      </w:r>
      <w:r w:rsidR="00E44009">
        <w:rPr>
          <w:noProof/>
        </w:rPr>
        <w:drawing>
          <wp:inline distT="0" distB="0" distL="0" distR="0" wp14:anchorId="5B593BA7" wp14:editId="164CAC8D">
            <wp:extent cx="6191250" cy="338137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0" cy="3381375"/>
                    </a:xfrm>
                    <a:prstGeom prst="rect">
                      <a:avLst/>
                    </a:prstGeom>
                    <a:noFill/>
                    <a:ln>
                      <a:noFill/>
                    </a:ln>
                  </pic:spPr>
                </pic:pic>
              </a:graphicData>
            </a:graphic>
          </wp:inline>
        </w:drawing>
      </w:r>
    </w:p>
    <w:p w14:paraId="78117D5D" w14:textId="77777777" w:rsidR="009E6EA6" w:rsidRDefault="009E6EA6" w:rsidP="00415E59">
      <w:pPr>
        <w:pStyle w:val="Caption"/>
        <w:jc w:val="center"/>
      </w:pPr>
      <w:r w:rsidRPr="000D4DB1">
        <w:t>Figure 1: 25kHz Frequency congestion in Europe</w:t>
      </w:r>
    </w:p>
    <w:p w14:paraId="52034D5F" w14:textId="77777777" w:rsidR="00415E59" w:rsidRPr="00415E59" w:rsidRDefault="00415E59" w:rsidP="00415E59"/>
    <w:p w14:paraId="63BC27A0" w14:textId="77777777" w:rsidR="001F1544" w:rsidRDefault="000D4DB1" w:rsidP="004312C0">
      <w:pPr>
        <w:pStyle w:val="3para"/>
        <w:tabs>
          <w:tab w:val="clear" w:pos="1440"/>
          <w:tab w:val="clear" w:pos="1866"/>
          <w:tab w:val="num" w:pos="851"/>
          <w:tab w:val="num" w:pos="1134"/>
        </w:tabs>
        <w:ind w:left="851" w:hanging="851"/>
        <w:rPr>
          <w:lang w:val="en-US"/>
        </w:rPr>
      </w:pPr>
      <w:r w:rsidRPr="000D4DB1">
        <w:rPr>
          <w:lang w:val="en-US"/>
        </w:rPr>
        <w:lastRenderedPageBreak/>
        <w:t xml:space="preserve">Black indicates that no channel is immediately available for the service. While it is still possible to allocate a frequency, this requires </w:t>
      </w:r>
      <w:r>
        <w:rPr>
          <w:lang w:val="en-US"/>
        </w:rPr>
        <w:t>shifting</w:t>
      </w:r>
      <w:r w:rsidRPr="000D4DB1">
        <w:rPr>
          <w:lang w:val="en-US"/>
        </w:rPr>
        <w:t xml:space="preserve"> </w:t>
      </w:r>
      <w:r>
        <w:rPr>
          <w:lang w:val="en-US"/>
        </w:rPr>
        <w:t>(i.e.</w:t>
      </w:r>
      <w:r w:rsidRPr="000D4DB1">
        <w:rPr>
          <w:lang w:val="en-US"/>
        </w:rPr>
        <w:t xml:space="preserve"> </w:t>
      </w:r>
      <w:r>
        <w:rPr>
          <w:lang w:val="en-US"/>
        </w:rPr>
        <w:t>changing)</w:t>
      </w:r>
      <w:r w:rsidRPr="000D4DB1">
        <w:rPr>
          <w:lang w:val="en-US"/>
        </w:rPr>
        <w:t xml:space="preserve"> the frequencies of </w:t>
      </w:r>
      <w:r>
        <w:rPr>
          <w:lang w:val="en-US"/>
        </w:rPr>
        <w:t xml:space="preserve">one or more </w:t>
      </w:r>
      <w:r w:rsidRPr="000D4DB1">
        <w:rPr>
          <w:lang w:val="en-US"/>
        </w:rPr>
        <w:t>existing assignments. Such adjustments are time-consuming and incur additional costs.</w:t>
      </w:r>
    </w:p>
    <w:p w14:paraId="44491777" w14:textId="77777777" w:rsidR="00A74D5A" w:rsidRPr="007068BB" w:rsidRDefault="00F953BA" w:rsidP="004312C0">
      <w:pPr>
        <w:pStyle w:val="3para"/>
        <w:tabs>
          <w:tab w:val="clear" w:pos="1440"/>
          <w:tab w:val="clear" w:pos="1866"/>
          <w:tab w:val="num" w:pos="851"/>
        </w:tabs>
        <w:ind w:left="851" w:hanging="851"/>
        <w:rPr>
          <w:lang w:val="en-US"/>
        </w:rPr>
      </w:pPr>
      <w:r w:rsidRPr="00F953BA">
        <w:rPr>
          <w:lang w:val="en-US"/>
        </w:rPr>
        <w:t xml:space="preserve">It is evident that congestion levels are primarily influenced by the type of service, particularly its height. The higher the altitude of the aircraft, the greater the congestion. Currently, the maximum height of a service volume </w:t>
      </w:r>
      <w:r>
        <w:rPr>
          <w:lang w:val="en-US"/>
        </w:rPr>
        <w:t xml:space="preserve">considered for frequency planning </w:t>
      </w:r>
      <w:r w:rsidRPr="00F953BA">
        <w:rPr>
          <w:lang w:val="en-US"/>
        </w:rPr>
        <w:t xml:space="preserve">is </w:t>
      </w:r>
      <w:r>
        <w:rPr>
          <w:lang w:val="en-US"/>
        </w:rPr>
        <w:t>limited</w:t>
      </w:r>
      <w:r w:rsidRPr="00F953BA">
        <w:rPr>
          <w:lang w:val="en-US"/>
        </w:rPr>
        <w:t xml:space="preserve"> to 45</w:t>
      </w:r>
      <w:r w:rsidR="00CA7CCE">
        <w:rPr>
          <w:lang w:val="en-US"/>
        </w:rPr>
        <w:t xml:space="preserve"> </w:t>
      </w:r>
      <w:r w:rsidRPr="00F953BA">
        <w:rPr>
          <w:lang w:val="en-US"/>
        </w:rPr>
        <w:t>000 feet</w:t>
      </w:r>
      <w:r w:rsidR="007E38C7">
        <w:rPr>
          <w:lang w:val="en-US"/>
        </w:rPr>
        <w:t>.</w:t>
      </w:r>
    </w:p>
    <w:p w14:paraId="4316111D" w14:textId="77777777" w:rsidR="00DE5AA1" w:rsidRPr="009874DE" w:rsidRDefault="00DE5AA1" w:rsidP="004312C0">
      <w:pPr>
        <w:pStyle w:val="2para"/>
        <w:tabs>
          <w:tab w:val="clear" w:pos="720"/>
          <w:tab w:val="num" w:pos="851"/>
        </w:tabs>
        <w:ind w:left="851" w:hanging="851"/>
        <w:rPr>
          <w:b/>
          <w:bCs/>
          <w:lang w:val="fr-BE"/>
        </w:rPr>
      </w:pPr>
      <w:proofErr w:type="spellStart"/>
      <w:r>
        <w:rPr>
          <w:b/>
          <w:bCs/>
          <w:lang w:val="fr-BE"/>
        </w:rPr>
        <w:t>Separation</w:t>
      </w:r>
      <w:proofErr w:type="spellEnd"/>
      <w:r>
        <w:rPr>
          <w:b/>
          <w:bCs/>
          <w:lang w:val="fr-BE"/>
        </w:rPr>
        <w:t xml:space="preserve"> </w:t>
      </w:r>
      <w:proofErr w:type="spellStart"/>
      <w:r>
        <w:rPr>
          <w:b/>
          <w:bCs/>
          <w:lang w:val="fr-BE"/>
        </w:rPr>
        <w:t>Criteria</w:t>
      </w:r>
      <w:proofErr w:type="spellEnd"/>
    </w:p>
    <w:p w14:paraId="409B5A0E" w14:textId="77777777" w:rsidR="00F953BA" w:rsidRDefault="00F953BA" w:rsidP="004312C0">
      <w:pPr>
        <w:pStyle w:val="3para"/>
        <w:tabs>
          <w:tab w:val="clear" w:pos="1440"/>
          <w:tab w:val="clear" w:pos="1866"/>
          <w:tab w:val="num" w:pos="851"/>
        </w:tabs>
        <w:ind w:left="851" w:hanging="851"/>
      </w:pPr>
      <w:r>
        <w:t>The geographical separation between facilities operating on the same frequency is determined to ensure that the desired-to-</w:t>
      </w:r>
      <w:r w:rsidRPr="00A4595B">
        <w:t>undesired (D/U) signal ratio exceeds 20 dB or by maintaining a separation</w:t>
      </w:r>
      <w:r>
        <w:t xml:space="preserve"> distance at least equal to the sum of the radio horizons of the associated service volumes. In regions experiencing high congestion, the acceptable D/U ratio may, in some cases, be reduced to 14 </w:t>
      </w:r>
      <w:proofErr w:type="spellStart"/>
      <w:r>
        <w:t>dB.</w:t>
      </w:r>
      <w:proofErr w:type="spellEnd"/>
      <w:r>
        <w:t xml:space="preserve"> Within the ICAO EUR region, the 14 dB ratio is applied exclusively to circular (cylindrical) services.</w:t>
      </w:r>
    </w:p>
    <w:p w14:paraId="22DAA0BB" w14:textId="77777777" w:rsidR="00F953BA" w:rsidRDefault="00F953BA" w:rsidP="004312C0">
      <w:pPr>
        <w:pStyle w:val="3para"/>
        <w:tabs>
          <w:tab w:val="clear" w:pos="1440"/>
          <w:tab w:val="clear" w:pos="1866"/>
          <w:tab w:val="num" w:pos="851"/>
        </w:tabs>
        <w:ind w:left="851" w:hanging="851"/>
      </w:pPr>
      <w:r>
        <w:t>In practice, the sum of the radio horizon distances is widely used globally, as it is typically reached before achieving a 20 dB or even a 14 dB D/U ratio. This approach does not rely on detailed knowledge of ground transmitter power and ensures that the receiver squelch in the desired service is not unintentionally activated by transmissions from the undesired service.</w:t>
      </w:r>
    </w:p>
    <w:p w14:paraId="3854F103" w14:textId="77777777" w:rsidR="00F953BA" w:rsidRDefault="00F953BA" w:rsidP="004312C0">
      <w:pPr>
        <w:pStyle w:val="3para"/>
        <w:tabs>
          <w:tab w:val="clear" w:pos="1440"/>
          <w:tab w:val="clear" w:pos="1866"/>
          <w:tab w:val="num" w:pos="851"/>
        </w:tabs>
        <w:ind w:left="851" w:hanging="851"/>
      </w:pPr>
      <w:r w:rsidRPr="00F953BA">
        <w:t>In the ICAO EUR region, the separation distance between two services, where one is an area service (polygonal service), is calculated as the sum of the radio horizons of both services, based on their respective maximum heights.</w:t>
      </w:r>
    </w:p>
    <w:p w14:paraId="2DAEDA15" w14:textId="77777777" w:rsidR="00B83054" w:rsidRDefault="00756CD1" w:rsidP="004312C0">
      <w:pPr>
        <w:pStyle w:val="2para"/>
        <w:tabs>
          <w:tab w:val="clear" w:pos="720"/>
          <w:tab w:val="num" w:pos="851"/>
        </w:tabs>
        <w:ind w:left="851" w:hanging="851"/>
        <w:rPr>
          <w:b/>
          <w:bCs/>
        </w:rPr>
      </w:pPr>
      <w:r w:rsidRPr="003510DF">
        <w:rPr>
          <w:b/>
          <w:bCs/>
        </w:rPr>
        <w:t>S</w:t>
      </w:r>
      <w:r w:rsidR="00D95078" w:rsidRPr="003510DF">
        <w:rPr>
          <w:b/>
          <w:bCs/>
        </w:rPr>
        <w:t>pace-</w:t>
      </w:r>
      <w:r w:rsidRPr="003510DF">
        <w:rPr>
          <w:b/>
          <w:bCs/>
        </w:rPr>
        <w:t>based VHF</w:t>
      </w:r>
      <w:r w:rsidR="00D95078" w:rsidRPr="003510DF">
        <w:rPr>
          <w:b/>
          <w:bCs/>
        </w:rPr>
        <w:t xml:space="preserve"> frequency planning considerations</w:t>
      </w:r>
    </w:p>
    <w:p w14:paraId="27F110E0" w14:textId="5FCA96F1" w:rsidR="00E54739" w:rsidRDefault="00E54739" w:rsidP="004312C0">
      <w:pPr>
        <w:pStyle w:val="3para"/>
        <w:tabs>
          <w:tab w:val="clear" w:pos="1440"/>
          <w:tab w:val="clear" w:pos="1866"/>
          <w:tab w:val="num" w:pos="851"/>
        </w:tabs>
        <w:ind w:left="851" w:hanging="851"/>
      </w:pPr>
      <w:r>
        <w:t>This section extrapolates the existing separation criteria to space</w:t>
      </w:r>
      <w:r w:rsidRPr="00A4595B">
        <w:t>-based VHF communication</w:t>
      </w:r>
      <w:r w:rsidR="00A4595B" w:rsidRPr="00A4595B">
        <w:t>.</w:t>
      </w:r>
    </w:p>
    <w:p w14:paraId="66213285" w14:textId="77777777" w:rsidR="00CA7CCE" w:rsidRDefault="00E54739" w:rsidP="004312C0">
      <w:pPr>
        <w:pStyle w:val="3para"/>
        <w:tabs>
          <w:tab w:val="clear" w:pos="1440"/>
          <w:tab w:val="clear" w:pos="1866"/>
          <w:tab w:val="num" w:pos="851"/>
        </w:tabs>
        <w:ind w:left="851" w:hanging="851"/>
      </w:pPr>
      <w:r>
        <w:t>The radio horizon extends beyond the optical horizon due to the refraction of radio waves in the troposphere, which is approximately 8 to 15 km thick. However, for a satellite at an altitude of 600 km, the troposphere’s thickness becomes negligible in comparison. As a result, the satellite’s coverage can be effectively approximated as being limited by the optical horizon rather than the radio horizon.</w:t>
      </w:r>
    </w:p>
    <w:p w14:paraId="229C0DA8" w14:textId="77777777" w:rsidR="00415E59" w:rsidRDefault="00415E59" w:rsidP="004312C0">
      <w:pPr>
        <w:pStyle w:val="3para"/>
        <w:tabs>
          <w:tab w:val="clear" w:pos="1440"/>
          <w:tab w:val="clear" w:pos="1866"/>
          <w:tab w:val="num" w:pos="851"/>
        </w:tabs>
        <w:ind w:left="851" w:hanging="851"/>
      </w:pPr>
      <w:r>
        <w:t>To protect an aircraft operating on the same frequency from satellite VHF transmissions, the sum of the satellite’s optical horizon and the aircraft’s radio horizon can be used as an initial approximation. Furthermore, due to the asymmetry in the link budget, ensuring protection for the aircraft from satellite transmissions inherently protects the satellite from interference caused by aircraft transmissions.</w:t>
      </w:r>
    </w:p>
    <w:p w14:paraId="57C4AABD" w14:textId="77777777" w:rsidR="00781EC7" w:rsidRDefault="00415E59" w:rsidP="004312C0">
      <w:pPr>
        <w:pStyle w:val="3para"/>
        <w:tabs>
          <w:tab w:val="clear" w:pos="1440"/>
          <w:tab w:val="clear" w:pos="1866"/>
          <w:tab w:val="num" w:pos="851"/>
        </w:tabs>
        <w:ind w:left="851" w:hanging="851"/>
      </w:pPr>
      <w:r>
        <w:t>For a satellite orbiting 600 km above Earth, the optical horizon extends to approximately 2830 km (1528 NM).</w:t>
      </w:r>
      <w:r w:rsidR="0002611D">
        <w:t xml:space="preserve"> Although this altitude has been considered in that paper, an increased </w:t>
      </w:r>
      <w:r w:rsidR="00781EC7">
        <w:t xml:space="preserve">altitude </w:t>
      </w:r>
      <w:r w:rsidR="0002611D">
        <w:t>would significantly increase that distance.</w:t>
      </w:r>
    </w:p>
    <w:p w14:paraId="2ED70428" w14:textId="1D9D5217" w:rsidR="00415E59" w:rsidRDefault="0002611D" w:rsidP="00781EC7">
      <w:r w:rsidRPr="00781EC7">
        <w:lastRenderedPageBreak/>
        <w:br/>
      </w:r>
      <w:r w:rsidR="00E44009">
        <w:rPr>
          <w:noProof/>
        </w:rPr>
        <w:drawing>
          <wp:inline distT="0" distB="0" distL="0" distR="0" wp14:anchorId="09525581" wp14:editId="2C2EE66E">
            <wp:extent cx="3257550" cy="157162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7550" cy="1571625"/>
                    </a:xfrm>
                    <a:prstGeom prst="rect">
                      <a:avLst/>
                    </a:prstGeom>
                    <a:noFill/>
                    <a:ln>
                      <a:noFill/>
                    </a:ln>
                  </pic:spPr>
                </pic:pic>
              </a:graphicData>
            </a:graphic>
          </wp:inline>
        </w:drawing>
      </w:r>
      <w:r w:rsidR="00E44009">
        <w:rPr>
          <w:noProof/>
        </w:rPr>
        <w:drawing>
          <wp:inline distT="0" distB="0" distL="0" distR="0" wp14:anchorId="36A6F58E" wp14:editId="40FC5AA9">
            <wp:extent cx="2200275" cy="19812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0275" cy="1981200"/>
                    </a:xfrm>
                    <a:prstGeom prst="rect">
                      <a:avLst/>
                    </a:prstGeom>
                    <a:noFill/>
                    <a:ln>
                      <a:noFill/>
                    </a:ln>
                  </pic:spPr>
                </pic:pic>
              </a:graphicData>
            </a:graphic>
          </wp:inline>
        </w:drawing>
      </w:r>
    </w:p>
    <w:p w14:paraId="09C730CD" w14:textId="77777777" w:rsidR="00415E59" w:rsidRDefault="00415E59" w:rsidP="00415E59">
      <w:pPr>
        <w:pStyle w:val="Caption"/>
        <w:jc w:val="center"/>
      </w:pPr>
      <w:r>
        <w:t>Figure 2: Satellite</w:t>
      </w:r>
      <w:r w:rsidR="007E67C6">
        <w:t xml:space="preserve"> static</w:t>
      </w:r>
      <w:r>
        <w:t xml:space="preserve"> footprint and distance separation criteria</w:t>
      </w:r>
    </w:p>
    <w:p w14:paraId="39A7D9C7" w14:textId="77777777" w:rsidR="00415E59" w:rsidRPr="00415E59" w:rsidRDefault="00415E59" w:rsidP="00415E59"/>
    <w:p w14:paraId="775A6EB2" w14:textId="479BEA6E" w:rsidR="00415E59" w:rsidRDefault="00415E59" w:rsidP="00DC5264">
      <w:pPr>
        <w:pStyle w:val="3para"/>
        <w:tabs>
          <w:tab w:val="clear" w:pos="1440"/>
          <w:tab w:val="clear" w:pos="1866"/>
          <w:tab w:val="num" w:pos="851"/>
        </w:tabs>
        <w:ind w:left="851" w:hanging="851"/>
      </w:pPr>
      <w:r>
        <w:t>The downlink budget (</w:t>
      </w:r>
      <w:r w:rsidRPr="008512C6">
        <w:t>from the satellite to the aircraft) for a 0° elevation angle—corresponding to the 1 528 NM horizon distance on the ground—provided in Table 3.2 of the validation document</w:t>
      </w:r>
      <w:r w:rsidR="008512C6" w:rsidRPr="008512C6">
        <w:t xml:space="preserve"> [4]</w:t>
      </w:r>
      <w:r w:rsidRPr="008512C6">
        <w:t>, shows a received power of -93.4 dBm. Given that an</w:t>
      </w:r>
      <w:r>
        <w:t xml:space="preserve"> aircraft receiver’s squelch is activated for signals stronger than a threshold between -101 dBm and -107 dBm, any aircraft located within the combined range of its radio horizon and the satellite’s optical horizon will have its squelch activated whenever the satellite transmits.</w:t>
      </w:r>
    </w:p>
    <w:p w14:paraId="6355A6D6" w14:textId="77777777" w:rsidR="00415E59" w:rsidRDefault="00415E59" w:rsidP="00DC5264">
      <w:pPr>
        <w:pStyle w:val="3para"/>
        <w:tabs>
          <w:tab w:val="clear" w:pos="1440"/>
          <w:tab w:val="clear" w:pos="1866"/>
          <w:tab w:val="num" w:pos="851"/>
        </w:tabs>
        <w:ind w:left="851" w:hanging="851"/>
      </w:pPr>
      <w:bookmarkStart w:id="0" w:name="_Ref187499545"/>
      <w:r>
        <w:t>Because the satellite is in constant motion, its actual footprint depends on its trajectory and the specific times it is transmitting. Consequently, the effective footprint is significantly larger than the static approximation presented above.</w:t>
      </w:r>
      <w:bookmarkEnd w:id="0"/>
    </w:p>
    <w:p w14:paraId="67EE4977" w14:textId="30574449" w:rsidR="00915790" w:rsidRDefault="00E44009" w:rsidP="00DC5264">
      <w:pPr>
        <w:pStyle w:val="3para"/>
        <w:numPr>
          <w:ilvl w:val="0"/>
          <w:numId w:val="0"/>
        </w:numPr>
        <w:tabs>
          <w:tab w:val="left" w:pos="1276"/>
        </w:tabs>
      </w:pPr>
      <w:r>
        <w:rPr>
          <w:noProof/>
        </w:rPr>
        <mc:AlternateContent>
          <mc:Choice Requires="wpg">
            <w:drawing>
              <wp:anchor distT="0" distB="0" distL="114300" distR="114300" simplePos="0" relativeHeight="251656704" behindDoc="0" locked="0" layoutInCell="1" allowOverlap="1" wp14:anchorId="2DB3D067" wp14:editId="482D8B7A">
                <wp:simplePos x="0" y="0"/>
                <wp:positionH relativeFrom="column">
                  <wp:posOffset>255905</wp:posOffset>
                </wp:positionH>
                <wp:positionV relativeFrom="paragraph">
                  <wp:posOffset>490220</wp:posOffset>
                </wp:positionV>
                <wp:extent cx="5692140" cy="1133475"/>
                <wp:effectExtent l="0" t="0" r="0" b="0"/>
                <wp:wrapNone/>
                <wp:docPr id="1797990869"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1133475"/>
                          <a:chOff x="1266" y="9804"/>
                          <a:chExt cx="8964" cy="1785"/>
                        </a:xfrm>
                      </wpg:grpSpPr>
                      <wps:wsp>
                        <wps:cNvPr id="1029017186" name="AutoShape 67"/>
                        <wps:cNvCnPr>
                          <a:cxnSpLocks noChangeShapeType="1"/>
                        </wps:cNvCnPr>
                        <wps:spPr bwMode="auto">
                          <a:xfrm>
                            <a:off x="3642" y="11574"/>
                            <a:ext cx="3615"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90948290" name="Group 68"/>
                        <wpg:cNvGrpSpPr>
                          <a:grpSpLocks/>
                        </wpg:cNvGrpSpPr>
                        <wpg:grpSpPr bwMode="auto">
                          <a:xfrm>
                            <a:off x="1266" y="9819"/>
                            <a:ext cx="8964" cy="1770"/>
                            <a:chOff x="1266" y="9819"/>
                            <a:chExt cx="8964" cy="1770"/>
                          </a:xfrm>
                        </wpg:grpSpPr>
                        <wps:wsp>
                          <wps:cNvPr id="1140480346" name="Text Box 69"/>
                          <wps:cNvSpPr txBox="1">
                            <a:spLocks noChangeArrowheads="1"/>
                          </wps:cNvSpPr>
                          <wps:spPr bwMode="auto">
                            <a:xfrm>
                              <a:off x="2863" y="10745"/>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BBC28" w14:textId="77777777" w:rsidR="00915790" w:rsidRPr="00372808" w:rsidRDefault="00915790" w:rsidP="00915790">
                                <w:pPr>
                                  <w:rPr>
                                    <w:lang w:val="en-US"/>
                                  </w:rPr>
                                </w:pPr>
                                <w:r>
                                  <w:rPr>
                                    <w:lang w:val="en-US"/>
                                  </w:rPr>
                                  <w:t>Start Tx</w:t>
                                </w:r>
                              </w:p>
                            </w:txbxContent>
                          </wps:txbx>
                          <wps:bodyPr rot="0" vert="horz" wrap="square" lIns="91440" tIns="45720" rIns="91440" bIns="45720" anchor="t" anchorCtr="0" upright="1">
                            <a:noAutofit/>
                          </wps:bodyPr>
                        </wps:wsp>
                        <wpg:grpSp>
                          <wpg:cNvPr id="1740706102" name="Group 70"/>
                          <wpg:cNvGrpSpPr>
                            <a:grpSpLocks/>
                          </wpg:cNvGrpSpPr>
                          <wpg:grpSpPr bwMode="auto">
                            <a:xfrm>
                              <a:off x="1266" y="9819"/>
                              <a:ext cx="8964" cy="1770"/>
                              <a:chOff x="1266" y="9819"/>
                              <a:chExt cx="8964" cy="1770"/>
                            </a:xfrm>
                          </wpg:grpSpPr>
                          <wps:wsp>
                            <wps:cNvPr id="273007970" name="Text Box 71"/>
                            <wps:cNvSpPr txBox="1">
                              <a:spLocks noChangeArrowheads="1"/>
                            </wps:cNvSpPr>
                            <wps:spPr bwMode="auto">
                              <a:xfrm>
                                <a:off x="6928" y="10775"/>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CB992" w14:textId="77777777" w:rsidR="00915790" w:rsidRPr="00372808" w:rsidRDefault="00915790" w:rsidP="00915790">
                                  <w:pPr>
                                    <w:rPr>
                                      <w:lang w:val="en-US"/>
                                    </w:rPr>
                                  </w:pPr>
                                  <w:r>
                                    <w:rPr>
                                      <w:lang w:val="en-US"/>
                                    </w:rPr>
                                    <w:t>End Tx</w:t>
                                  </w:r>
                                </w:p>
                              </w:txbxContent>
                            </wps:txbx>
                            <wps:bodyPr rot="0" vert="horz" wrap="square" lIns="91440" tIns="45720" rIns="91440" bIns="45720" anchor="t" anchorCtr="0" upright="1">
                              <a:noAutofit/>
                            </wps:bodyPr>
                          </wps:wsp>
                          <wpg:grpSp>
                            <wpg:cNvPr id="533946033" name="Group 72"/>
                            <wpg:cNvGrpSpPr>
                              <a:grpSpLocks/>
                            </wpg:cNvGrpSpPr>
                            <wpg:grpSpPr bwMode="auto">
                              <a:xfrm>
                                <a:off x="1266" y="9819"/>
                                <a:ext cx="8964" cy="1770"/>
                                <a:chOff x="1266" y="9819"/>
                                <a:chExt cx="8964" cy="1770"/>
                              </a:xfrm>
                            </wpg:grpSpPr>
                            <wpg:grpSp>
                              <wpg:cNvPr id="1354353204" name="Group 73"/>
                              <wpg:cNvGrpSpPr>
                                <a:grpSpLocks/>
                              </wpg:cNvGrpSpPr>
                              <wpg:grpSpPr bwMode="auto">
                                <a:xfrm>
                                  <a:off x="1266" y="9819"/>
                                  <a:ext cx="8964" cy="1770"/>
                                  <a:chOff x="1266" y="9819"/>
                                  <a:chExt cx="8964" cy="1770"/>
                                </a:xfrm>
                              </wpg:grpSpPr>
                              <wps:wsp>
                                <wps:cNvPr id="1214297091" name="Oval 74"/>
                                <wps:cNvSpPr>
                                  <a:spLocks noChangeArrowheads="1"/>
                                </wps:cNvSpPr>
                                <wps:spPr bwMode="auto">
                                  <a:xfrm>
                                    <a:off x="5076" y="9819"/>
                                    <a:ext cx="1811" cy="17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28907335" name="AutoShape 75"/>
                                <wps:cNvCnPr>
                                  <a:cxnSpLocks noChangeShapeType="1"/>
                                </wps:cNvCnPr>
                                <wps:spPr bwMode="auto">
                                  <a:xfrm>
                                    <a:off x="1266" y="10728"/>
                                    <a:ext cx="871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1065516" name="Picture 7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257" y="10595"/>
                                    <a:ext cx="732" cy="252"/>
                                  </a:xfrm>
                                  <a:prstGeom prst="rect">
                                    <a:avLst/>
                                  </a:prstGeom>
                                  <a:noFill/>
                                  <a:extLst>
                                    <a:ext uri="{909E8E84-426E-40DD-AFC4-6F175D3DCCD1}">
                                      <a14:hiddenFill xmlns:a14="http://schemas.microsoft.com/office/drawing/2010/main">
                                        <a:solidFill>
                                          <a:srgbClr val="FFFFFF"/>
                                        </a:solidFill>
                                      </a14:hiddenFill>
                                    </a:ext>
                                  </a:extLst>
                                </pic:spPr>
                              </pic:pic>
                              <wps:wsp>
                                <wps:cNvPr id="1601343480" name="Oval 77"/>
                                <wps:cNvSpPr>
                                  <a:spLocks noChangeArrowheads="1"/>
                                </wps:cNvSpPr>
                                <wps:spPr bwMode="auto">
                                  <a:xfrm>
                                    <a:off x="4026" y="9819"/>
                                    <a:ext cx="1811" cy="17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576963" name="Oval 78"/>
                                <wps:cNvSpPr>
                                  <a:spLocks noChangeArrowheads="1"/>
                                </wps:cNvSpPr>
                                <wps:spPr bwMode="auto">
                                  <a:xfrm>
                                    <a:off x="2766" y="9834"/>
                                    <a:ext cx="1811" cy="17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412484" name="Oval 79"/>
                                <wps:cNvSpPr>
                                  <a:spLocks noChangeArrowheads="1"/>
                                </wps:cNvSpPr>
                                <wps:spPr bwMode="auto">
                                  <a:xfrm>
                                    <a:off x="6276" y="9834"/>
                                    <a:ext cx="1811" cy="17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0173673" name="Picture 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502" y="10625"/>
                                    <a:ext cx="732"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2823982"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717" y="10625"/>
                                    <a:ext cx="732"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2578173" name="Picture 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47" y="10595"/>
                                    <a:ext cx="732" cy="252"/>
                                  </a:xfrm>
                                  <a:prstGeom prst="rect">
                                    <a:avLst/>
                                  </a:prstGeom>
                                  <a:noFill/>
                                  <a:extLst>
                                    <a:ext uri="{909E8E84-426E-40DD-AFC4-6F175D3DCCD1}">
                                      <a14:hiddenFill xmlns:a14="http://schemas.microsoft.com/office/drawing/2010/main">
                                        <a:solidFill>
                                          <a:srgbClr val="FFFFFF"/>
                                        </a:solidFill>
                                      </a14:hiddenFill>
                                    </a:ext>
                                  </a:extLst>
                                </pic:spPr>
                              </pic:pic>
                              <wps:wsp>
                                <wps:cNvPr id="2121887133" name="Text Box 83"/>
                                <wps:cNvSpPr txBox="1">
                                  <a:spLocks noChangeArrowheads="1"/>
                                </wps:cNvSpPr>
                                <wps:spPr bwMode="auto">
                                  <a:xfrm>
                                    <a:off x="8790" y="10100"/>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58934" w14:textId="77777777" w:rsidR="00915790" w:rsidRPr="00372808" w:rsidRDefault="00915790" w:rsidP="00915790">
                                      <w:pPr>
                                        <w:rPr>
                                          <w:lang w:val="en-US"/>
                                        </w:rPr>
                                      </w:pPr>
                                      <w:r>
                                        <w:rPr>
                                          <w:lang w:val="en-US"/>
                                        </w:rPr>
                                        <w:t>Satellite trajectory</w:t>
                                      </w:r>
                                    </w:p>
                                  </w:txbxContent>
                                </wps:txbx>
                                <wps:bodyPr rot="0" vert="horz" wrap="square" lIns="91440" tIns="45720" rIns="91440" bIns="45720" anchor="t" anchorCtr="0" upright="1">
                                  <a:noAutofit/>
                                </wps:bodyPr>
                              </wps:wsp>
                            </wpg:grpSp>
                            <wps:wsp>
                              <wps:cNvPr id="1280927390" name="Text Box 84"/>
                              <wps:cNvSpPr txBox="1">
                                <a:spLocks noChangeArrowheads="1"/>
                              </wps:cNvSpPr>
                              <wps:spPr bwMode="auto">
                                <a:xfrm>
                                  <a:off x="5700" y="11175"/>
                                  <a:ext cx="1740" cy="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FDF77" w14:textId="77777777" w:rsidR="00915790" w:rsidRPr="00372808" w:rsidRDefault="00915790" w:rsidP="00915790">
                                    <w:pPr>
                                      <w:rPr>
                                        <w:lang w:val="en-US"/>
                                      </w:rPr>
                                    </w:pPr>
                                    <w:r>
                                      <w:rPr>
                                        <w:lang w:val="en-US"/>
                                      </w:rPr>
                                      <w:t>Real footprint</w:t>
                                    </w:r>
                                  </w:p>
                                </w:txbxContent>
                              </wps:txbx>
                              <wps:bodyPr rot="0" vert="horz" wrap="square" lIns="91440" tIns="45720" rIns="91440" bIns="45720" anchor="t" anchorCtr="0" upright="1">
                                <a:noAutofit/>
                              </wps:bodyPr>
                            </wps:wsp>
                          </wpg:grpSp>
                        </wpg:grpSp>
                      </wpg:grpSp>
                      <wps:wsp>
                        <wps:cNvPr id="1468980402" name="AutoShape 85"/>
                        <wps:cNvCnPr>
                          <a:cxnSpLocks noChangeShapeType="1"/>
                        </wps:cNvCnPr>
                        <wps:spPr bwMode="auto">
                          <a:xfrm>
                            <a:off x="3678" y="9804"/>
                            <a:ext cx="3615"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B3D067" id="Group 66" o:spid="_x0000_s1026" style="position:absolute;left:0;text-align:left;margin-left:20.15pt;margin-top:38.6pt;width:448.2pt;height:89.25pt;z-index:251656704" coordorigin="1266,9804" coordsize="8964,1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">
                <v:shapetype id="_x0000_t32" coordsize="21600,21600" o:spt="32" o:oned="t" path="m,l21600,21600e" filled="f">
                  <v:path arrowok="t" fillok="f" o:connecttype="none"/>
                  <o:lock v:ext="edit" shapetype="t"/>
                </v:shapetype>
                <v:shape id="AutoShape 67" o:spid="_x0000_s1027" type="#_x0000_t32" style="position:absolute;left:3642;top:11574;width:3615;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"/>
                <v:group id="Group 68" o:spid="_x0000_s1028" style="position:absolute;left:1266;top:9819;width:8964;height:1770" coordorigin="1266,9819" coordsize="8964,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">
                  <v:shapetype id="_x0000_t202" coordsize="21600,21600" o:spt="202" path="m,l,21600r21600,l21600,xe">
                    <v:stroke joinstyle="miter"/>
                    <v:path gradientshapeok="t" o:connecttype="rect"/>
                  </v:shapetype>
                  <v:shape id="Text Box 69" o:spid="_x0000_s1029" type="#_x0000_t202" style="position:absolute;left:2863;top:107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" filled="f" stroked="f">
                    <v:textbox>
                      <w:txbxContent>
                        <w:p w14:paraId="654BBC28" w14:textId="77777777" w:rsidR="00915790" w:rsidRPr="00372808" w:rsidRDefault="00915790" w:rsidP="00915790">
                          <w:pPr>
                            <w:rPr>
                              <w:lang w:val="en-US"/>
                            </w:rPr>
                          </w:pPr>
                          <w:r>
                            <w:rPr>
                              <w:lang w:val="en-US"/>
                            </w:rPr>
                            <w:t>Start Tx</w:t>
                          </w:r>
                        </w:p>
                      </w:txbxContent>
                    </v:textbox>
                  </v:shape>
                  <v:group id="Group 70" o:spid="_x0000_s1030" style="position:absolute;left:1266;top:9819;width:8964;height:1770" coordorigin="1266,9819" coordsize="8964,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">
                    <v:shape id="Text Box 71" o:spid="_x0000_s1031" type="#_x0000_t202" style="position:absolute;left:6928;top:1077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" filled="f" stroked="f">
                      <v:textbox>
                        <w:txbxContent>
                          <w:p w14:paraId="76CCB992" w14:textId="77777777" w:rsidR="00915790" w:rsidRPr="00372808" w:rsidRDefault="00915790" w:rsidP="00915790">
                            <w:pPr>
                              <w:rPr>
                                <w:lang w:val="en-US"/>
                              </w:rPr>
                            </w:pPr>
                            <w:r>
                              <w:rPr>
                                <w:lang w:val="en-US"/>
                              </w:rPr>
                              <w:t>End Tx</w:t>
                            </w:r>
                          </w:p>
                        </w:txbxContent>
                      </v:textbox>
                    </v:shape>
                    <v:group id="Group 72" o:spid="_x0000_s1032" style="position:absolute;left:1266;top:9819;width:8964;height:1770" coordorigin="1266,9819" coordsize="8964,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">
                      <v:group id="Group 73" o:spid="_x0000_s1033" style="position:absolute;left:1266;top:9819;width:8964;height:1770" coordorigin="1266,9819" coordsize="8964,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">
                        <v:oval id="Oval 74" o:spid="_x0000_s1034" style="position:absolute;left:5076;top:9819;width:1811;height:1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"/>
                        <v:shape id="AutoShape 75" o:spid="_x0000_s1035" type="#_x0000_t32" style="position:absolute;left:1266;top:10728;width:8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">
                          <v:stroke dashstyle="dash" endarrow="block"/>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36" type="#_x0000_t75" style="position:absolute;left:3257;top:10595;width:73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">
                          <v:imagedata r:id="rId15" o:title=""/>
                        </v:shape>
                        <v:oval id="Oval 77" o:spid="_x0000_s1037" style="position:absolute;left:4026;top:9819;width:1811;height:1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" filled="f"/>
                        <v:oval id="Oval 78" o:spid="_x0000_s1038" style="position:absolute;left:2766;top:9834;width:1811;height:1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" filled="f"/>
                        <v:oval id="Oval 79" o:spid="_x0000_s1039" style="position:absolute;left:6276;top:9834;width:1811;height:1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" filled="f"/>
                        <v:shape id="Picture 80" o:spid="_x0000_s1040" type="#_x0000_t75" style="position:absolute;left:4502;top:10625;width:73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">
                          <v:imagedata r:id="rId15" o:title=""/>
                        </v:shape>
                        <v:shape id="Picture 81" o:spid="_x0000_s1041" type="#_x0000_t75" style="position:absolute;left:5717;top:10625;width:73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">
                          <v:imagedata r:id="rId15" o:title=""/>
                        </v:shape>
                        <v:shape id="Picture 82" o:spid="_x0000_s1042" type="#_x0000_t75" style="position:absolute;left:6947;top:10595;width:73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">
                          <v:imagedata r:id="rId15" o:title=""/>
                        </v:shape>
                        <v:shape id="Text Box 83" o:spid="_x0000_s1043" type="#_x0000_t202" style="position:absolute;left:8790;top:101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" filled="f" stroked="f">
                          <v:textbox>
                            <w:txbxContent>
                              <w:p w14:paraId="17F58934" w14:textId="77777777" w:rsidR="00915790" w:rsidRPr="00372808" w:rsidRDefault="00915790" w:rsidP="00915790">
                                <w:pPr>
                                  <w:rPr>
                                    <w:lang w:val="en-US"/>
                                  </w:rPr>
                                </w:pPr>
                                <w:r>
                                  <w:rPr>
                                    <w:lang w:val="en-US"/>
                                  </w:rPr>
                                  <w:t>Satellite trajectory</w:t>
                                </w:r>
                              </w:p>
                            </w:txbxContent>
                          </v:textbox>
                        </v:shape>
                      </v:group>
                      <v:shape id="Text Box 84" o:spid="_x0000_s1044" type="#_x0000_t202" style="position:absolute;left:5700;top:11175;width:174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" stroked="f">
                        <v:textbox>
                          <w:txbxContent>
                            <w:p w14:paraId="491FDF77" w14:textId="77777777" w:rsidR="00915790" w:rsidRPr="00372808" w:rsidRDefault="00915790" w:rsidP="00915790">
                              <w:pPr>
                                <w:rPr>
                                  <w:lang w:val="en-US"/>
                                </w:rPr>
                              </w:pPr>
                              <w:r>
                                <w:rPr>
                                  <w:lang w:val="en-US"/>
                                </w:rPr>
                                <w:t>Real footprint</w:t>
                              </w:r>
                            </w:p>
                          </w:txbxContent>
                        </v:textbox>
                      </v:shape>
                    </v:group>
                  </v:group>
                </v:group>
                <v:shape id="AutoShape 85" o:spid="_x0000_s1045" type="#_x0000_t32" style="position:absolute;left:3678;top:9804;width:3615;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"/>
              </v:group>
            </w:pict>
          </mc:Fallback>
        </mc:AlternateContent>
      </w:r>
      <w:r w:rsidRPr="00375C91">
        <w:rPr>
          <w:noProof/>
        </w:rPr>
        <mc:AlternateContent>
          <mc:Choice Requires="wps">
            <w:drawing>
              <wp:inline distT="0" distB="0" distL="0" distR="0" wp14:anchorId="664EDB6E" wp14:editId="41C7046A">
                <wp:extent cx="6477000" cy="1524000"/>
                <wp:effectExtent l="1270" t="0" r="0" b="3175"/>
                <wp:docPr id="210783797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12A39" id="Rectangle 86" o:spid="_x0000_s1026" style="width:51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" stroked="f">
                <w10:anchorlock/>
              </v:rect>
            </w:pict>
          </mc:Fallback>
        </mc:AlternateContent>
      </w:r>
    </w:p>
    <w:p w14:paraId="3B853F62" w14:textId="77777777" w:rsidR="00915790" w:rsidRDefault="00915790" w:rsidP="00915790">
      <w:pPr>
        <w:pStyle w:val="Caption"/>
        <w:jc w:val="center"/>
      </w:pPr>
      <w:r>
        <w:t xml:space="preserve">Figure 3: Satellite real footprint </w:t>
      </w:r>
    </w:p>
    <w:p w14:paraId="01DD74B0" w14:textId="77777777" w:rsidR="00E00A84" w:rsidRDefault="00E00A84" w:rsidP="00915790">
      <w:pPr>
        <w:pStyle w:val="3para"/>
        <w:numPr>
          <w:ilvl w:val="0"/>
          <w:numId w:val="0"/>
        </w:numPr>
      </w:pPr>
    </w:p>
    <w:p w14:paraId="27D22E80" w14:textId="77777777" w:rsidR="00AA317A" w:rsidRDefault="00AA317A" w:rsidP="00DC5264">
      <w:pPr>
        <w:pStyle w:val="2para"/>
        <w:tabs>
          <w:tab w:val="clear" w:pos="720"/>
          <w:tab w:val="num" w:pos="851"/>
        </w:tabs>
        <w:ind w:left="851" w:hanging="851"/>
        <w:rPr>
          <w:b/>
          <w:bCs/>
        </w:rPr>
      </w:pPr>
      <w:r w:rsidRPr="004F7EC7">
        <w:rPr>
          <w:b/>
          <w:bCs/>
        </w:rPr>
        <w:t>S</w:t>
      </w:r>
      <w:r>
        <w:rPr>
          <w:b/>
          <w:bCs/>
        </w:rPr>
        <w:t>pectrum efficiency and continental operations</w:t>
      </w:r>
    </w:p>
    <w:p w14:paraId="454E9E92" w14:textId="77777777" w:rsidR="00F718BF" w:rsidRDefault="00F718BF" w:rsidP="00DC5264">
      <w:pPr>
        <w:pStyle w:val="3para"/>
        <w:tabs>
          <w:tab w:val="clear" w:pos="1440"/>
          <w:tab w:val="clear" w:pos="1866"/>
          <w:tab w:val="num" w:pos="851"/>
        </w:tabs>
        <w:ind w:left="851" w:hanging="851"/>
      </w:pPr>
      <w:r>
        <w:t>The spectrum efficiency, or planning efficiency, of a VHF COM frequency assignment can be defined as the ratio of its Designated Operational Coverage (DOC) to its footprint.</w:t>
      </w:r>
    </w:p>
    <w:p w14:paraId="74262F1D" w14:textId="77777777" w:rsidR="00F718BF" w:rsidRDefault="00F718BF" w:rsidP="00DC5264">
      <w:pPr>
        <w:pStyle w:val="3para"/>
        <w:tabs>
          <w:tab w:val="clear" w:pos="1440"/>
          <w:tab w:val="clear" w:pos="1866"/>
          <w:tab w:val="num" w:pos="851"/>
        </w:tabs>
        <w:ind w:left="851" w:hanging="851"/>
      </w:pPr>
      <w:r>
        <w:lastRenderedPageBreak/>
        <w:t xml:space="preserve">In the figure below, the satellite is depicted as being positioned directly above and at the </w:t>
      </w:r>
      <w:r w:rsidR="00DB7089">
        <w:t>centre</w:t>
      </w:r>
      <w:r>
        <w:t xml:space="preserve"> of the DOC. In practice, the satellite will transmit at lower elevation angles. However, this representation is intended to facilitate a straightforward comparison of the two different footprints.</w:t>
      </w:r>
    </w:p>
    <w:p w14:paraId="77EA50D6" w14:textId="66AFF0EC" w:rsidR="00AA317A" w:rsidRDefault="00E44009" w:rsidP="00AA317A">
      <w:r>
        <w:rPr>
          <w:noProof/>
        </w:rPr>
        <w:drawing>
          <wp:inline distT="0" distB="0" distL="0" distR="0" wp14:anchorId="7AE5695B" wp14:editId="668B42EE">
            <wp:extent cx="3000375" cy="276225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0375" cy="2762250"/>
                    </a:xfrm>
                    <a:prstGeom prst="rect">
                      <a:avLst/>
                    </a:prstGeom>
                    <a:noFill/>
                    <a:ln>
                      <a:noFill/>
                    </a:ln>
                  </pic:spPr>
                </pic:pic>
              </a:graphicData>
            </a:graphic>
          </wp:inline>
        </w:drawing>
      </w:r>
      <w:r>
        <w:rPr>
          <w:noProof/>
        </w:rPr>
        <w:drawing>
          <wp:inline distT="0" distB="0" distL="0" distR="0" wp14:anchorId="4E07D35A" wp14:editId="169ED62D">
            <wp:extent cx="2905125" cy="261937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5125" cy="2619375"/>
                    </a:xfrm>
                    <a:prstGeom prst="rect">
                      <a:avLst/>
                    </a:prstGeom>
                    <a:noFill/>
                    <a:ln>
                      <a:noFill/>
                    </a:ln>
                  </pic:spPr>
                </pic:pic>
              </a:graphicData>
            </a:graphic>
          </wp:inline>
        </w:drawing>
      </w:r>
    </w:p>
    <w:p w14:paraId="732C11C2" w14:textId="77777777" w:rsidR="00AA317A" w:rsidRDefault="00AA317A" w:rsidP="00AA317A">
      <w:pPr>
        <w:pStyle w:val="Caption"/>
        <w:jc w:val="center"/>
      </w:pPr>
      <w:r>
        <w:t xml:space="preserve">Figure </w:t>
      </w:r>
      <w:r w:rsidR="00836DFE">
        <w:t>4</w:t>
      </w:r>
      <w:r>
        <w:t xml:space="preserve">: Satellite vs terrestrial footprint </w:t>
      </w:r>
    </w:p>
    <w:p w14:paraId="65E6494E" w14:textId="77777777" w:rsidR="00B663C2" w:rsidRPr="00B663C2" w:rsidRDefault="00B663C2" w:rsidP="00B663C2"/>
    <w:p w14:paraId="7CB22E98" w14:textId="77777777" w:rsidR="00F718BF" w:rsidRDefault="00F718BF" w:rsidP="00DC5264">
      <w:pPr>
        <w:pStyle w:val="3para"/>
        <w:tabs>
          <w:tab w:val="clear" w:pos="1440"/>
          <w:tab w:val="clear" w:pos="1866"/>
          <w:tab w:val="num" w:pos="851"/>
        </w:tabs>
        <w:ind w:left="851" w:hanging="851"/>
      </w:pPr>
      <w:r>
        <w:t>The footprint of a terrestrial frequency assignment is determined by the coverage area of aircraft located at the top edge of the Designated Operational Coverage (DOC).</w:t>
      </w:r>
    </w:p>
    <w:p w14:paraId="5AB26571" w14:textId="77777777" w:rsidR="00884DFC" w:rsidRDefault="00884DFC" w:rsidP="00DC5264">
      <w:pPr>
        <w:pStyle w:val="3para"/>
        <w:tabs>
          <w:tab w:val="clear" w:pos="1440"/>
          <w:tab w:val="clear" w:pos="1866"/>
          <w:tab w:val="num" w:pos="851"/>
        </w:tabs>
        <w:ind w:left="851" w:hanging="851"/>
      </w:pPr>
      <w:r w:rsidRPr="00884DFC">
        <w:t>Additionally, if 8.33 kHz frequency spacing is considered the baseline, a single 25 kHz assignment will effectively have its footprint tripled. This is because a 25 kHz channel occupies the equivalent spectrum of three 8.33 kHz channels</w:t>
      </w:r>
    </w:p>
    <w:p w14:paraId="08EA935E" w14:textId="44788257" w:rsidR="008F3E2B" w:rsidRDefault="00F718BF" w:rsidP="00DC5264">
      <w:pPr>
        <w:pStyle w:val="3para"/>
        <w:tabs>
          <w:tab w:val="clear" w:pos="1440"/>
          <w:tab w:val="clear" w:pos="1866"/>
          <w:tab w:val="num" w:pos="851"/>
        </w:tabs>
        <w:ind w:left="851" w:hanging="851"/>
      </w:pPr>
      <w:r>
        <w:t xml:space="preserve">For instance, a Tower frequency assignment is typically represented as a cylinder with a radius of 25 NM and a height of 4000 feet. The area of the DOC projected onto the ground is calculated as </w:t>
      </w:r>
      <m:oMath>
        <m:sSup>
          <m:sSupPr>
            <m:ctrlPr>
              <w:rPr>
                <w:rFonts w:ascii="Cambria Math" w:hAnsi="Cambria Math"/>
                <w:i/>
              </w:rPr>
            </m:ctrlPr>
          </m:sSupPr>
          <m:e>
            <m:r>
              <w:rPr>
                <w:rFonts w:ascii="Cambria Math" w:hAnsi="Cambria Math"/>
              </w:rPr>
              <m:t>25</m:t>
            </m:r>
          </m:e>
          <m:sup>
            <m:r>
              <w:rPr>
                <w:rFonts w:ascii="Cambria Math" w:hAnsi="Cambria Math"/>
              </w:rPr>
              <m:t>2</m:t>
            </m:r>
          </m:sup>
        </m:sSup>
        <m:r>
          <w:rPr>
            <w:rFonts w:ascii="Cambria Math" w:hAnsi="Cambria Math"/>
          </w:rPr>
          <m:t xml:space="preserve">.π=1963 </m:t>
        </m:r>
        <m:sSup>
          <m:sSupPr>
            <m:ctrlPr>
              <w:rPr>
                <w:rFonts w:ascii="Cambria Math" w:hAnsi="Cambria Math"/>
                <w:i/>
              </w:rPr>
            </m:ctrlPr>
          </m:sSupPr>
          <m:e>
            <m:r>
              <w:rPr>
                <w:rFonts w:ascii="Cambria Math" w:hAnsi="Cambria Math"/>
              </w:rPr>
              <m:t>NM</m:t>
            </m:r>
          </m:e>
          <m:sup>
            <m:r>
              <w:rPr>
                <w:rFonts w:ascii="Cambria Math" w:hAnsi="Cambria Math"/>
              </w:rPr>
              <m:t>2</m:t>
            </m:r>
          </m:sup>
        </m:sSup>
        <m:r>
          <w:rPr>
            <w:rFonts w:ascii="Cambria Math" w:hAnsi="Cambria Math"/>
          </w:rPr>
          <m:t>.</m:t>
        </m:r>
      </m:oMath>
      <w:r w:rsidR="006D3702">
        <w:t xml:space="preserve"> </w:t>
      </w:r>
      <w:r>
        <w:t xml:space="preserve">The footprint, however, is determined by the radio horizon of an aircraft at the top edge of the DOC. Using the formula for the radio horizon, it comes </w:t>
      </w:r>
      <m:oMath>
        <m:r>
          <m:rPr>
            <m:sty m:val="p"/>
          </m:rPr>
          <w:rPr>
            <w:rFonts w:ascii="Cambria Math" w:hAnsi="Cambria Math"/>
          </w:rPr>
          <m:t>π.(25+1.23</m:t>
        </m:r>
        <m:rad>
          <m:radPr>
            <m:degHide m:val="1"/>
            <m:ctrlPr>
              <w:rPr>
                <w:rFonts w:ascii="Cambria Math" w:hAnsi="Cambria Math"/>
              </w:rPr>
            </m:ctrlPr>
          </m:radPr>
          <m:deg/>
          <m:e>
            <m:r>
              <m:rPr>
                <m:sty m:val="p"/>
              </m:rPr>
              <w:rPr>
                <w:rFonts w:ascii="Cambria Math" w:hAnsi="Cambria Math"/>
              </w:rPr>
              <m:t>4000</m:t>
            </m:r>
          </m:e>
        </m:rad>
        <m:r>
          <m:rPr>
            <m:sty m:val="p"/>
          </m:rP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2</m:t>
            </m:r>
          </m:sup>
        </m:sSup>
        <m:r>
          <m:rPr>
            <m:sty m:val="p"/>
          </m:rPr>
          <w:rPr>
            <w:rFonts w:ascii="Cambria Math" w:hAnsi="Cambria Math"/>
          </w:rPr>
          <m:t xml:space="preserve">= 33195 </m:t>
        </m:r>
        <m:sSup>
          <m:sSupPr>
            <m:ctrlPr>
              <w:rPr>
                <w:rFonts w:ascii="Cambria Math" w:hAnsi="Cambria Math"/>
                <w:i/>
              </w:rPr>
            </m:ctrlPr>
          </m:sSupPr>
          <m:e>
            <m:r>
              <w:rPr>
                <w:rFonts w:ascii="Cambria Math" w:hAnsi="Cambria Math"/>
              </w:rPr>
              <m:t>NM</m:t>
            </m:r>
          </m:e>
          <m:sup>
            <m:r>
              <w:rPr>
                <w:rFonts w:ascii="Cambria Math" w:hAnsi="Cambria Math"/>
              </w:rPr>
              <m:t>2</m:t>
            </m:r>
          </m:sup>
        </m:sSup>
      </m:oMath>
      <w:r>
        <w:t>.</w:t>
      </w:r>
      <w:r w:rsidR="008F3E2B">
        <w:t xml:space="preserve"> The spectrum efficiency for this Tower assignment is given by the ratio of coverage to footprint: </w:t>
      </w:r>
      <w:r w:rsidR="008F3E2B">
        <w:tab/>
      </w:r>
      <m:oMath>
        <m:r>
          <m:rPr>
            <m:sty m:val="p"/>
          </m:rPr>
          <w:rPr>
            <w:rFonts w:ascii="Cambria Math" w:hAnsi="Cambria Math"/>
          </w:rPr>
          <m:t>1963/33195 ≈ 6%</m:t>
        </m:r>
      </m:oMath>
      <w:r w:rsidR="006D3702">
        <w:t xml:space="preserve"> </w:t>
      </w:r>
      <w:r w:rsidR="00107E13">
        <w:t>in 8.33 and 2%</w:t>
      </w:r>
      <w:r w:rsidR="00F02595">
        <w:t xml:space="preserve"> in 25kHz</w:t>
      </w:r>
      <w:r w:rsidR="008F3E2B">
        <w:t>.</w:t>
      </w:r>
    </w:p>
    <w:p w14:paraId="2A244588" w14:textId="7A5FB390" w:rsidR="008F3E2B" w:rsidRDefault="008F3E2B" w:rsidP="00DC5264">
      <w:pPr>
        <w:pStyle w:val="3para"/>
        <w:tabs>
          <w:tab w:val="clear" w:pos="1440"/>
          <w:tab w:val="clear" w:pos="1866"/>
          <w:tab w:val="num" w:pos="851"/>
        </w:tabs>
        <w:ind w:left="851" w:hanging="851"/>
      </w:pPr>
      <w:r>
        <w:t xml:space="preserve">By comparison, the minimum footprint of a satellite, as described in the previous section, is </w:t>
      </w:r>
      <m:oMath>
        <m:r>
          <m:rPr>
            <m:sty m:val="p"/>
          </m:rPr>
          <w:rPr>
            <w:rFonts w:ascii="Cambria Math" w:hAnsi="Cambria Math"/>
          </w:rPr>
          <m:t>π×1528</m:t>
        </m:r>
        <m:r>
          <m:rPr>
            <m:sty m:val="p"/>
          </m:rPr>
          <w:rPr>
            <w:rFonts w:ascii="Cambria Math" w:hAnsi="Cambria Math"/>
            <w:vertAlign w:val="superscript"/>
          </w:rPr>
          <m:t>2</m:t>
        </m:r>
        <m:r>
          <m:rPr>
            <m:sty m:val="p"/>
          </m:rPr>
          <w:rPr>
            <w:rFonts w:ascii="Cambria Math" w:hAnsi="Cambria Math"/>
          </w:rPr>
          <m:t xml:space="preserve"> = 7334940 </m:t>
        </m:r>
        <m:sSup>
          <m:sSupPr>
            <m:ctrlPr>
              <w:rPr>
                <w:rFonts w:ascii="Cambria Math" w:hAnsi="Cambria Math"/>
              </w:rPr>
            </m:ctrlPr>
          </m:sSupPr>
          <m:e>
            <m:r>
              <m:rPr>
                <m:sty m:val="p"/>
              </m:rPr>
              <w:rPr>
                <w:rFonts w:ascii="Cambria Math" w:hAnsi="Cambria Math"/>
              </w:rPr>
              <m:t>NM</m:t>
            </m:r>
          </m:e>
          <m:sup>
            <m:r>
              <w:rPr>
                <w:rFonts w:ascii="Cambria Math" w:hAnsi="Cambria Math"/>
              </w:rPr>
              <m:t>2</m:t>
            </m:r>
          </m:sup>
        </m:sSup>
      </m:oMath>
      <w:r>
        <w:t>. For such a satellite assignment, the spectrum efficiency would be at most:</w:t>
      </w:r>
      <w:r>
        <w:tab/>
      </w:r>
      <m:oMath>
        <m:r>
          <w:rPr>
            <w:rFonts w:ascii="Cambria Math" w:hAnsi="Cambria Math"/>
          </w:rPr>
          <m:t>1963/(3×7334940) ≈ 0.009%</m:t>
        </m:r>
      </m:oMath>
      <w:r>
        <w:t>.</w:t>
      </w:r>
    </w:p>
    <w:p w14:paraId="4C8C37B7" w14:textId="18C96FB2" w:rsidR="00F718BF" w:rsidRDefault="00F718BF" w:rsidP="00DC5264">
      <w:pPr>
        <w:pStyle w:val="3para"/>
        <w:tabs>
          <w:tab w:val="clear" w:pos="1440"/>
          <w:tab w:val="clear" w:pos="1866"/>
          <w:tab w:val="num" w:pos="851"/>
        </w:tabs>
        <w:ind w:left="851" w:hanging="851"/>
      </w:pPr>
      <w:r>
        <w:t xml:space="preserve">A similar analysis can be conducted for larger DOCs, such as those associated with ACC frequency assignments. Considering the current maximum height of 45000 feet, and </w:t>
      </w:r>
      <w:r w:rsidR="00372F84">
        <w:t>modelling</w:t>
      </w:r>
      <w:r>
        <w:t xml:space="preserve"> the ACC service as a cylinder with varying radii, the table below summarizes the spectrum efficiency for </w:t>
      </w:r>
      <w:r w:rsidR="00107E13">
        <w:t xml:space="preserve">8.33 kHz and 25kHz </w:t>
      </w:r>
      <w:r>
        <w:t xml:space="preserve">terrestrial versus </w:t>
      </w:r>
      <w:r w:rsidR="00107E13">
        <w:t xml:space="preserve">25 kHz </w:t>
      </w:r>
      <w:r>
        <w:t>satellite systems:</w:t>
      </w:r>
    </w:p>
    <w:tbl>
      <w:tblPr>
        <w:tblW w:w="822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984"/>
        <w:gridCol w:w="1985"/>
        <w:gridCol w:w="2693"/>
      </w:tblGrid>
      <w:tr w:rsidR="00F02595" w:rsidRPr="000C7C9C" w14:paraId="179B32F8" w14:textId="77777777" w:rsidTr="0083596C">
        <w:trPr>
          <w:trHeight w:val="288"/>
        </w:trPr>
        <w:tc>
          <w:tcPr>
            <w:tcW w:w="1560" w:type="dxa"/>
            <w:shd w:val="clear" w:color="auto" w:fill="D9D9D9"/>
            <w:noWrap/>
            <w:vAlign w:val="bottom"/>
            <w:hideMark/>
          </w:tcPr>
          <w:p w14:paraId="3A4241FF" w14:textId="77777777" w:rsidR="00F02595" w:rsidRPr="000C7C9C" w:rsidRDefault="00F02595" w:rsidP="00F02595">
            <w:pPr>
              <w:jc w:val="center"/>
              <w:rPr>
                <w:sz w:val="20"/>
                <w:szCs w:val="24"/>
              </w:rPr>
            </w:pPr>
            <w:r>
              <w:rPr>
                <w:sz w:val="20"/>
                <w:szCs w:val="24"/>
              </w:rPr>
              <w:lastRenderedPageBreak/>
              <w:t>Radius (NM)</w:t>
            </w:r>
          </w:p>
        </w:tc>
        <w:tc>
          <w:tcPr>
            <w:tcW w:w="1984" w:type="dxa"/>
            <w:shd w:val="clear" w:color="auto" w:fill="D9D9D9"/>
            <w:noWrap/>
            <w:vAlign w:val="bottom"/>
            <w:hideMark/>
          </w:tcPr>
          <w:p w14:paraId="1AEA974D" w14:textId="77777777" w:rsidR="00F02595" w:rsidRPr="000C7C9C" w:rsidRDefault="00F02595" w:rsidP="00F02595">
            <w:pPr>
              <w:jc w:val="center"/>
              <w:rPr>
                <w:sz w:val="20"/>
              </w:rPr>
            </w:pPr>
            <w:r>
              <w:rPr>
                <w:sz w:val="20"/>
              </w:rPr>
              <w:t>Terrestrial efficiency @8.33kHz</w:t>
            </w:r>
          </w:p>
        </w:tc>
        <w:tc>
          <w:tcPr>
            <w:tcW w:w="1985" w:type="dxa"/>
            <w:shd w:val="clear" w:color="auto" w:fill="D9D9D9"/>
          </w:tcPr>
          <w:p w14:paraId="34BB1946" w14:textId="77777777" w:rsidR="00F02595" w:rsidRDefault="00F02595" w:rsidP="00F02595">
            <w:pPr>
              <w:jc w:val="center"/>
              <w:rPr>
                <w:sz w:val="20"/>
              </w:rPr>
            </w:pPr>
            <w:r>
              <w:rPr>
                <w:sz w:val="20"/>
              </w:rPr>
              <w:t>Terrestrial efficiency @25kHz</w:t>
            </w:r>
          </w:p>
        </w:tc>
        <w:tc>
          <w:tcPr>
            <w:tcW w:w="2693" w:type="dxa"/>
            <w:shd w:val="clear" w:color="auto" w:fill="D9D9D9"/>
            <w:noWrap/>
            <w:vAlign w:val="bottom"/>
            <w:hideMark/>
          </w:tcPr>
          <w:p w14:paraId="08C56408" w14:textId="77777777" w:rsidR="00F02595" w:rsidRPr="000C7C9C" w:rsidRDefault="00F02595" w:rsidP="00F02595">
            <w:pPr>
              <w:jc w:val="center"/>
              <w:rPr>
                <w:sz w:val="20"/>
              </w:rPr>
            </w:pPr>
            <w:r>
              <w:rPr>
                <w:sz w:val="20"/>
              </w:rPr>
              <w:t>Maximum SB efficiency @25kHz</w:t>
            </w:r>
          </w:p>
        </w:tc>
      </w:tr>
      <w:tr w:rsidR="00F02595" w:rsidRPr="000C7C9C" w14:paraId="480119FF" w14:textId="77777777" w:rsidTr="00F02595">
        <w:trPr>
          <w:trHeight w:val="288"/>
        </w:trPr>
        <w:tc>
          <w:tcPr>
            <w:tcW w:w="1560" w:type="dxa"/>
            <w:shd w:val="clear" w:color="auto" w:fill="auto"/>
            <w:noWrap/>
            <w:vAlign w:val="bottom"/>
            <w:hideMark/>
          </w:tcPr>
          <w:p w14:paraId="37FF0014"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50</w:t>
            </w:r>
          </w:p>
        </w:tc>
        <w:tc>
          <w:tcPr>
            <w:tcW w:w="1984" w:type="dxa"/>
            <w:shd w:val="clear" w:color="auto" w:fill="auto"/>
            <w:noWrap/>
            <w:vAlign w:val="bottom"/>
            <w:hideMark/>
          </w:tcPr>
          <w:p w14:paraId="4CB2CAA5"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2.6%</w:t>
            </w:r>
          </w:p>
        </w:tc>
        <w:tc>
          <w:tcPr>
            <w:tcW w:w="1985" w:type="dxa"/>
            <w:vAlign w:val="bottom"/>
          </w:tcPr>
          <w:p w14:paraId="0214EB72"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0.9%</w:t>
            </w:r>
          </w:p>
        </w:tc>
        <w:tc>
          <w:tcPr>
            <w:tcW w:w="2693" w:type="dxa"/>
            <w:shd w:val="clear" w:color="auto" w:fill="auto"/>
            <w:noWrap/>
            <w:vAlign w:val="bottom"/>
            <w:hideMark/>
          </w:tcPr>
          <w:p w14:paraId="77991D2C"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0.04%</w:t>
            </w:r>
          </w:p>
        </w:tc>
      </w:tr>
      <w:tr w:rsidR="00F02595" w:rsidRPr="000C7C9C" w14:paraId="65F01DB4" w14:textId="77777777" w:rsidTr="00F02595">
        <w:trPr>
          <w:trHeight w:val="288"/>
        </w:trPr>
        <w:tc>
          <w:tcPr>
            <w:tcW w:w="1560" w:type="dxa"/>
            <w:shd w:val="clear" w:color="auto" w:fill="auto"/>
            <w:noWrap/>
            <w:vAlign w:val="bottom"/>
            <w:hideMark/>
          </w:tcPr>
          <w:p w14:paraId="6D4F2386"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100</w:t>
            </w:r>
          </w:p>
        </w:tc>
        <w:tc>
          <w:tcPr>
            <w:tcW w:w="1984" w:type="dxa"/>
            <w:shd w:val="clear" w:color="auto" w:fill="auto"/>
            <w:noWrap/>
            <w:vAlign w:val="bottom"/>
            <w:hideMark/>
          </w:tcPr>
          <w:p w14:paraId="1012CE5C"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7.7%</w:t>
            </w:r>
          </w:p>
        </w:tc>
        <w:tc>
          <w:tcPr>
            <w:tcW w:w="1985" w:type="dxa"/>
            <w:vAlign w:val="bottom"/>
          </w:tcPr>
          <w:p w14:paraId="3C834A82"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2.6%</w:t>
            </w:r>
          </w:p>
        </w:tc>
        <w:tc>
          <w:tcPr>
            <w:tcW w:w="2693" w:type="dxa"/>
            <w:shd w:val="clear" w:color="auto" w:fill="auto"/>
            <w:noWrap/>
            <w:vAlign w:val="bottom"/>
            <w:hideMark/>
          </w:tcPr>
          <w:p w14:paraId="13CE21B7"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0.15%</w:t>
            </w:r>
          </w:p>
        </w:tc>
      </w:tr>
      <w:tr w:rsidR="00F02595" w:rsidRPr="000C7C9C" w14:paraId="496F4CE3" w14:textId="77777777" w:rsidTr="00F02595">
        <w:trPr>
          <w:trHeight w:val="288"/>
        </w:trPr>
        <w:tc>
          <w:tcPr>
            <w:tcW w:w="1560" w:type="dxa"/>
            <w:shd w:val="clear" w:color="auto" w:fill="auto"/>
            <w:noWrap/>
            <w:vAlign w:val="bottom"/>
            <w:hideMark/>
          </w:tcPr>
          <w:p w14:paraId="47B07362"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150</w:t>
            </w:r>
          </w:p>
        </w:tc>
        <w:tc>
          <w:tcPr>
            <w:tcW w:w="1984" w:type="dxa"/>
            <w:shd w:val="clear" w:color="auto" w:fill="auto"/>
            <w:noWrap/>
            <w:vAlign w:val="bottom"/>
            <w:hideMark/>
          </w:tcPr>
          <w:p w14:paraId="57474D25"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13.3%</w:t>
            </w:r>
          </w:p>
        </w:tc>
        <w:tc>
          <w:tcPr>
            <w:tcW w:w="1985" w:type="dxa"/>
            <w:vAlign w:val="bottom"/>
          </w:tcPr>
          <w:p w14:paraId="65675669"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4.4%</w:t>
            </w:r>
          </w:p>
        </w:tc>
        <w:tc>
          <w:tcPr>
            <w:tcW w:w="2693" w:type="dxa"/>
            <w:shd w:val="clear" w:color="auto" w:fill="auto"/>
            <w:noWrap/>
            <w:vAlign w:val="bottom"/>
            <w:hideMark/>
          </w:tcPr>
          <w:p w14:paraId="486AEF68"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0.33%</w:t>
            </w:r>
          </w:p>
        </w:tc>
      </w:tr>
      <w:tr w:rsidR="00F02595" w:rsidRPr="000C7C9C" w14:paraId="74181441" w14:textId="77777777" w:rsidTr="00F02595">
        <w:trPr>
          <w:trHeight w:val="288"/>
        </w:trPr>
        <w:tc>
          <w:tcPr>
            <w:tcW w:w="1560" w:type="dxa"/>
            <w:shd w:val="clear" w:color="auto" w:fill="auto"/>
            <w:noWrap/>
            <w:vAlign w:val="bottom"/>
            <w:hideMark/>
          </w:tcPr>
          <w:p w14:paraId="4DE56DB7"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200</w:t>
            </w:r>
          </w:p>
        </w:tc>
        <w:tc>
          <w:tcPr>
            <w:tcW w:w="1984" w:type="dxa"/>
            <w:shd w:val="clear" w:color="auto" w:fill="auto"/>
            <w:noWrap/>
            <w:vAlign w:val="bottom"/>
            <w:hideMark/>
          </w:tcPr>
          <w:p w14:paraId="75AEE9BB"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18.8%</w:t>
            </w:r>
          </w:p>
        </w:tc>
        <w:tc>
          <w:tcPr>
            <w:tcW w:w="1985" w:type="dxa"/>
            <w:vAlign w:val="bottom"/>
          </w:tcPr>
          <w:p w14:paraId="5249AC7C"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6.3%</w:t>
            </w:r>
          </w:p>
        </w:tc>
        <w:tc>
          <w:tcPr>
            <w:tcW w:w="2693" w:type="dxa"/>
            <w:shd w:val="clear" w:color="auto" w:fill="auto"/>
            <w:noWrap/>
            <w:vAlign w:val="bottom"/>
            <w:hideMark/>
          </w:tcPr>
          <w:p w14:paraId="6F6AED22"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0.59%</w:t>
            </w:r>
          </w:p>
        </w:tc>
      </w:tr>
      <w:tr w:rsidR="00F02595" w:rsidRPr="000C7C9C" w14:paraId="47C63D53" w14:textId="77777777" w:rsidTr="00F02595">
        <w:trPr>
          <w:trHeight w:val="288"/>
        </w:trPr>
        <w:tc>
          <w:tcPr>
            <w:tcW w:w="1560" w:type="dxa"/>
            <w:shd w:val="clear" w:color="auto" w:fill="auto"/>
            <w:noWrap/>
            <w:vAlign w:val="bottom"/>
            <w:hideMark/>
          </w:tcPr>
          <w:p w14:paraId="5ACDF8D3"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250</w:t>
            </w:r>
          </w:p>
        </w:tc>
        <w:tc>
          <w:tcPr>
            <w:tcW w:w="1984" w:type="dxa"/>
            <w:shd w:val="clear" w:color="auto" w:fill="auto"/>
            <w:noWrap/>
            <w:vAlign w:val="bottom"/>
            <w:hideMark/>
          </w:tcPr>
          <w:p w14:paraId="2ACF9031" w14:textId="77777777" w:rsidR="00F02595" w:rsidRPr="000C7C9C" w:rsidRDefault="00F02595" w:rsidP="00F02595">
            <w:pPr>
              <w:jc w:val="center"/>
              <w:rPr>
                <w:rFonts w:ascii="Calibri" w:hAnsi="Calibri" w:cs="Calibri"/>
                <w:color w:val="000000"/>
                <w:szCs w:val="22"/>
              </w:rPr>
            </w:pPr>
            <w:r w:rsidRPr="000C7C9C">
              <w:rPr>
                <w:rFonts w:ascii="Calibri" w:hAnsi="Calibri" w:cs="Calibri"/>
                <w:color w:val="000000"/>
                <w:szCs w:val="22"/>
              </w:rPr>
              <w:t>23.9%</w:t>
            </w:r>
          </w:p>
        </w:tc>
        <w:tc>
          <w:tcPr>
            <w:tcW w:w="1985" w:type="dxa"/>
            <w:vAlign w:val="bottom"/>
          </w:tcPr>
          <w:p w14:paraId="77DB83F6"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8.0%</w:t>
            </w:r>
          </w:p>
        </w:tc>
        <w:tc>
          <w:tcPr>
            <w:tcW w:w="2693" w:type="dxa"/>
            <w:shd w:val="clear" w:color="auto" w:fill="auto"/>
            <w:noWrap/>
            <w:vAlign w:val="bottom"/>
            <w:hideMark/>
          </w:tcPr>
          <w:p w14:paraId="3B625E3E" w14:textId="77777777" w:rsidR="00F02595" w:rsidRPr="000C7C9C" w:rsidRDefault="00F02595" w:rsidP="00F02595">
            <w:pPr>
              <w:jc w:val="center"/>
              <w:rPr>
                <w:rFonts w:ascii="Calibri" w:hAnsi="Calibri" w:cs="Calibri"/>
                <w:color w:val="000000"/>
                <w:szCs w:val="22"/>
              </w:rPr>
            </w:pPr>
            <w:r>
              <w:rPr>
                <w:rFonts w:ascii="Calibri" w:hAnsi="Calibri" w:cs="Calibri"/>
                <w:color w:val="000000"/>
                <w:szCs w:val="22"/>
              </w:rPr>
              <w:t>0.93%</w:t>
            </w:r>
          </w:p>
        </w:tc>
      </w:tr>
    </w:tbl>
    <w:p w14:paraId="18A8EF6C" w14:textId="77777777" w:rsidR="00B663C2" w:rsidRDefault="00B663C2" w:rsidP="00B663C2"/>
    <w:p w14:paraId="6DF29FEA" w14:textId="4E972D12" w:rsidR="00261B6E" w:rsidRDefault="00261B6E" w:rsidP="008C4A2B">
      <w:pPr>
        <w:pStyle w:val="3para"/>
        <w:tabs>
          <w:tab w:val="clear" w:pos="1440"/>
          <w:tab w:val="clear" w:pos="1866"/>
          <w:tab w:val="num" w:pos="851"/>
        </w:tabs>
        <w:ind w:left="851" w:hanging="851"/>
      </w:pPr>
      <w:r>
        <w:t>ACC frequency assignments represent some of the largest DOCs in Europe. It is important to highlight that the spectrum efficiency of a satellite-based VHF system will always be significantly lower than that of a terrestrial VHF system for services operating over continental regions.</w:t>
      </w:r>
    </w:p>
    <w:p w14:paraId="0FEDD423" w14:textId="2E5375CC" w:rsidR="00261B6E" w:rsidRDefault="00261B6E" w:rsidP="008C4A2B">
      <w:pPr>
        <w:pStyle w:val="3para"/>
        <w:tabs>
          <w:tab w:val="clear" w:pos="1440"/>
          <w:tab w:val="clear" w:pos="1866"/>
          <w:tab w:val="num" w:pos="851"/>
        </w:tabs>
        <w:ind w:left="851" w:hanging="851"/>
      </w:pPr>
      <w:r>
        <w:t>To illustrate this difference, the following map highlights the disparity in footprint size for a large service within the Madrid FIR. While such a terrestrial service would need to operate as a climax</w:t>
      </w:r>
      <w:r w:rsidR="00D721D1">
        <w:t xml:space="preserve"> system (i.e</w:t>
      </w:r>
      <w:r w:rsidR="008C4A2B">
        <w:t>.</w:t>
      </w:r>
      <w:r w:rsidR="00D721D1">
        <w:t xml:space="preserve"> ER extended range service with </w:t>
      </w:r>
      <w:r>
        <w:t>3 legs in this example) and therefore remain in 25 kHz channel spacing, the difference in impact between the two systems remains substantial.</w:t>
      </w:r>
      <w:r w:rsidRPr="00261B6E">
        <w:t xml:space="preserve"> </w:t>
      </w:r>
    </w:p>
    <w:p w14:paraId="31F00D92" w14:textId="13634676" w:rsidR="00CC11ED" w:rsidRDefault="00E44009" w:rsidP="00836DFE">
      <w:pPr>
        <w:pStyle w:val="3para"/>
        <w:numPr>
          <w:ilvl w:val="0"/>
          <w:numId w:val="0"/>
        </w:numPr>
        <w:jc w:val="center"/>
      </w:pPr>
      <w:r>
        <w:rPr>
          <w:noProof/>
        </w:rPr>
        <w:drawing>
          <wp:inline distT="0" distB="0" distL="0" distR="0" wp14:anchorId="7A44E6E5" wp14:editId="3EEFDFA3">
            <wp:extent cx="3761740" cy="2923540"/>
            <wp:effectExtent l="0" t="0" r="0" b="0"/>
            <wp:docPr id="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1740" cy="2923540"/>
                    </a:xfrm>
                    <a:prstGeom prst="rect">
                      <a:avLst/>
                    </a:prstGeom>
                    <a:noFill/>
                  </pic:spPr>
                </pic:pic>
              </a:graphicData>
            </a:graphic>
          </wp:inline>
        </w:drawing>
      </w:r>
    </w:p>
    <w:p w14:paraId="61455F1F" w14:textId="77777777" w:rsidR="00836DFE" w:rsidRDefault="00836DFE" w:rsidP="00836DFE">
      <w:pPr>
        <w:pStyle w:val="Caption"/>
        <w:jc w:val="center"/>
      </w:pPr>
      <w:r>
        <w:t xml:space="preserve">Figure 5: Footprint comparison, a practical case </w:t>
      </w:r>
    </w:p>
    <w:p w14:paraId="3D5F143C" w14:textId="77777777" w:rsidR="00836DFE" w:rsidRDefault="00836DFE" w:rsidP="00836DFE">
      <w:pPr>
        <w:pStyle w:val="3para"/>
        <w:numPr>
          <w:ilvl w:val="0"/>
          <w:numId w:val="0"/>
        </w:numPr>
      </w:pPr>
    </w:p>
    <w:p w14:paraId="039811D3" w14:textId="77777777" w:rsidR="00C80E71" w:rsidRDefault="00C80E71" w:rsidP="008C4A2B">
      <w:pPr>
        <w:pStyle w:val="3para"/>
        <w:tabs>
          <w:tab w:val="clear" w:pos="1440"/>
          <w:tab w:val="clear" w:pos="1866"/>
          <w:tab w:val="num" w:pos="851"/>
        </w:tabs>
        <w:ind w:left="851" w:hanging="851"/>
      </w:pPr>
      <w:r>
        <w:t xml:space="preserve">In the ICAO EUR region, there are 698 "standard" 25 kHz channels available for use. When focusing on </w:t>
      </w:r>
      <w:r w:rsidR="00433B4A">
        <w:t>w</w:t>
      </w:r>
      <w:r w:rsidRPr="00433B4A">
        <w:t>estern Europe</w:t>
      </w:r>
      <w:r>
        <w:t xml:space="preserve"> specifically, a total of 9,680 services are assigned to these channels, including both 25 kHz and 8.33 kHz assignments. This results in an average of more than 14 services per channel, and there is still capacity for new assignments. In contrast, when considering the footprint of SB-VHF services, it becomes evident that only one satellite service could be assigned per 25 kHz channel in this region.</w:t>
      </w:r>
    </w:p>
    <w:p w14:paraId="7BF07ED3" w14:textId="77777777" w:rsidR="00CB2D6D" w:rsidRDefault="00836DFE" w:rsidP="008C4A2B">
      <w:pPr>
        <w:pStyle w:val="3para"/>
        <w:tabs>
          <w:tab w:val="clear" w:pos="1440"/>
          <w:tab w:val="clear" w:pos="1866"/>
          <w:tab w:val="num" w:pos="851"/>
        </w:tabs>
        <w:ind w:left="851" w:hanging="851"/>
      </w:pPr>
      <w:r w:rsidRPr="00836DFE">
        <w:lastRenderedPageBreak/>
        <w:t xml:space="preserve">Therefore, SB-VHF services should be avoided over Europe for existing services, as ground-based infrastructure is fully capable of meeting operational needs. In general, SB-VHF </w:t>
      </w:r>
      <w:r w:rsidR="00A1118D">
        <w:t>could</w:t>
      </w:r>
      <w:r w:rsidRPr="00836DFE">
        <w:t xml:space="preserve"> only be considered for use in remote and oceanic areas where terrestrial infrastructure is unavailable or impractical to deploy.</w:t>
      </w:r>
    </w:p>
    <w:p w14:paraId="543E672D" w14:textId="77777777" w:rsidR="00966224" w:rsidRPr="004F7EC7" w:rsidRDefault="009570F8" w:rsidP="008C4A2B">
      <w:pPr>
        <w:pStyle w:val="2para"/>
        <w:tabs>
          <w:tab w:val="clear" w:pos="720"/>
          <w:tab w:val="num" w:pos="851"/>
        </w:tabs>
        <w:ind w:left="851" w:hanging="851"/>
        <w:rPr>
          <w:b/>
          <w:bCs/>
        </w:rPr>
      </w:pPr>
      <w:r>
        <w:rPr>
          <w:b/>
          <w:bCs/>
        </w:rPr>
        <w:t>The s</w:t>
      </w:r>
      <w:r w:rsidR="00CB2D6D" w:rsidRPr="004F7EC7">
        <w:rPr>
          <w:b/>
          <w:bCs/>
        </w:rPr>
        <w:t xml:space="preserve">earch for </w:t>
      </w:r>
      <w:r>
        <w:rPr>
          <w:b/>
          <w:bCs/>
        </w:rPr>
        <w:t xml:space="preserve">satellite </w:t>
      </w:r>
      <w:r w:rsidR="00F67A1F">
        <w:rPr>
          <w:b/>
          <w:bCs/>
        </w:rPr>
        <w:t xml:space="preserve">VHF </w:t>
      </w:r>
      <w:r w:rsidR="00CB2D6D" w:rsidRPr="004F7EC7">
        <w:rPr>
          <w:b/>
          <w:bCs/>
        </w:rPr>
        <w:t>frequencies</w:t>
      </w:r>
    </w:p>
    <w:p w14:paraId="7909135E" w14:textId="77777777" w:rsidR="00966224" w:rsidRDefault="00836DFE" w:rsidP="008C4A2B">
      <w:pPr>
        <w:pStyle w:val="3para"/>
        <w:tabs>
          <w:tab w:val="clear" w:pos="1440"/>
          <w:tab w:val="clear" w:pos="1866"/>
          <w:tab w:val="num" w:pos="851"/>
        </w:tabs>
        <w:ind w:left="851" w:hanging="851"/>
      </w:pPr>
      <w:r w:rsidRPr="00836DFE">
        <w:t>Using the separation criteria outlined in the previous section—the sum of the satellite’s optical horizon and the terrestrial services’ radio horizon—and frequency data from SAFIRE and</w:t>
      </w:r>
      <w:r>
        <w:t xml:space="preserve"> the</w:t>
      </w:r>
      <w:r w:rsidRPr="00836DFE">
        <w:t xml:space="preserve"> ICAO global database, we can now analyse the availability of frequencies at any location where the satellite is transmitting globally.</w:t>
      </w:r>
    </w:p>
    <w:p w14:paraId="6C38FE2C" w14:textId="77777777" w:rsidR="00857A12" w:rsidRDefault="00857A12" w:rsidP="008C4A2B">
      <w:pPr>
        <w:pStyle w:val="3para"/>
        <w:tabs>
          <w:tab w:val="clear" w:pos="1440"/>
          <w:tab w:val="clear" w:pos="1866"/>
          <w:tab w:val="num" w:pos="851"/>
        </w:tabs>
        <w:ind w:left="851" w:hanging="851"/>
      </w:pPr>
      <w:r w:rsidRPr="00857A12">
        <w:t>It is important to note that the frequency databases do not include data from the ICAO NAM region</w:t>
      </w:r>
      <w:r>
        <w:t xml:space="preserve"> (</w:t>
      </w:r>
      <w:r w:rsidRPr="00857A12">
        <w:t>Canada and the USA</w:t>
      </w:r>
      <w:r>
        <w:t>)</w:t>
      </w:r>
      <w:r w:rsidRPr="00857A12">
        <w:t xml:space="preserve">. This limitation affects the analysis, as it is highly likely that the eastern coast of North America operates a significant number of 25 kHz frequencies. Without this data, the full extent of </w:t>
      </w:r>
      <w:r>
        <w:t>this analysis</w:t>
      </w:r>
      <w:r w:rsidRPr="00857A12">
        <w:t xml:space="preserve"> cannot be accurately assessed.</w:t>
      </w:r>
    </w:p>
    <w:p w14:paraId="617BD618" w14:textId="765CFC80" w:rsidR="00857A12" w:rsidRDefault="00857A12" w:rsidP="008C4A2B">
      <w:pPr>
        <w:pStyle w:val="3para"/>
        <w:tabs>
          <w:tab w:val="clear" w:pos="1440"/>
          <w:tab w:val="clear" w:pos="1866"/>
          <w:tab w:val="num" w:pos="851"/>
        </w:tabs>
        <w:ind w:left="851" w:hanging="851"/>
      </w:pPr>
      <w:r w:rsidRPr="00857A12">
        <w:t xml:space="preserve">The analysis is based on a </w:t>
      </w:r>
      <w:r>
        <w:t xml:space="preserve">static </w:t>
      </w:r>
      <w:r w:rsidRPr="00857A12">
        <w:t xml:space="preserve">SB-VHF footprint rather than </w:t>
      </w:r>
      <w:r>
        <w:t xml:space="preserve">the real one as explained in </w:t>
      </w:r>
      <w:r w:rsidRPr="00433B4A">
        <w:t xml:space="preserve">section </w:t>
      </w:r>
      <w:r w:rsidR="00433B4A" w:rsidRPr="00433B4A">
        <w:fldChar w:fldCharType="begin"/>
      </w:r>
      <w:r w:rsidR="00433B4A" w:rsidRPr="00433B4A">
        <w:instrText xml:space="preserve"> REF _Ref187499545 \r \h  \* MERGEFORMAT </w:instrText>
      </w:r>
      <w:r w:rsidR="00433B4A" w:rsidRPr="00433B4A">
        <w:fldChar w:fldCharType="separate"/>
      </w:r>
      <w:r w:rsidR="00170BDB">
        <w:t>2.3.6</w:t>
      </w:r>
      <w:r w:rsidR="00433B4A" w:rsidRPr="00433B4A">
        <w:fldChar w:fldCharType="end"/>
      </w:r>
      <w:r w:rsidRPr="00433B4A">
        <w:t>.</w:t>
      </w:r>
      <w:r>
        <w:t xml:space="preserve"> </w:t>
      </w:r>
      <w:r w:rsidRPr="00857A12">
        <w:t xml:space="preserve">This approach minimizes the potential congestion that could </w:t>
      </w:r>
      <w:proofErr w:type="gramStart"/>
      <w:r w:rsidRPr="00857A12">
        <w:t>occur in reality, as</w:t>
      </w:r>
      <w:proofErr w:type="gramEnd"/>
      <w:r w:rsidRPr="00857A12">
        <w:t xml:space="preserve"> the satellite’s footprint constantly changes due to its movement, potentially affecting frequency availability </w:t>
      </w:r>
      <w:r>
        <w:t xml:space="preserve">also minimizing the potential congestion </w:t>
      </w:r>
      <w:r w:rsidRPr="00857A12">
        <w:t>around the globe.</w:t>
      </w:r>
    </w:p>
    <w:p w14:paraId="29BDCEDF" w14:textId="77777777" w:rsidR="008C4A2B" w:rsidRDefault="0002611D" w:rsidP="008C4A2B">
      <w:pPr>
        <w:pStyle w:val="3para"/>
        <w:tabs>
          <w:tab w:val="clear" w:pos="1440"/>
          <w:tab w:val="clear" w:pos="1866"/>
          <w:tab w:val="num" w:pos="851"/>
        </w:tabs>
        <w:ind w:left="851" w:hanging="851"/>
      </w:pPr>
      <w:r w:rsidRPr="0002611D">
        <w:t>As outlined in Section 1, frequency availability is depicted using a colour scale, with black indicating areas where no frequencies are available. This visualization highlights regions where satellite access to the VHF COM spectrum could encounter significant challenges</w:t>
      </w:r>
      <w:r w:rsidR="00E24632" w:rsidRPr="00E24632">
        <w:t>.</w:t>
      </w:r>
    </w:p>
    <w:p w14:paraId="66D13726" w14:textId="4D7D5074" w:rsidR="009E6EA6" w:rsidRDefault="00E44009" w:rsidP="008C4A2B">
      <w:r>
        <w:rPr>
          <w:noProof/>
        </w:rPr>
        <w:drawing>
          <wp:inline distT="0" distB="0" distL="0" distR="0" wp14:anchorId="5602829A" wp14:editId="3CA95BA5">
            <wp:extent cx="6191250" cy="31432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0" cy="3143250"/>
                    </a:xfrm>
                    <a:prstGeom prst="rect">
                      <a:avLst/>
                    </a:prstGeom>
                    <a:noFill/>
                    <a:ln>
                      <a:noFill/>
                    </a:ln>
                  </pic:spPr>
                </pic:pic>
              </a:graphicData>
            </a:graphic>
          </wp:inline>
        </w:drawing>
      </w:r>
    </w:p>
    <w:p w14:paraId="033DA43F" w14:textId="77777777" w:rsidR="00427348" w:rsidRDefault="00427348" w:rsidP="00427348">
      <w:pPr>
        <w:pStyle w:val="Caption"/>
        <w:jc w:val="center"/>
      </w:pPr>
      <w:r w:rsidRPr="00427348">
        <w:t xml:space="preserve">Figure </w:t>
      </w:r>
      <w:r w:rsidR="00836DFE">
        <w:t>6</w:t>
      </w:r>
      <w:r w:rsidRPr="00427348">
        <w:t xml:space="preserve">: </w:t>
      </w:r>
      <w:r>
        <w:t>Frequency availability for SB-VHF</w:t>
      </w:r>
    </w:p>
    <w:p w14:paraId="6ED2A687" w14:textId="77777777" w:rsidR="00BA62E0" w:rsidRPr="00BA62E0" w:rsidRDefault="00BA62E0" w:rsidP="00BA62E0"/>
    <w:p w14:paraId="224B783E" w14:textId="77777777" w:rsidR="007F6D9C" w:rsidRDefault="007F6D9C" w:rsidP="008C4A2B">
      <w:pPr>
        <w:pStyle w:val="3para"/>
        <w:tabs>
          <w:tab w:val="clear" w:pos="1440"/>
          <w:tab w:val="clear" w:pos="1866"/>
          <w:tab w:val="num" w:pos="851"/>
        </w:tabs>
        <w:ind w:left="851" w:hanging="851"/>
      </w:pPr>
      <w:r>
        <w:t>It can be observed that a satellite operating above most of the ICAO EUR region but also ICAO MID region and a large part of the North Atlantic would not find any frequency directly available.</w:t>
      </w:r>
    </w:p>
    <w:p w14:paraId="44509BFE" w14:textId="77777777" w:rsidR="007F6D9C" w:rsidRDefault="007F6D9C" w:rsidP="008C4A2B">
      <w:pPr>
        <w:pStyle w:val="3para"/>
        <w:tabs>
          <w:tab w:val="clear" w:pos="1440"/>
          <w:tab w:val="clear" w:pos="1866"/>
          <w:tab w:val="num" w:pos="851"/>
        </w:tabs>
        <w:ind w:left="851" w:hanging="851"/>
      </w:pPr>
      <w:r w:rsidRPr="007F6D9C">
        <w:t>A limited number of frequencies would be available over the APAC region, spanning from Mongolia in the north to Indonesia in the south. This highlights potential spectrum constraints in this area</w:t>
      </w:r>
      <w:r>
        <w:t>.</w:t>
      </w:r>
    </w:p>
    <w:p w14:paraId="57D96A20" w14:textId="52F70E83" w:rsidR="00372F84" w:rsidRDefault="007F6D9C" w:rsidP="00327EB7">
      <w:pPr>
        <w:pStyle w:val="3para"/>
        <w:tabs>
          <w:tab w:val="clear" w:pos="1440"/>
          <w:tab w:val="clear" w:pos="1866"/>
          <w:tab w:val="num" w:pos="851"/>
        </w:tabs>
        <w:ind w:left="851" w:hanging="851"/>
        <w:jc w:val="left"/>
      </w:pPr>
      <w:r>
        <w:t>If data from NAM was available,</w:t>
      </w:r>
      <w:r w:rsidR="00857A12" w:rsidRPr="00D058E8">
        <w:t xml:space="preserve"> it is highly probable that the black spot would extend </w:t>
      </w:r>
      <w:r w:rsidR="00BA62E0" w:rsidRPr="00D058E8">
        <w:t>westward</w:t>
      </w:r>
      <w:r w:rsidR="00857A12" w:rsidRPr="00D058E8">
        <w:t xml:space="preserve">, </w:t>
      </w:r>
      <w:r w:rsidR="00857A12" w:rsidRPr="00085CA8">
        <w:t xml:space="preserve">or at least a dark spot would appear </w:t>
      </w:r>
      <w:r w:rsidR="00085CA8" w:rsidRPr="00085CA8">
        <w:t>on</w:t>
      </w:r>
      <w:r w:rsidR="00085CA8">
        <w:t xml:space="preserve"> the </w:t>
      </w:r>
      <w:r w:rsidR="00425DD1">
        <w:t>west</w:t>
      </w:r>
      <w:r w:rsidR="00085CA8">
        <w:t xml:space="preserve"> side of the Atlantic</w:t>
      </w:r>
      <w:r>
        <w:t>.</w:t>
      </w:r>
    </w:p>
    <w:p w14:paraId="7D512B80" w14:textId="77777777" w:rsidR="00372F84" w:rsidRPr="00CC3766" w:rsidRDefault="00372F84" w:rsidP="008C4A2B">
      <w:pPr>
        <w:pStyle w:val="2para"/>
        <w:tabs>
          <w:tab w:val="clear" w:pos="720"/>
          <w:tab w:val="num" w:pos="851"/>
        </w:tabs>
        <w:ind w:left="851" w:hanging="851"/>
        <w:rPr>
          <w:b/>
          <w:bCs/>
        </w:rPr>
      </w:pPr>
      <w:r w:rsidRPr="00CC3766">
        <w:rPr>
          <w:b/>
          <w:bCs/>
        </w:rPr>
        <w:t>Interregional coordination</w:t>
      </w:r>
    </w:p>
    <w:p w14:paraId="0AE8523C" w14:textId="77777777" w:rsidR="008512C6" w:rsidRDefault="00372F84" w:rsidP="008C4A2B">
      <w:pPr>
        <w:pStyle w:val="3para"/>
        <w:tabs>
          <w:tab w:val="clear" w:pos="1440"/>
          <w:tab w:val="clear" w:pos="1866"/>
          <w:tab w:val="num" w:pos="851"/>
        </w:tabs>
        <w:ind w:left="851" w:hanging="851"/>
      </w:pPr>
      <w:r>
        <w:t xml:space="preserve">As outlined throughout this paper, the extensive coverage of SB-VHF could have a significant impact across multiple ICAO regions. </w:t>
      </w:r>
    </w:p>
    <w:p w14:paraId="30B9C056" w14:textId="5362A888" w:rsidR="00372F84" w:rsidRDefault="00372F84" w:rsidP="008C4A2B">
      <w:pPr>
        <w:pStyle w:val="3para"/>
        <w:tabs>
          <w:tab w:val="clear" w:pos="1440"/>
          <w:tab w:val="clear" w:pos="1866"/>
          <w:tab w:val="num" w:pos="851"/>
        </w:tabs>
        <w:ind w:left="851" w:hanging="851"/>
      </w:pPr>
      <w:r>
        <w:t>Consequently, frequency allocation in certain areas will require coordination with regions that were previously isolated from a VHF point of view. For example, assigning a frequency in the North Atlantic will necessitate coordination and data exchange between both Europe and North America.</w:t>
      </w:r>
    </w:p>
    <w:p w14:paraId="2D4454F5" w14:textId="77777777" w:rsidR="00372F84" w:rsidRDefault="00372F84" w:rsidP="008C4A2B">
      <w:pPr>
        <w:pStyle w:val="3para"/>
        <w:tabs>
          <w:tab w:val="clear" w:pos="1440"/>
          <w:tab w:val="clear" w:pos="1866"/>
          <w:tab w:val="num" w:pos="851"/>
        </w:tabs>
        <w:ind w:left="851" w:hanging="851"/>
      </w:pPr>
      <w:r>
        <w:t>This may represent a fundamental shift in global aviation frequency management, potentially requiring a more integrated worldwide approach for inter-regional frequency assignment coordination.</w:t>
      </w:r>
    </w:p>
    <w:p w14:paraId="680FB752" w14:textId="100BBC52" w:rsidR="00372F84" w:rsidRDefault="00372F84" w:rsidP="008C4A2B">
      <w:pPr>
        <w:pStyle w:val="3para"/>
        <w:tabs>
          <w:tab w:val="clear" w:pos="1440"/>
          <w:tab w:val="clear" w:pos="1866"/>
          <w:tab w:val="num" w:pos="851"/>
        </w:tabs>
        <w:ind w:left="851" w:hanging="851"/>
      </w:pPr>
      <w:r>
        <w:t xml:space="preserve"> Enhancing these processes may be necessary, and such processes could benefit from ideally being defined in ICAO Annex 10, Volume V, rather than in regional frequency management manuals.</w:t>
      </w:r>
    </w:p>
    <w:p w14:paraId="609EBE1B" w14:textId="068B50EC" w:rsidR="00372F84" w:rsidRDefault="00372F84" w:rsidP="008C4A2B">
      <w:pPr>
        <w:pStyle w:val="3para"/>
        <w:tabs>
          <w:tab w:val="clear" w:pos="1440"/>
          <w:tab w:val="clear" w:pos="1866"/>
          <w:tab w:val="num" w:pos="851"/>
        </w:tabs>
        <w:ind w:left="851" w:hanging="851"/>
      </w:pPr>
      <w:r>
        <w:t>This working paper does not propose a solution to this evolving challenge but seeks to initiate a discussion and highlight the need for this group to address this question in the future.</w:t>
      </w:r>
    </w:p>
    <w:p w14:paraId="221FEABC" w14:textId="77777777" w:rsidR="00770160" w:rsidRDefault="00C8445C" w:rsidP="008C4A2B">
      <w:pPr>
        <w:pStyle w:val="1Heading"/>
        <w:tabs>
          <w:tab w:val="clear" w:pos="720"/>
          <w:tab w:val="num" w:pos="851"/>
        </w:tabs>
        <w:ind w:left="851" w:hanging="851"/>
      </w:pPr>
      <w:r>
        <w:t>CONCLUSION</w:t>
      </w:r>
    </w:p>
    <w:p w14:paraId="3D7CF242" w14:textId="77777777" w:rsidR="00FA6CE9" w:rsidRDefault="00FA6CE9" w:rsidP="008C4A2B">
      <w:pPr>
        <w:pStyle w:val="2para"/>
        <w:tabs>
          <w:tab w:val="clear" w:pos="720"/>
          <w:tab w:val="num" w:pos="851"/>
        </w:tabs>
        <w:ind w:left="851" w:hanging="851"/>
      </w:pPr>
      <w:r w:rsidRPr="00FA6CE9">
        <w:t xml:space="preserve">This paper provides a </w:t>
      </w:r>
      <w:r w:rsidRPr="008512C6">
        <w:rPr>
          <w:u w:val="single"/>
        </w:rPr>
        <w:t>preliminary assessment</w:t>
      </w:r>
      <w:r w:rsidRPr="00FA6CE9">
        <w:t xml:space="preserve"> of the potential impact of SB-VHF on the aeronautical VHF spectrum globally, with a particular focus on Europe.</w:t>
      </w:r>
    </w:p>
    <w:p w14:paraId="7D669E25" w14:textId="0BC42BE9" w:rsidR="00A32870" w:rsidRDefault="00A32870" w:rsidP="008C4A2B">
      <w:pPr>
        <w:pStyle w:val="2para"/>
        <w:tabs>
          <w:tab w:val="clear" w:pos="720"/>
          <w:tab w:val="num" w:pos="851"/>
        </w:tabs>
        <w:ind w:left="851" w:hanging="851"/>
      </w:pPr>
      <w:r>
        <w:t>While this assessment can be further refined based on the precise planning rules selected, a validated space VHF propagation model, and the real dynamic footprint of SB-VHF</w:t>
      </w:r>
      <w:r w:rsidR="008512C6">
        <w:t xml:space="preserve"> and/or detailed satellite characteristics</w:t>
      </w:r>
      <w:r>
        <w:t>, the overall impact is expected to remain significant. This is due to the nature of VHF planning rules, the high altitude of satellites, and the practical challenges in employing highly directive antennas at VHF frequencies.</w:t>
      </w:r>
    </w:p>
    <w:p w14:paraId="64CDFF47" w14:textId="77777777" w:rsidR="00A32870" w:rsidRDefault="00A32870" w:rsidP="008C4A2B">
      <w:pPr>
        <w:pStyle w:val="2para"/>
        <w:tabs>
          <w:tab w:val="clear" w:pos="720"/>
          <w:tab w:val="num" w:pos="851"/>
        </w:tabs>
        <w:ind w:left="851" w:hanging="851"/>
      </w:pPr>
      <w:r>
        <w:t>Specifically, the analysis demonstrates that deploying SB-VHF frequencies in Europe would be highly inefficient compared to the current terrestrial services. Moreover, remote regions such as the Atlantic Ocean or parts of Africa could significantly affect the frequencies used for ATC operations over continental Europe, further exacerbating the challenges.</w:t>
      </w:r>
    </w:p>
    <w:p w14:paraId="4DC74126" w14:textId="77777777" w:rsidR="00A32870" w:rsidRDefault="00A32870" w:rsidP="008C4A2B">
      <w:pPr>
        <w:pStyle w:val="2para"/>
        <w:tabs>
          <w:tab w:val="clear" w:pos="720"/>
          <w:tab w:val="num" w:pos="851"/>
        </w:tabs>
        <w:ind w:left="851" w:hanging="851"/>
      </w:pPr>
      <w:r>
        <w:t>Therefore, the frequency management aspects of SB-VHF must be carefully considered in the ongoing validation assessments to ensure efficient and sustainable spectrum use.</w:t>
      </w:r>
    </w:p>
    <w:p w14:paraId="073D4FBB" w14:textId="77777777" w:rsidR="00AC6513" w:rsidRDefault="00AC6513" w:rsidP="008C4A2B">
      <w:pPr>
        <w:pStyle w:val="1Heading"/>
        <w:tabs>
          <w:tab w:val="clear" w:pos="720"/>
          <w:tab w:val="num" w:pos="851"/>
        </w:tabs>
        <w:ind w:left="851" w:hanging="851"/>
      </w:pPr>
      <w:r>
        <w:lastRenderedPageBreak/>
        <w:t>ACTION BY THE MEETING</w:t>
      </w:r>
    </w:p>
    <w:p w14:paraId="56286152" w14:textId="77777777" w:rsidR="00AC6513" w:rsidRDefault="00AC6513" w:rsidP="008C4A2B">
      <w:pPr>
        <w:pStyle w:val="2para"/>
        <w:tabs>
          <w:tab w:val="clear" w:pos="720"/>
        </w:tabs>
        <w:ind w:left="851" w:hanging="851"/>
      </w:pPr>
      <w:r>
        <w:t>The meeting is invited to:</w:t>
      </w:r>
    </w:p>
    <w:p w14:paraId="662A5CF4" w14:textId="77777777" w:rsidR="00AC6513" w:rsidRPr="00884666" w:rsidRDefault="00AC6513" w:rsidP="008C4A2B">
      <w:pPr>
        <w:pStyle w:val="Listabc"/>
        <w:tabs>
          <w:tab w:val="clear" w:pos="360"/>
          <w:tab w:val="left" w:pos="1418"/>
        </w:tabs>
        <w:ind w:left="1560" w:hanging="709"/>
      </w:pPr>
      <w:r w:rsidRPr="00884666">
        <w:rPr>
          <w:lang w:val="en-GB"/>
        </w:rPr>
        <w:t>n</w:t>
      </w:r>
      <w:r w:rsidRPr="00884666">
        <w:t>ote and review the contents of this working paper;</w:t>
      </w:r>
    </w:p>
    <w:p w14:paraId="023CF880" w14:textId="77777777" w:rsidR="00884666" w:rsidRPr="00884666" w:rsidRDefault="00884666" w:rsidP="008C4A2B">
      <w:pPr>
        <w:pStyle w:val="Listabc"/>
        <w:tabs>
          <w:tab w:val="clear" w:pos="360"/>
          <w:tab w:val="left" w:pos="1418"/>
          <w:tab w:val="num" w:pos="2160"/>
        </w:tabs>
        <w:ind w:left="1560" w:hanging="709"/>
      </w:pPr>
      <w:r>
        <w:t>c</w:t>
      </w:r>
      <w:r w:rsidRPr="00884666">
        <w:t>onsider, the results as initials but</w:t>
      </w:r>
    </w:p>
    <w:p w14:paraId="30BF3525" w14:textId="229F5054" w:rsidR="008512C6" w:rsidRDefault="00AC6513" w:rsidP="008C4A2B">
      <w:pPr>
        <w:pStyle w:val="Listabc"/>
        <w:tabs>
          <w:tab w:val="clear" w:pos="360"/>
          <w:tab w:val="left" w:pos="1418"/>
          <w:tab w:val="num" w:pos="2160"/>
        </w:tabs>
        <w:ind w:left="1560" w:hanging="709"/>
      </w:pPr>
      <w:r w:rsidRPr="00884666">
        <w:t>endorse the methodology to assess SB-VHF spectrum impact</w:t>
      </w:r>
    </w:p>
    <w:p w14:paraId="7F968CCF" w14:textId="77777777" w:rsidR="00D95A2F" w:rsidRPr="00884666" w:rsidRDefault="00D95A2F" w:rsidP="008C4A2B">
      <w:pPr>
        <w:pStyle w:val="Listabc"/>
        <w:tabs>
          <w:tab w:val="clear" w:pos="360"/>
          <w:tab w:val="num" w:pos="1418"/>
        </w:tabs>
        <w:ind w:left="1418" w:hanging="567"/>
      </w:pPr>
      <w:r w:rsidRPr="00D95A2F">
        <w:t>Initiate a discussion on how SB-VHF frequency coordination could be managed at</w:t>
      </w:r>
      <w:r>
        <w:t xml:space="preserve"> an inter-regional level.</w:t>
      </w:r>
    </w:p>
    <w:p w14:paraId="4DA4D710" w14:textId="77777777" w:rsidR="00A60429" w:rsidRDefault="00A60429" w:rsidP="008C4A2B">
      <w:pPr>
        <w:pStyle w:val="1Heading"/>
        <w:tabs>
          <w:tab w:val="clear" w:pos="720"/>
          <w:tab w:val="num" w:pos="851"/>
        </w:tabs>
        <w:ind w:left="851" w:hanging="851"/>
      </w:pPr>
      <w:bookmarkStart w:id="1" w:name="_Hlk189736686"/>
      <w:r>
        <w:t>REFERENCES</w:t>
      </w:r>
    </w:p>
    <w:p w14:paraId="47DB5003" w14:textId="77777777" w:rsidR="00A60429" w:rsidRDefault="00A60429" w:rsidP="00A60429">
      <w:pPr>
        <w:pStyle w:val="2para"/>
        <w:numPr>
          <w:ilvl w:val="0"/>
          <w:numId w:val="0"/>
        </w:numPr>
      </w:pPr>
      <w:r>
        <w:t xml:space="preserve">[1] </w:t>
      </w:r>
      <w:r w:rsidR="005A71BE">
        <w:t xml:space="preserve">ICAO </w:t>
      </w:r>
      <w:r w:rsidR="0038208B">
        <w:t>EUR DOC 11</w:t>
      </w:r>
      <w:r>
        <w:t>.</w:t>
      </w:r>
    </w:p>
    <w:p w14:paraId="43995CB4" w14:textId="77777777" w:rsidR="00A60429" w:rsidRDefault="00A60429" w:rsidP="00A60429">
      <w:pPr>
        <w:pStyle w:val="2para"/>
        <w:numPr>
          <w:ilvl w:val="0"/>
          <w:numId w:val="0"/>
        </w:numPr>
      </w:pPr>
      <w:r>
        <w:t xml:space="preserve">[2] </w:t>
      </w:r>
      <w:r w:rsidR="0038208B">
        <w:t>ICAO DOC 9718</w:t>
      </w:r>
      <w:r w:rsidR="00B8247A">
        <w:t xml:space="preserve"> Volume II</w:t>
      </w:r>
    </w:p>
    <w:p w14:paraId="6D864885" w14:textId="77777777" w:rsidR="00A60429" w:rsidRDefault="00A60429" w:rsidP="00A60429">
      <w:pPr>
        <w:pStyle w:val="2para"/>
        <w:numPr>
          <w:ilvl w:val="0"/>
          <w:numId w:val="0"/>
        </w:numPr>
      </w:pPr>
      <w:r>
        <w:t xml:space="preserve">[3] </w:t>
      </w:r>
      <w:r w:rsidR="0038208B">
        <w:t>ICAO Annex 10 Volume V</w:t>
      </w:r>
      <w:r>
        <w:t>.</w:t>
      </w:r>
    </w:p>
    <w:p w14:paraId="5398FC11" w14:textId="00629C88" w:rsidR="00A60429" w:rsidRPr="00A60429" w:rsidRDefault="00A60429" w:rsidP="00A60429">
      <w:pPr>
        <w:pStyle w:val="2para"/>
        <w:numPr>
          <w:ilvl w:val="0"/>
          <w:numId w:val="0"/>
        </w:numPr>
      </w:pPr>
      <w:r>
        <w:t>[</w:t>
      </w:r>
      <w:r w:rsidR="000C0578">
        <w:t>4</w:t>
      </w:r>
      <w:r>
        <w:t xml:space="preserve">] </w:t>
      </w:r>
      <w:r w:rsidR="008512C6" w:rsidRPr="008512C6">
        <w:t>FSMP-WG19-WP16_SB-VHF SARPs Validation Report</w:t>
      </w:r>
      <w:r>
        <w:t>.</w:t>
      </w:r>
    </w:p>
    <w:bookmarkEnd w:id="1"/>
    <w:p w14:paraId="2F0B0BCB" w14:textId="77777777" w:rsidR="008C3FFC" w:rsidRDefault="008C3FFC" w:rsidP="00B45B7D">
      <w:pPr>
        <w:pStyle w:val="2para"/>
        <w:numPr>
          <w:ilvl w:val="0"/>
          <w:numId w:val="0"/>
        </w:numPr>
        <w:jc w:val="center"/>
      </w:pPr>
    </w:p>
    <w:p w14:paraId="55D028A3" w14:textId="77777777" w:rsidR="00365BFB" w:rsidRDefault="00770160" w:rsidP="00B45B7D">
      <w:pPr>
        <w:pStyle w:val="2para"/>
        <w:numPr>
          <w:ilvl w:val="0"/>
          <w:numId w:val="0"/>
        </w:numPr>
        <w:jc w:val="center"/>
      </w:pPr>
      <w:r>
        <w:t>— END —</w:t>
      </w:r>
    </w:p>
    <w:p w14:paraId="1BDDF3D5" w14:textId="77777777" w:rsidR="001E03B5" w:rsidRDefault="001E03B5" w:rsidP="00B45B7D">
      <w:pPr>
        <w:pStyle w:val="2para"/>
        <w:numPr>
          <w:ilvl w:val="0"/>
          <w:numId w:val="0"/>
        </w:numPr>
        <w:jc w:val="center"/>
      </w:pPr>
    </w:p>
    <w:p w14:paraId="26172D80" w14:textId="2756628D" w:rsidR="001E03B5" w:rsidRDefault="00DD1965" w:rsidP="00B45B7D">
      <w:pPr>
        <w:pStyle w:val="2para"/>
        <w:numPr>
          <w:ilvl w:val="0"/>
          <w:numId w:val="0"/>
        </w:numPr>
        <w:jc w:val="center"/>
      </w:pPr>
      <w:r>
        <w:object w:dxaOrig="1499" w:dyaOrig="981" w14:anchorId="67CCF394">
          <v:shape id="_x0000_i1027" type="#_x0000_t75" style="width:75pt;height:48.85pt" o:ole="">
            <v:imagedata r:id="rId20" o:title=""/>
          </v:shape>
          <o:OLEObject Type="Embed" ProgID="Acrobat.Document.DC" ShapeID="_x0000_i1027" DrawAspect="Icon" ObjectID="_1802704260" r:id="rId21"/>
        </w:object>
      </w:r>
    </w:p>
    <w:sectPr w:rsidR="001E03B5" w:rsidSect="00B663C2">
      <w:headerReference w:type="even" r:id="rId22"/>
      <w:headerReference w:type="default" r:id="rId23"/>
      <w:headerReference w:type="first" r:id="rId24"/>
      <w:footerReference w:type="first" r:id="rId25"/>
      <w:pgSz w:w="12242" w:h="15842" w:code="1"/>
      <w:pgMar w:top="2552"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11083" w14:textId="77777777" w:rsidR="00B5325F" w:rsidRDefault="00B5325F">
      <w:r>
        <w:separator/>
      </w:r>
    </w:p>
  </w:endnote>
  <w:endnote w:type="continuationSeparator" w:id="0">
    <w:p w14:paraId="7EA7B3F2" w14:textId="77777777" w:rsidR="00B5325F" w:rsidRDefault="00B53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325D" w14:textId="77777777" w:rsidR="00770160" w:rsidRPr="00CD0597" w:rsidRDefault="00770160">
    <w:pPr>
      <w:pStyle w:val="Footer"/>
      <w:rPr>
        <w:sz w:val="18"/>
        <w:lang w:val="fr-CA"/>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C3FFC">
      <w:rPr>
        <w:noProof/>
        <w:sz w:val="18"/>
        <w:lang w:val="fr-FR"/>
      </w:rPr>
      <w:t>1</w:t>
    </w:r>
    <w:r>
      <w:rPr>
        <w:sz w:val="18"/>
        <w:lang w:val="en-US"/>
      </w:rPr>
      <w:fldChar w:fldCharType="end"/>
    </w:r>
    <w:r w:rsidRPr="00CD0597">
      <w:rPr>
        <w:sz w:val="18"/>
        <w:lang w:val="fr-CA"/>
      </w:rPr>
      <w:t xml:space="preserve"> pages)</w:t>
    </w:r>
  </w:p>
  <w:p w14:paraId="14EE04C9" w14:textId="2EB7AD9A" w:rsidR="00770160" w:rsidRPr="00E8339F" w:rsidRDefault="00770160">
    <w:pPr>
      <w:pStyle w:val="Footer"/>
      <w:rPr>
        <w:lang w:val="en-CA"/>
      </w:rPr>
    </w:pPr>
    <w:r>
      <w:rPr>
        <w:sz w:val="18"/>
        <w:lang w:val="en-US"/>
      </w:rPr>
      <w:fldChar w:fldCharType="begin"/>
    </w:r>
    <w:r w:rsidRPr="00E8339F">
      <w:rPr>
        <w:sz w:val="18"/>
        <w:lang w:val="en-CA"/>
      </w:rPr>
      <w:instrText xml:space="preserve"> FILENAME  \* MERGEFORMAT </w:instrText>
    </w:r>
    <w:r>
      <w:rPr>
        <w:sz w:val="18"/>
        <w:lang w:val="en-US"/>
      </w:rPr>
      <w:fldChar w:fldCharType="separate"/>
    </w:r>
    <w:r w:rsidR="00E8339F" w:rsidRPr="00E8339F">
      <w:rPr>
        <w:noProof/>
        <w:sz w:val="18"/>
        <w:lang w:val="en-CA"/>
      </w:rPr>
      <w:t>FSMP-WG20-WP05_SB-VHF-Spectrum-Impact.docx</w:t>
    </w:r>
    <w:r>
      <w:rPr>
        <w:sz w:val="18"/>
        <w:lang w:val="en-US"/>
      </w:rPr>
      <w:fldChar w:fldCharType="end"/>
    </w:r>
    <w:r w:rsidR="00497727" w:rsidRPr="00E8339F">
      <w:rPr>
        <w:sz w:val="18"/>
        <w:lang w:val="en-CA"/>
      </w:rPr>
      <w:t>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415FB" w14:textId="77777777" w:rsidR="00B5325F" w:rsidRDefault="00B5325F">
      <w:r>
        <w:separator/>
      </w:r>
    </w:p>
  </w:footnote>
  <w:footnote w:type="continuationSeparator" w:id="0">
    <w:p w14:paraId="2641263A" w14:textId="77777777" w:rsidR="00B5325F" w:rsidRDefault="00B53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70BC" w14:textId="45DBC40A" w:rsidR="00770160" w:rsidRDefault="005A253F" w:rsidP="00B553CA">
    <w:pPr>
      <w:tabs>
        <w:tab w:val="center" w:pos="4876"/>
      </w:tabs>
      <w:spacing w:after="600"/>
    </w:pPr>
    <w:r w:rsidRPr="005A253F">
      <w:t>FSMP-WG/20-WP/05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441D" w14:textId="61E03738"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5A253F" w:rsidRPr="005A253F">
      <w:t>FSMP-WG/20-WP/05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173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036"/>
      <w:gridCol w:w="3754"/>
      <w:gridCol w:w="3895"/>
      <w:gridCol w:w="3766"/>
    </w:tblGrid>
    <w:tr w:rsidR="008512C6" w14:paraId="7F742A52" w14:textId="77777777" w:rsidTr="003E3931">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20E38039" w14:textId="413DC458" w:rsidR="008512C6" w:rsidRDefault="003E3931" w:rsidP="008512C6">
          <w:pPr>
            <w:autoSpaceDE w:val="0"/>
            <w:autoSpaceDN w:val="0"/>
            <w:adjustRightInd w:val="0"/>
            <w:rPr>
              <w:szCs w:val="24"/>
            </w:rPr>
          </w:pPr>
          <w:bookmarkStart w:id="2" w:name="logo"/>
          <w:bookmarkStart w:id="3" w:name="_Hlk142490824"/>
          <w:r>
            <w:rPr>
              <w:noProof/>
              <w:lang w:eastAsia="zh-CN"/>
            </w:rPr>
            <w:drawing>
              <wp:inline distT="0" distB="0" distL="0" distR="0" wp14:anchorId="79A22FDE" wp14:editId="5E1357ED">
                <wp:extent cx="1093470" cy="862330"/>
                <wp:effectExtent l="0" t="0" r="0" b="0"/>
                <wp:docPr id="146483583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70" cy="862330"/>
                        </a:xfrm>
                        <a:prstGeom prst="rect">
                          <a:avLst/>
                        </a:prstGeom>
                        <a:noFill/>
                        <a:ln>
                          <a:noFill/>
                        </a:ln>
                      </pic:spPr>
                    </pic:pic>
                  </a:graphicData>
                </a:graphic>
              </wp:inline>
            </w:drawing>
          </w:r>
          <w:bookmarkEnd w:id="2"/>
        </w:p>
      </w:tc>
      <w:tc>
        <w:tcPr>
          <w:tcW w:w="4036" w:type="dxa"/>
          <w:tcBorders>
            <w:top w:val="single" w:sz="2" w:space="0" w:color="FFFFFF"/>
            <w:left w:val="single" w:sz="2" w:space="0" w:color="FFFFFF"/>
            <w:bottom w:val="single" w:sz="2" w:space="0" w:color="FFFFFF"/>
            <w:right w:val="single" w:sz="2" w:space="0" w:color="FFFFFF"/>
          </w:tcBorders>
          <w:shd w:val="clear" w:color="auto" w:fill="FFFFFF"/>
        </w:tcPr>
        <w:p w14:paraId="25ED4DBE" w14:textId="77777777" w:rsidR="008512C6" w:rsidRPr="00066AB7" w:rsidRDefault="008512C6" w:rsidP="008512C6">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33A11521" wp14:editId="45B464F6">
                    <wp:simplePos x="0" y="0"/>
                    <wp:positionH relativeFrom="column">
                      <wp:posOffset>12700</wp:posOffset>
                    </wp:positionH>
                    <wp:positionV relativeFrom="paragraph">
                      <wp:posOffset>342900</wp:posOffset>
                    </wp:positionV>
                    <wp:extent cx="2400300" cy="0"/>
                    <wp:effectExtent l="0" t="0" r="0" b="0"/>
                    <wp:wrapNone/>
                    <wp:docPr id="12419045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8758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BCC3683" w14:textId="70487B6E" w:rsidR="008512C6" w:rsidRPr="00066AB7" w:rsidRDefault="008512C6" w:rsidP="003E3931">
          <w:pPr>
            <w:jc w:val="left"/>
            <w:rPr>
              <w:rFonts w:ascii="Arial" w:hAnsi="Arial" w:cs="Arial"/>
              <w:szCs w:val="22"/>
            </w:rPr>
          </w:pPr>
          <w:r w:rsidRPr="00066AB7">
            <w:rPr>
              <w:rFonts w:ascii="Arial" w:hAnsi="Arial" w:cs="Arial"/>
              <w:szCs w:val="22"/>
            </w:rPr>
            <w:t xml:space="preserve">International Civil Aviation </w:t>
          </w:r>
          <w:r w:rsidR="003E3931">
            <w:rPr>
              <w:rFonts w:ascii="Arial" w:hAnsi="Arial" w:cs="Arial"/>
              <w:szCs w:val="22"/>
            </w:rPr>
            <w:t>O</w:t>
          </w:r>
          <w:r w:rsidRPr="00066AB7">
            <w:rPr>
              <w:rFonts w:ascii="Arial" w:hAnsi="Arial" w:cs="Arial"/>
              <w:szCs w:val="22"/>
            </w:rPr>
            <w:t>rganization</w:t>
          </w:r>
        </w:p>
        <w:p w14:paraId="0453F3D2" w14:textId="77777777" w:rsidR="008512C6" w:rsidRPr="00066AB7" w:rsidRDefault="008512C6" w:rsidP="008512C6">
          <w:pPr>
            <w:rPr>
              <w:rFonts w:ascii="Arial" w:hAnsi="Arial" w:cs="Arial"/>
              <w:szCs w:val="22"/>
            </w:rPr>
          </w:pPr>
        </w:p>
        <w:p w14:paraId="5EC607A2" w14:textId="23BD638E" w:rsidR="008512C6" w:rsidRDefault="008512C6" w:rsidP="008512C6">
          <w:pPr>
            <w:rPr>
              <w:rFonts w:ascii="Arial" w:hAnsi="Arial" w:cs="Arial"/>
              <w:szCs w:val="22"/>
            </w:rPr>
          </w:pPr>
          <w:r w:rsidRPr="00066AB7">
            <w:rPr>
              <w:rFonts w:ascii="Arial" w:hAnsi="Arial" w:cs="Arial"/>
              <w:b/>
              <w:sz w:val="24"/>
              <w:szCs w:val="22"/>
            </w:rPr>
            <w:t>WORKING PAPER</w:t>
          </w:r>
        </w:p>
      </w:tc>
      <w:tc>
        <w:tcPr>
          <w:tcW w:w="3754" w:type="dxa"/>
          <w:tcBorders>
            <w:top w:val="single" w:sz="2" w:space="0" w:color="FFFFFF"/>
            <w:left w:val="single" w:sz="2" w:space="0" w:color="FFFFFF"/>
            <w:bottom w:val="single" w:sz="2" w:space="0" w:color="FFFFFF"/>
            <w:right w:val="single" w:sz="2" w:space="0" w:color="FFFFFF"/>
          </w:tcBorders>
          <w:shd w:val="clear" w:color="auto" w:fill="FFFFFF"/>
        </w:tcPr>
        <w:tbl>
          <w:tblPr>
            <w:tblW w:w="2281"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1"/>
          </w:tblGrid>
          <w:tr w:rsidR="008512C6" w14:paraId="70281673" w14:textId="77777777" w:rsidTr="00174B39">
            <w:trPr>
              <w:trHeight w:val="419"/>
              <w:jc w:val="right"/>
            </w:trPr>
            <w:tc>
              <w:tcPr>
                <w:tcW w:w="0" w:type="auto"/>
              </w:tcPr>
              <w:p w14:paraId="34920045" w14:textId="46A3B650" w:rsidR="008512C6" w:rsidRPr="00066AB7" w:rsidRDefault="008512C6" w:rsidP="001E03B5">
                <w:pPr>
                  <w:framePr w:hSpace="180" w:wrap="around" w:vAnchor="text" w:hAnchor="text" w:y="1"/>
                  <w:suppressOverlap/>
                  <w:rPr>
                    <w:szCs w:val="22"/>
                  </w:rPr>
                </w:pPr>
                <w:bookmarkStart w:id="4" w:name="_Hlk190709835"/>
                <w:r>
                  <w:rPr>
                    <w:szCs w:val="22"/>
                  </w:rPr>
                  <w:t>FSMP-WG</w:t>
                </w:r>
                <w:r w:rsidRPr="00066AB7">
                  <w:rPr>
                    <w:szCs w:val="22"/>
                  </w:rPr>
                  <w:t>/</w:t>
                </w:r>
                <w:r>
                  <w:rPr>
                    <w:szCs w:val="22"/>
                  </w:rPr>
                  <w:t>20-</w:t>
                </w:r>
                <w:r w:rsidRPr="00066AB7">
                  <w:rPr>
                    <w:szCs w:val="22"/>
                  </w:rPr>
                  <w:t>WP/</w:t>
                </w:r>
                <w:r w:rsidR="00E8339F">
                  <w:rPr>
                    <w:szCs w:val="22"/>
                  </w:rPr>
                  <w:t>05</w:t>
                </w:r>
              </w:p>
              <w:bookmarkEnd w:id="4"/>
              <w:p w14:paraId="602114CE" w14:textId="77777777" w:rsidR="008512C6" w:rsidRPr="00066AB7" w:rsidRDefault="008512C6" w:rsidP="001E03B5">
                <w:pPr>
                  <w:framePr w:hSpace="180" w:wrap="around" w:vAnchor="text" w:hAnchor="text" w:y="1"/>
                  <w:suppressOverlap/>
                  <w:rPr>
                    <w:b/>
                  </w:rPr>
                </w:pPr>
                <w:r>
                  <w:rPr>
                    <w:sz w:val="18"/>
                    <w:szCs w:val="18"/>
                  </w:rPr>
                  <w:t>2025-02-26</w:t>
                </w:r>
                <w:r w:rsidRPr="00066AB7">
                  <w:rPr>
                    <w:b/>
                    <w:sz w:val="18"/>
                    <w:szCs w:val="18"/>
                  </w:rPr>
                  <w:t xml:space="preserve"> </w:t>
                </w:r>
              </w:p>
            </w:tc>
          </w:tr>
          <w:tr w:rsidR="008512C6" w14:paraId="7F76F43E" w14:textId="77777777" w:rsidTr="00174B39">
            <w:trPr>
              <w:trHeight w:val="220"/>
              <w:jc w:val="right"/>
            </w:trPr>
            <w:tc>
              <w:tcPr>
                <w:tcW w:w="0" w:type="auto"/>
              </w:tcPr>
              <w:p w14:paraId="4CF21E08" w14:textId="77777777" w:rsidR="008512C6" w:rsidRPr="00066AB7" w:rsidRDefault="008512C6" w:rsidP="001E03B5">
                <w:pPr>
                  <w:framePr w:hSpace="180" w:wrap="around" w:vAnchor="text" w:hAnchor="text" w:y="1"/>
                  <w:suppressOverlap/>
                  <w:rPr>
                    <w:szCs w:val="22"/>
                  </w:rPr>
                </w:pPr>
              </w:p>
            </w:tc>
          </w:tr>
        </w:tbl>
        <w:p w14:paraId="6E1FACE3" w14:textId="77777777" w:rsidR="008512C6" w:rsidRDefault="008512C6" w:rsidP="008512C6">
          <w:pPr>
            <w:rPr>
              <w:rFonts w:ascii="Arial" w:hAnsi="Arial" w:cs="Arial"/>
              <w:szCs w:val="22"/>
            </w:rPr>
          </w:pPr>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2BAC048" w14:textId="68A6B6F7" w:rsidR="008512C6" w:rsidRDefault="008512C6" w:rsidP="008512C6">
          <w:pPr>
            <w:rPr>
              <w:rFonts w:ascii="Arial" w:hAnsi="Arial" w:cs="Arial"/>
              <w:szCs w:val="22"/>
            </w:rPr>
          </w:pPr>
        </w:p>
        <w:p w14:paraId="616F5F20" w14:textId="77777777" w:rsidR="008512C6" w:rsidRDefault="008512C6" w:rsidP="008512C6">
          <w:pPr>
            <w:autoSpaceDE w:val="0"/>
            <w:autoSpaceDN w:val="0"/>
            <w:adjustRightInd w:val="0"/>
            <w:rPr>
              <w:rFonts w:ascii="Arial" w:hAnsi="Arial" w:cs="Arial"/>
              <w:b/>
              <w:sz w:val="24"/>
              <w:szCs w:val="22"/>
            </w:rPr>
          </w:pP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09"/>
          </w:tblGrid>
          <w:tr w:rsidR="008512C6" w14:paraId="4C460A66"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8A127B8" w14:textId="77777777" w:rsidR="008512C6" w:rsidRDefault="008512C6" w:rsidP="001E03B5">
                <w:pPr>
                  <w:framePr w:hSpace="180" w:wrap="around" w:vAnchor="text" w:hAnchor="text" w:y="1"/>
                  <w:suppressOverlap/>
                  <w:jc w:val="left"/>
                  <w:rPr>
                    <w:szCs w:val="22"/>
                  </w:rPr>
                </w:pPr>
                <w:bookmarkStart w:id="5" w:name="document_no"/>
                <w:bookmarkStart w:id="6" w:name="_Hlk142490720"/>
                <w:r>
                  <w:rPr>
                    <w:szCs w:val="22"/>
                  </w:rPr>
                  <w:t>FSMP-WG/20/</w:t>
                </w:r>
                <w:bookmarkEnd w:id="5"/>
                <w:r>
                  <w:rPr>
                    <w:szCs w:val="22"/>
                  </w:rPr>
                  <w:t>WPXX</w:t>
                </w:r>
              </w:p>
              <w:p w14:paraId="297D7033" w14:textId="77777777" w:rsidR="008512C6" w:rsidRDefault="008512C6" w:rsidP="001E03B5">
                <w:pPr>
                  <w:framePr w:hSpace="180" w:wrap="around" w:vAnchor="text" w:hAnchor="text" w:y="1"/>
                  <w:autoSpaceDE w:val="0"/>
                  <w:autoSpaceDN w:val="0"/>
                  <w:adjustRightInd w:val="0"/>
                  <w:suppressOverlap/>
                  <w:jc w:val="left"/>
                  <w:rPr>
                    <w:b/>
                    <w:szCs w:val="24"/>
                  </w:rPr>
                </w:pPr>
                <w:bookmarkStart w:id="7" w:name="related_to"/>
                <w:bookmarkStart w:id="8" w:name="revision_date"/>
                <w:bookmarkStart w:id="9" w:name="revision_no"/>
                <w:bookmarkStart w:id="10" w:name="addendum_corrigendum_appendix"/>
                <w:bookmarkStart w:id="11" w:name="restricted"/>
                <w:bookmarkStart w:id="12" w:name="date"/>
                <w:bookmarkEnd w:id="7"/>
                <w:bookmarkEnd w:id="8"/>
                <w:bookmarkEnd w:id="9"/>
                <w:bookmarkEnd w:id="10"/>
                <w:bookmarkEnd w:id="11"/>
                <w:r>
                  <w:rPr>
                    <w:sz w:val="18"/>
                    <w:szCs w:val="18"/>
                  </w:rPr>
                  <w:t>2025-02</w:t>
                </w:r>
                <w:bookmarkStart w:id="13" w:name="info_paper"/>
                <w:bookmarkEnd w:id="12"/>
                <w:bookmarkEnd w:id="13"/>
                <w:r>
                  <w:rPr>
                    <w:sz w:val="18"/>
                    <w:szCs w:val="18"/>
                  </w:rPr>
                  <w:t>-26</w:t>
                </w:r>
              </w:p>
            </w:tc>
          </w:tr>
          <w:tr w:rsidR="008512C6" w14:paraId="3345CF29"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609DBE6" w14:textId="77777777" w:rsidR="008512C6" w:rsidRDefault="008512C6" w:rsidP="001E03B5">
                <w:pPr>
                  <w:framePr w:hSpace="180" w:wrap="around" w:vAnchor="text" w:hAnchor="text" w:y="1"/>
                  <w:autoSpaceDE w:val="0"/>
                  <w:autoSpaceDN w:val="0"/>
                  <w:adjustRightInd w:val="0"/>
                  <w:suppressOverlap/>
                  <w:jc w:val="left"/>
                  <w:rPr>
                    <w:szCs w:val="22"/>
                  </w:rPr>
                </w:pPr>
              </w:p>
            </w:tc>
          </w:tr>
          <w:bookmarkEnd w:id="6"/>
        </w:tbl>
        <w:p w14:paraId="1829321C" w14:textId="77777777" w:rsidR="008512C6" w:rsidRDefault="008512C6" w:rsidP="008512C6">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3"/>
  </w:tbl>
  <w:p w14:paraId="4F08258D" w14:textId="77777777" w:rsidR="00B663C2" w:rsidRDefault="00B663C2" w:rsidP="003E3931">
    <w:pPr>
      <w:pStyle w:val="3para"/>
      <w:numPr>
        <w:ilvl w:val="0"/>
        <w:numId w:val="0"/>
      </w:numPr>
      <w:tabs>
        <w:tab w:val="left" w:pos="3097"/>
        <w:tab w:val="left" w:pos="6480"/>
      </w:tabs>
      <w:spacing w:after="0"/>
      <w:outlineLvl w:val="9"/>
      <w:rPr>
        <w:b/>
      </w:rPr>
    </w:pPr>
  </w:p>
  <w:p w14:paraId="7C9F36FA" w14:textId="77777777" w:rsidR="00B663C2" w:rsidRDefault="00B663C2" w:rsidP="003E3931">
    <w:pPr>
      <w:pStyle w:val="3para"/>
      <w:numPr>
        <w:ilvl w:val="0"/>
        <w:numId w:val="0"/>
      </w:numPr>
      <w:tabs>
        <w:tab w:val="left" w:pos="3097"/>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A7F6484"/>
    <w:multiLevelType w:val="hybridMultilevel"/>
    <w:tmpl w:val="DAA469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09615F"/>
    <w:multiLevelType w:val="hybridMultilevel"/>
    <w:tmpl w:val="7DD84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866"/>
        </w:tabs>
        <w:ind w:left="1866"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2053114847">
    <w:abstractNumId w:val="5"/>
  </w:num>
  <w:num w:numId="2" w16cid:durableId="405494992">
    <w:abstractNumId w:val="6"/>
  </w:num>
  <w:num w:numId="3" w16cid:durableId="1610815026">
    <w:abstractNumId w:val="2"/>
  </w:num>
  <w:num w:numId="4" w16cid:durableId="738988347">
    <w:abstractNumId w:val="0"/>
  </w:num>
  <w:num w:numId="5" w16cid:durableId="10548138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901406">
    <w:abstractNumId w:val="3"/>
  </w:num>
  <w:num w:numId="7" w16cid:durableId="1685130312">
    <w:abstractNumId w:val="5"/>
  </w:num>
  <w:num w:numId="8" w16cid:durableId="1382244686">
    <w:abstractNumId w:val="5"/>
  </w:num>
  <w:num w:numId="9" w16cid:durableId="760292781">
    <w:abstractNumId w:val="4"/>
  </w:num>
  <w:num w:numId="10" w16cid:durableId="63009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fr-BE" w:vendorID="64" w:dllVersion="4096" w:nlCheck="1" w:checkStyle="0"/>
  <w:activeWritingStyle w:appName="MSWord" w:lang="fr-BE"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en-AU"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1BEB"/>
    <w:rsid w:val="00015E5D"/>
    <w:rsid w:val="000165A8"/>
    <w:rsid w:val="00017FFB"/>
    <w:rsid w:val="0002611D"/>
    <w:rsid w:val="00044D84"/>
    <w:rsid w:val="000465CA"/>
    <w:rsid w:val="0005227D"/>
    <w:rsid w:val="000552BC"/>
    <w:rsid w:val="00057B11"/>
    <w:rsid w:val="00067667"/>
    <w:rsid w:val="00076F7E"/>
    <w:rsid w:val="00085CA8"/>
    <w:rsid w:val="00092A0D"/>
    <w:rsid w:val="000C0578"/>
    <w:rsid w:val="000D1F3A"/>
    <w:rsid w:val="000D4DB1"/>
    <w:rsid w:val="000F5246"/>
    <w:rsid w:val="001034A4"/>
    <w:rsid w:val="00104475"/>
    <w:rsid w:val="00107E13"/>
    <w:rsid w:val="00110899"/>
    <w:rsid w:val="00113173"/>
    <w:rsid w:val="001140AF"/>
    <w:rsid w:val="0012625A"/>
    <w:rsid w:val="001270B3"/>
    <w:rsid w:val="001311FC"/>
    <w:rsid w:val="001352AD"/>
    <w:rsid w:val="00136BBC"/>
    <w:rsid w:val="001420DC"/>
    <w:rsid w:val="001449D6"/>
    <w:rsid w:val="001502EF"/>
    <w:rsid w:val="00155A53"/>
    <w:rsid w:val="00161BCC"/>
    <w:rsid w:val="001641B1"/>
    <w:rsid w:val="00165A30"/>
    <w:rsid w:val="00170BDB"/>
    <w:rsid w:val="001736F2"/>
    <w:rsid w:val="001742AF"/>
    <w:rsid w:val="00174DEE"/>
    <w:rsid w:val="0018142B"/>
    <w:rsid w:val="00194465"/>
    <w:rsid w:val="001948C0"/>
    <w:rsid w:val="001A2673"/>
    <w:rsid w:val="001A333B"/>
    <w:rsid w:val="001A64D4"/>
    <w:rsid w:val="001B09C3"/>
    <w:rsid w:val="001C4331"/>
    <w:rsid w:val="001C7CF1"/>
    <w:rsid w:val="001E03B5"/>
    <w:rsid w:val="001E0C94"/>
    <w:rsid w:val="001E73C5"/>
    <w:rsid w:val="001F1544"/>
    <w:rsid w:val="002129CE"/>
    <w:rsid w:val="00221C4A"/>
    <w:rsid w:val="00235981"/>
    <w:rsid w:val="00261B6E"/>
    <w:rsid w:val="00274EDA"/>
    <w:rsid w:val="0028026A"/>
    <w:rsid w:val="00284440"/>
    <w:rsid w:val="002B0580"/>
    <w:rsid w:val="002C0977"/>
    <w:rsid w:val="002C487A"/>
    <w:rsid w:val="002C6751"/>
    <w:rsid w:val="002F1A4A"/>
    <w:rsid w:val="002F3D36"/>
    <w:rsid w:val="002F58D5"/>
    <w:rsid w:val="002F7D21"/>
    <w:rsid w:val="00302CB0"/>
    <w:rsid w:val="0032436E"/>
    <w:rsid w:val="003249D6"/>
    <w:rsid w:val="003261F2"/>
    <w:rsid w:val="003264A3"/>
    <w:rsid w:val="0033510D"/>
    <w:rsid w:val="00341F16"/>
    <w:rsid w:val="00342C74"/>
    <w:rsid w:val="003510DF"/>
    <w:rsid w:val="00357676"/>
    <w:rsid w:val="00361F30"/>
    <w:rsid w:val="0036359A"/>
    <w:rsid w:val="00365BFB"/>
    <w:rsid w:val="00372808"/>
    <w:rsid w:val="00372F84"/>
    <w:rsid w:val="003755B4"/>
    <w:rsid w:val="00375C91"/>
    <w:rsid w:val="0038208B"/>
    <w:rsid w:val="00383609"/>
    <w:rsid w:val="003861F1"/>
    <w:rsid w:val="00397184"/>
    <w:rsid w:val="003B3FF8"/>
    <w:rsid w:val="003C5961"/>
    <w:rsid w:val="003D4108"/>
    <w:rsid w:val="003D7FD8"/>
    <w:rsid w:val="003E3931"/>
    <w:rsid w:val="003E3DB8"/>
    <w:rsid w:val="003E509D"/>
    <w:rsid w:val="003E6443"/>
    <w:rsid w:val="003E6C16"/>
    <w:rsid w:val="003F23BB"/>
    <w:rsid w:val="00401D91"/>
    <w:rsid w:val="004034B1"/>
    <w:rsid w:val="00415E59"/>
    <w:rsid w:val="004221A4"/>
    <w:rsid w:val="00425DD1"/>
    <w:rsid w:val="00427348"/>
    <w:rsid w:val="004312C0"/>
    <w:rsid w:val="004327BE"/>
    <w:rsid w:val="00432E49"/>
    <w:rsid w:val="00433B4A"/>
    <w:rsid w:val="00442B63"/>
    <w:rsid w:val="00443081"/>
    <w:rsid w:val="00444F51"/>
    <w:rsid w:val="00447DFE"/>
    <w:rsid w:val="00461EDB"/>
    <w:rsid w:val="004650D9"/>
    <w:rsid w:val="00465C2F"/>
    <w:rsid w:val="0046787A"/>
    <w:rsid w:val="004748E3"/>
    <w:rsid w:val="00475FEE"/>
    <w:rsid w:val="00482456"/>
    <w:rsid w:val="0048360A"/>
    <w:rsid w:val="00485BD8"/>
    <w:rsid w:val="00486BE0"/>
    <w:rsid w:val="00490274"/>
    <w:rsid w:val="004961DD"/>
    <w:rsid w:val="00497727"/>
    <w:rsid w:val="004A70A0"/>
    <w:rsid w:val="004A78B3"/>
    <w:rsid w:val="004B02DA"/>
    <w:rsid w:val="004B65BF"/>
    <w:rsid w:val="004D46B0"/>
    <w:rsid w:val="004E0F4A"/>
    <w:rsid w:val="004F7EC7"/>
    <w:rsid w:val="005042DD"/>
    <w:rsid w:val="00512A63"/>
    <w:rsid w:val="00512F7C"/>
    <w:rsid w:val="0052303B"/>
    <w:rsid w:val="005251FB"/>
    <w:rsid w:val="005437E1"/>
    <w:rsid w:val="005544BF"/>
    <w:rsid w:val="0055519D"/>
    <w:rsid w:val="00556C93"/>
    <w:rsid w:val="0056087A"/>
    <w:rsid w:val="00560CB7"/>
    <w:rsid w:val="0056255D"/>
    <w:rsid w:val="0057717E"/>
    <w:rsid w:val="00577D84"/>
    <w:rsid w:val="00582AC1"/>
    <w:rsid w:val="005A13D7"/>
    <w:rsid w:val="005A1EE7"/>
    <w:rsid w:val="005A253F"/>
    <w:rsid w:val="005A71BE"/>
    <w:rsid w:val="005B205C"/>
    <w:rsid w:val="005B6565"/>
    <w:rsid w:val="005B68BB"/>
    <w:rsid w:val="005C2A6C"/>
    <w:rsid w:val="005D6A76"/>
    <w:rsid w:val="005E2801"/>
    <w:rsid w:val="005F5D39"/>
    <w:rsid w:val="00600706"/>
    <w:rsid w:val="00607423"/>
    <w:rsid w:val="006146F0"/>
    <w:rsid w:val="00617702"/>
    <w:rsid w:val="006225C8"/>
    <w:rsid w:val="0064564F"/>
    <w:rsid w:val="00646985"/>
    <w:rsid w:val="00656CE7"/>
    <w:rsid w:val="00656EEA"/>
    <w:rsid w:val="00666508"/>
    <w:rsid w:val="00673FF6"/>
    <w:rsid w:val="00674A29"/>
    <w:rsid w:val="006849EE"/>
    <w:rsid w:val="006855D6"/>
    <w:rsid w:val="006864FC"/>
    <w:rsid w:val="006948CE"/>
    <w:rsid w:val="006A0F3C"/>
    <w:rsid w:val="006A12FC"/>
    <w:rsid w:val="006B0E11"/>
    <w:rsid w:val="006B139E"/>
    <w:rsid w:val="006B21BB"/>
    <w:rsid w:val="006B78F6"/>
    <w:rsid w:val="006C6720"/>
    <w:rsid w:val="006D28BC"/>
    <w:rsid w:val="006D3702"/>
    <w:rsid w:val="006E3F5F"/>
    <w:rsid w:val="006E4AB9"/>
    <w:rsid w:val="006E6971"/>
    <w:rsid w:val="006E7246"/>
    <w:rsid w:val="007068BB"/>
    <w:rsid w:val="00707ADA"/>
    <w:rsid w:val="0071173B"/>
    <w:rsid w:val="0071789F"/>
    <w:rsid w:val="00731F30"/>
    <w:rsid w:val="00740F1B"/>
    <w:rsid w:val="00752045"/>
    <w:rsid w:val="00756ADC"/>
    <w:rsid w:val="00756CD1"/>
    <w:rsid w:val="007647B6"/>
    <w:rsid w:val="00766B83"/>
    <w:rsid w:val="00770160"/>
    <w:rsid w:val="00781EC7"/>
    <w:rsid w:val="007923DA"/>
    <w:rsid w:val="007A5C41"/>
    <w:rsid w:val="007B242F"/>
    <w:rsid w:val="007B7DD9"/>
    <w:rsid w:val="007C1846"/>
    <w:rsid w:val="007C4AB4"/>
    <w:rsid w:val="007C62D1"/>
    <w:rsid w:val="007D0451"/>
    <w:rsid w:val="007D4DA1"/>
    <w:rsid w:val="007D6A28"/>
    <w:rsid w:val="007E38C7"/>
    <w:rsid w:val="007E54C2"/>
    <w:rsid w:val="007E5CE5"/>
    <w:rsid w:val="007E67C6"/>
    <w:rsid w:val="007F547C"/>
    <w:rsid w:val="007F6D9C"/>
    <w:rsid w:val="00800E4B"/>
    <w:rsid w:val="00801405"/>
    <w:rsid w:val="00801D3B"/>
    <w:rsid w:val="00804212"/>
    <w:rsid w:val="00804737"/>
    <w:rsid w:val="00810C0A"/>
    <w:rsid w:val="008133F5"/>
    <w:rsid w:val="0081622E"/>
    <w:rsid w:val="00817D01"/>
    <w:rsid w:val="00821A39"/>
    <w:rsid w:val="00831B14"/>
    <w:rsid w:val="0083596C"/>
    <w:rsid w:val="00836DFE"/>
    <w:rsid w:val="008512C6"/>
    <w:rsid w:val="00851C7F"/>
    <w:rsid w:val="00853C73"/>
    <w:rsid w:val="00857A12"/>
    <w:rsid w:val="0086285C"/>
    <w:rsid w:val="00865FF9"/>
    <w:rsid w:val="00884666"/>
    <w:rsid w:val="00884DFC"/>
    <w:rsid w:val="00890C01"/>
    <w:rsid w:val="008930D8"/>
    <w:rsid w:val="008A05CA"/>
    <w:rsid w:val="008A1D5B"/>
    <w:rsid w:val="008A24F3"/>
    <w:rsid w:val="008A4BC7"/>
    <w:rsid w:val="008B54F7"/>
    <w:rsid w:val="008B7623"/>
    <w:rsid w:val="008C3FFC"/>
    <w:rsid w:val="008C4A2B"/>
    <w:rsid w:val="008D196C"/>
    <w:rsid w:val="008D3496"/>
    <w:rsid w:val="008E0AE1"/>
    <w:rsid w:val="008F3E2B"/>
    <w:rsid w:val="008F7C55"/>
    <w:rsid w:val="009003B3"/>
    <w:rsid w:val="00907383"/>
    <w:rsid w:val="00915790"/>
    <w:rsid w:val="009179FE"/>
    <w:rsid w:val="00917E36"/>
    <w:rsid w:val="00923080"/>
    <w:rsid w:val="00927DDC"/>
    <w:rsid w:val="00930FD5"/>
    <w:rsid w:val="00935040"/>
    <w:rsid w:val="009362DE"/>
    <w:rsid w:val="00947629"/>
    <w:rsid w:val="0095265D"/>
    <w:rsid w:val="00953145"/>
    <w:rsid w:val="009570F8"/>
    <w:rsid w:val="0095751F"/>
    <w:rsid w:val="00964719"/>
    <w:rsid w:val="00964985"/>
    <w:rsid w:val="00966223"/>
    <w:rsid w:val="00966224"/>
    <w:rsid w:val="00970ABA"/>
    <w:rsid w:val="009713A2"/>
    <w:rsid w:val="0097225A"/>
    <w:rsid w:val="0098006D"/>
    <w:rsid w:val="009874DE"/>
    <w:rsid w:val="009A0291"/>
    <w:rsid w:val="009A056D"/>
    <w:rsid w:val="009A549E"/>
    <w:rsid w:val="009A5EA4"/>
    <w:rsid w:val="009B5221"/>
    <w:rsid w:val="009C0D35"/>
    <w:rsid w:val="009C4637"/>
    <w:rsid w:val="009C53FD"/>
    <w:rsid w:val="009C5F74"/>
    <w:rsid w:val="009C63AD"/>
    <w:rsid w:val="009D1063"/>
    <w:rsid w:val="009D57CC"/>
    <w:rsid w:val="009D5F66"/>
    <w:rsid w:val="009D6311"/>
    <w:rsid w:val="009E3B0D"/>
    <w:rsid w:val="009E6EA6"/>
    <w:rsid w:val="009F2F01"/>
    <w:rsid w:val="009F63C6"/>
    <w:rsid w:val="00A1118D"/>
    <w:rsid w:val="00A11FDD"/>
    <w:rsid w:val="00A12CBA"/>
    <w:rsid w:val="00A148BD"/>
    <w:rsid w:val="00A26F34"/>
    <w:rsid w:val="00A32870"/>
    <w:rsid w:val="00A36064"/>
    <w:rsid w:val="00A4595B"/>
    <w:rsid w:val="00A459F8"/>
    <w:rsid w:val="00A46538"/>
    <w:rsid w:val="00A52BC0"/>
    <w:rsid w:val="00A540FE"/>
    <w:rsid w:val="00A56178"/>
    <w:rsid w:val="00A57FDA"/>
    <w:rsid w:val="00A60429"/>
    <w:rsid w:val="00A73480"/>
    <w:rsid w:val="00A74D5A"/>
    <w:rsid w:val="00A83FAC"/>
    <w:rsid w:val="00A87868"/>
    <w:rsid w:val="00A9059B"/>
    <w:rsid w:val="00AA259A"/>
    <w:rsid w:val="00AA317A"/>
    <w:rsid w:val="00AB1FAC"/>
    <w:rsid w:val="00AB7E94"/>
    <w:rsid w:val="00AC2A74"/>
    <w:rsid w:val="00AC4CC8"/>
    <w:rsid w:val="00AC6513"/>
    <w:rsid w:val="00AD0CC4"/>
    <w:rsid w:val="00AD1C3E"/>
    <w:rsid w:val="00AD5B55"/>
    <w:rsid w:val="00AE054C"/>
    <w:rsid w:val="00AE578E"/>
    <w:rsid w:val="00AF3C32"/>
    <w:rsid w:val="00AF47B0"/>
    <w:rsid w:val="00B023A8"/>
    <w:rsid w:val="00B079EE"/>
    <w:rsid w:val="00B21481"/>
    <w:rsid w:val="00B221D4"/>
    <w:rsid w:val="00B2376B"/>
    <w:rsid w:val="00B262AB"/>
    <w:rsid w:val="00B27B63"/>
    <w:rsid w:val="00B34E43"/>
    <w:rsid w:val="00B35682"/>
    <w:rsid w:val="00B3641D"/>
    <w:rsid w:val="00B45B7D"/>
    <w:rsid w:val="00B47C24"/>
    <w:rsid w:val="00B51545"/>
    <w:rsid w:val="00B5325F"/>
    <w:rsid w:val="00B553CA"/>
    <w:rsid w:val="00B6358A"/>
    <w:rsid w:val="00B663C2"/>
    <w:rsid w:val="00B71DE1"/>
    <w:rsid w:val="00B8247A"/>
    <w:rsid w:val="00B83054"/>
    <w:rsid w:val="00B855BE"/>
    <w:rsid w:val="00B96760"/>
    <w:rsid w:val="00B96A46"/>
    <w:rsid w:val="00B97452"/>
    <w:rsid w:val="00BA10BB"/>
    <w:rsid w:val="00BA1984"/>
    <w:rsid w:val="00BA5B9D"/>
    <w:rsid w:val="00BA62E0"/>
    <w:rsid w:val="00BA77AB"/>
    <w:rsid w:val="00BB10CC"/>
    <w:rsid w:val="00BB53D1"/>
    <w:rsid w:val="00BB5CF9"/>
    <w:rsid w:val="00BB7FAA"/>
    <w:rsid w:val="00BD458D"/>
    <w:rsid w:val="00BE5D3B"/>
    <w:rsid w:val="00BF2AE0"/>
    <w:rsid w:val="00C003AF"/>
    <w:rsid w:val="00C209A7"/>
    <w:rsid w:val="00C21BAD"/>
    <w:rsid w:val="00C22BD2"/>
    <w:rsid w:val="00C32281"/>
    <w:rsid w:val="00C35B04"/>
    <w:rsid w:val="00C3626C"/>
    <w:rsid w:val="00C37125"/>
    <w:rsid w:val="00C40C82"/>
    <w:rsid w:val="00C41FFD"/>
    <w:rsid w:val="00C455BD"/>
    <w:rsid w:val="00C50F6B"/>
    <w:rsid w:val="00C56B1B"/>
    <w:rsid w:val="00C5712D"/>
    <w:rsid w:val="00C62653"/>
    <w:rsid w:val="00C65460"/>
    <w:rsid w:val="00C657FF"/>
    <w:rsid w:val="00C7485C"/>
    <w:rsid w:val="00C75FB7"/>
    <w:rsid w:val="00C76E4E"/>
    <w:rsid w:val="00C80E71"/>
    <w:rsid w:val="00C8445C"/>
    <w:rsid w:val="00C9069A"/>
    <w:rsid w:val="00C92A9B"/>
    <w:rsid w:val="00C93C6B"/>
    <w:rsid w:val="00C95DBE"/>
    <w:rsid w:val="00C95FD6"/>
    <w:rsid w:val="00CA543D"/>
    <w:rsid w:val="00CA7A8D"/>
    <w:rsid w:val="00CA7CCE"/>
    <w:rsid w:val="00CB2D6D"/>
    <w:rsid w:val="00CB5CFE"/>
    <w:rsid w:val="00CB5D27"/>
    <w:rsid w:val="00CC11ED"/>
    <w:rsid w:val="00CC3766"/>
    <w:rsid w:val="00CD0597"/>
    <w:rsid w:val="00CE155E"/>
    <w:rsid w:val="00CE1571"/>
    <w:rsid w:val="00CE3F79"/>
    <w:rsid w:val="00CF560E"/>
    <w:rsid w:val="00D010FD"/>
    <w:rsid w:val="00D058E8"/>
    <w:rsid w:val="00D06702"/>
    <w:rsid w:val="00D140A7"/>
    <w:rsid w:val="00D21EE8"/>
    <w:rsid w:val="00D268E9"/>
    <w:rsid w:val="00D27145"/>
    <w:rsid w:val="00D34411"/>
    <w:rsid w:val="00D3555C"/>
    <w:rsid w:val="00D361E2"/>
    <w:rsid w:val="00D36A8A"/>
    <w:rsid w:val="00D379F2"/>
    <w:rsid w:val="00D40667"/>
    <w:rsid w:val="00D708CE"/>
    <w:rsid w:val="00D721D1"/>
    <w:rsid w:val="00D80CC2"/>
    <w:rsid w:val="00D9052D"/>
    <w:rsid w:val="00D91448"/>
    <w:rsid w:val="00D9258E"/>
    <w:rsid w:val="00D95078"/>
    <w:rsid w:val="00D95A2F"/>
    <w:rsid w:val="00D96C45"/>
    <w:rsid w:val="00DA3080"/>
    <w:rsid w:val="00DA7A72"/>
    <w:rsid w:val="00DB65F9"/>
    <w:rsid w:val="00DB7089"/>
    <w:rsid w:val="00DC5264"/>
    <w:rsid w:val="00DC6B7D"/>
    <w:rsid w:val="00DC6BF7"/>
    <w:rsid w:val="00DD02BB"/>
    <w:rsid w:val="00DD1965"/>
    <w:rsid w:val="00DD7680"/>
    <w:rsid w:val="00DE2DC8"/>
    <w:rsid w:val="00DE5AA1"/>
    <w:rsid w:val="00DE7ED0"/>
    <w:rsid w:val="00E00A84"/>
    <w:rsid w:val="00E02C76"/>
    <w:rsid w:val="00E05CCE"/>
    <w:rsid w:val="00E11D04"/>
    <w:rsid w:val="00E24632"/>
    <w:rsid w:val="00E35591"/>
    <w:rsid w:val="00E44009"/>
    <w:rsid w:val="00E471CE"/>
    <w:rsid w:val="00E47E4F"/>
    <w:rsid w:val="00E51053"/>
    <w:rsid w:val="00E513D8"/>
    <w:rsid w:val="00E54739"/>
    <w:rsid w:val="00E8339F"/>
    <w:rsid w:val="00E83FCA"/>
    <w:rsid w:val="00E91435"/>
    <w:rsid w:val="00E93012"/>
    <w:rsid w:val="00E97E2F"/>
    <w:rsid w:val="00ED2955"/>
    <w:rsid w:val="00EE6ED3"/>
    <w:rsid w:val="00F0072C"/>
    <w:rsid w:val="00F02595"/>
    <w:rsid w:val="00F044D7"/>
    <w:rsid w:val="00F05CC8"/>
    <w:rsid w:val="00F1106A"/>
    <w:rsid w:val="00F150DA"/>
    <w:rsid w:val="00F150EC"/>
    <w:rsid w:val="00F17936"/>
    <w:rsid w:val="00F17CDD"/>
    <w:rsid w:val="00F21296"/>
    <w:rsid w:val="00F34665"/>
    <w:rsid w:val="00F54F58"/>
    <w:rsid w:val="00F625BA"/>
    <w:rsid w:val="00F64CEB"/>
    <w:rsid w:val="00F67A1F"/>
    <w:rsid w:val="00F718BF"/>
    <w:rsid w:val="00F74899"/>
    <w:rsid w:val="00F761EA"/>
    <w:rsid w:val="00F80125"/>
    <w:rsid w:val="00F953BA"/>
    <w:rsid w:val="00FA0DCE"/>
    <w:rsid w:val="00FA1132"/>
    <w:rsid w:val="00FA6CE9"/>
    <w:rsid w:val="00FB0DAF"/>
    <w:rsid w:val="00FB0F1D"/>
    <w:rsid w:val="00FC5073"/>
    <w:rsid w:val="00FC6750"/>
    <w:rsid w:val="00FD23B2"/>
    <w:rsid w:val="00FD6A10"/>
    <w:rsid w:val="00FD7876"/>
    <w:rsid w:val="00FE26CE"/>
    <w:rsid w:val="00FE4F67"/>
    <w:rsid w:val="00FE566B"/>
    <w:rsid w:val="00FE5793"/>
    <w:rsid w:val="00FF0FC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10C7F"/>
  <w15:chartTrackingRefBased/>
  <w15:docId w15:val="{D75847D7-0496-4E10-98E6-8F0C44A9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Id w:val="1"/>
      </w:numPr>
      <w:tabs>
        <w:tab w:val="num" w:pos="1440"/>
      </w:tabs>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Caption">
    <w:name w:val="caption"/>
    <w:basedOn w:val="Normal"/>
    <w:next w:val="Normal"/>
    <w:unhideWhenUsed/>
    <w:qFormat/>
    <w:rsid w:val="001A64D4"/>
    <w:rPr>
      <w:b/>
      <w:bCs/>
      <w:sz w:val="20"/>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0F5246"/>
    <w:rPr>
      <w:sz w:val="20"/>
    </w:rPr>
  </w:style>
  <w:style w:type="character" w:customStyle="1" w:styleId="FootnoteTextChar">
    <w:name w:val="Footnote Text Char"/>
    <w:link w:val="FootnoteText"/>
    <w:rsid w:val="000F5246"/>
    <w:rPr>
      <w:lang w:eastAsia="en-US"/>
    </w:rPr>
  </w:style>
  <w:style w:type="character" w:styleId="FootnoteReference">
    <w:name w:val="footnote reference"/>
    <w:rsid w:val="000F5246"/>
    <w:rPr>
      <w:vertAlign w:val="superscript"/>
    </w:rPr>
  </w:style>
  <w:style w:type="paragraph" w:styleId="Revision">
    <w:name w:val="Revision"/>
    <w:hidden/>
    <w:uiPriority w:val="99"/>
    <w:semiHidden/>
    <w:rsid w:val="007E54C2"/>
    <w:rPr>
      <w:sz w:val="22"/>
      <w:lang w:val="en-GB" w:eastAsia="en-US"/>
    </w:rPr>
  </w:style>
  <w:style w:type="character" w:customStyle="1" w:styleId="FooterChar">
    <w:name w:val="Footer Char"/>
    <w:link w:val="Footer"/>
    <w:uiPriority w:val="99"/>
    <w:rsid w:val="00AD5B55"/>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129251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02A0E-4CBC-431A-BE32-DF044F785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3.xml><?xml version="1.0" encoding="utf-8"?>
<ds:datastoreItem xmlns:ds="http://schemas.openxmlformats.org/officeDocument/2006/customXml" ds:itemID="{394A4352-D486-4DAD-8DEA-88D2D1C925BA}">
  <ds:schemaRefs>
    <ds:schemaRef ds:uri="http://schemas.openxmlformats.org/officeDocument/2006/bibliography"/>
  </ds:schemaRefs>
</ds:datastoreItem>
</file>

<file path=customXml/itemProps4.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6</TotalTime>
  <Pages>9</Pages>
  <Words>2370</Words>
  <Characters>12872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Bertrand DESPERIER</dc:creator>
  <cp:keywords/>
  <cp:lastModifiedBy>Utsunomiya, Mie</cp:lastModifiedBy>
  <cp:revision>7</cp:revision>
  <cp:lastPrinted>2025-02-13T07:58:00Z</cp:lastPrinted>
  <dcterms:created xsi:type="dcterms:W3CDTF">2025-02-17T23:34:00Z</dcterms:created>
  <dcterms:modified xsi:type="dcterms:W3CDTF">2025-03-05T23:01:00Z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b31cf12d48ecbbee792b0408bb020cce92af8928f3d670ed1f1f637d841e4f14</vt:lpwstr>
  </property>
</Properties>
</file>