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6E" w:rsidRPr="00CB395E" w:rsidRDefault="00CB395E" w:rsidP="00EE054A">
      <w:pPr>
        <w:spacing w:after="0" w:line="240" w:lineRule="auto"/>
        <w:contextualSpacing/>
        <w:jc w:val="center"/>
        <w:rPr>
          <w:rFonts w:cstheme="minorHAnsi"/>
          <w:b/>
          <w:lang w:val="es-419"/>
        </w:rPr>
      </w:pPr>
      <w:r>
        <w:rPr>
          <w:rFonts w:cstheme="minorHAnsi"/>
          <w:b/>
          <w:lang w:val="es-419"/>
        </w:rPr>
        <w:t xml:space="preserve">APÉNDICE </w:t>
      </w:r>
      <w:r w:rsidRPr="00CB395E">
        <w:rPr>
          <w:rFonts w:cstheme="minorHAnsi"/>
          <w:b/>
          <w:highlight w:val="yellow"/>
          <w:lang w:val="es-419"/>
        </w:rPr>
        <w:t>X</w:t>
      </w:r>
    </w:p>
    <w:p w:rsidR="00CB395E" w:rsidRPr="00CB395E" w:rsidRDefault="00CB395E" w:rsidP="00EE054A">
      <w:pPr>
        <w:spacing w:after="0" w:line="240" w:lineRule="auto"/>
        <w:contextualSpacing/>
        <w:jc w:val="center"/>
        <w:rPr>
          <w:rFonts w:cstheme="minorHAnsi"/>
          <w:b/>
          <w:shd w:val="clear" w:color="auto" w:fill="FEFEFE"/>
          <w:lang w:val="es-419"/>
        </w:rPr>
      </w:pPr>
      <w:r w:rsidRPr="003C4BAF">
        <w:rPr>
          <w:rFonts w:cstheme="minorHAnsi"/>
          <w:b/>
          <w:bCs/>
          <w:color w:val="000000"/>
          <w:lang w:val="es-ES_tradnl"/>
        </w:rPr>
        <w:t>Grupo de Trabajo d</w:t>
      </w:r>
      <w:r w:rsidR="00EE054A">
        <w:rPr>
          <w:rFonts w:cstheme="minorHAnsi"/>
          <w:b/>
          <w:bCs/>
          <w:color w:val="000000"/>
          <w:lang w:val="es-ES_tradnl"/>
        </w:rPr>
        <w:t>e Análisis d</w:t>
      </w:r>
      <w:r w:rsidRPr="003C4BAF">
        <w:rPr>
          <w:rFonts w:cstheme="minorHAnsi"/>
          <w:b/>
          <w:bCs/>
          <w:color w:val="000000"/>
          <w:lang w:val="es-ES_tradnl"/>
        </w:rPr>
        <w:t>e Datos (DAWG</w:t>
      </w:r>
      <w:r>
        <w:rPr>
          <w:rFonts w:cstheme="minorHAnsi"/>
          <w:b/>
          <w:color w:val="000000"/>
          <w:lang w:val="es-ES_tradnl"/>
        </w:rPr>
        <w:t>) del GREPECAS</w:t>
      </w:r>
    </w:p>
    <w:p w:rsidR="00CB395E" w:rsidRPr="00CB395E" w:rsidRDefault="00CB395E" w:rsidP="00EE054A">
      <w:pPr>
        <w:spacing w:after="0" w:line="240" w:lineRule="auto"/>
        <w:contextualSpacing/>
        <w:jc w:val="center"/>
        <w:rPr>
          <w:rFonts w:cstheme="minorHAnsi"/>
          <w:b/>
          <w:lang w:val="es-419"/>
        </w:rPr>
      </w:pPr>
      <w:r w:rsidRPr="00CB395E">
        <w:rPr>
          <w:rFonts w:cstheme="minorHAnsi"/>
          <w:b/>
          <w:lang w:val="es-419"/>
        </w:rPr>
        <w:t>TÉRMINOS DE REFERENCIA</w:t>
      </w:r>
    </w:p>
    <w:p w:rsidR="00CB395E" w:rsidRPr="00CB395E" w:rsidRDefault="00CB395E" w:rsidP="00EE054A">
      <w:pPr>
        <w:spacing w:after="0" w:line="240" w:lineRule="auto"/>
        <w:contextualSpacing/>
        <w:jc w:val="both"/>
        <w:rPr>
          <w:rFonts w:cstheme="minorHAnsi"/>
          <w:b/>
          <w:lang w:val="es-419"/>
        </w:rPr>
      </w:pPr>
    </w:p>
    <w:p w:rsidR="00CB395E" w:rsidRPr="00EE054A" w:rsidRDefault="00CB395E" w:rsidP="00EE054A">
      <w:pPr>
        <w:pStyle w:val="ListParagraph"/>
        <w:numPr>
          <w:ilvl w:val="0"/>
          <w:numId w:val="10"/>
        </w:numPr>
        <w:spacing w:after="0" w:line="240" w:lineRule="auto"/>
        <w:ind w:hanging="720"/>
        <w:jc w:val="both"/>
        <w:rPr>
          <w:rFonts w:cstheme="minorHAnsi"/>
          <w:b/>
          <w:lang w:val="es-419"/>
        </w:rPr>
      </w:pPr>
      <w:r w:rsidRPr="00EE054A">
        <w:rPr>
          <w:rFonts w:cstheme="minorHAnsi"/>
          <w:b/>
          <w:lang w:val="es-419"/>
        </w:rPr>
        <w:t xml:space="preserve">Propósito del </w:t>
      </w:r>
      <w:r w:rsidR="00EE054A" w:rsidRPr="003C4BAF">
        <w:rPr>
          <w:rFonts w:cstheme="minorHAnsi"/>
          <w:b/>
          <w:bCs/>
          <w:color w:val="000000"/>
          <w:lang w:val="es-ES_tradnl"/>
        </w:rPr>
        <w:t>Grupo de Trabajo d</w:t>
      </w:r>
      <w:r w:rsidR="00EE054A">
        <w:rPr>
          <w:rFonts w:cstheme="minorHAnsi"/>
          <w:b/>
          <w:bCs/>
          <w:color w:val="000000"/>
          <w:lang w:val="es-ES_tradnl"/>
        </w:rPr>
        <w:t>e Análisis d</w:t>
      </w:r>
      <w:r w:rsidR="00EE054A" w:rsidRPr="003C4BAF">
        <w:rPr>
          <w:rFonts w:cstheme="minorHAnsi"/>
          <w:b/>
          <w:bCs/>
          <w:color w:val="000000"/>
          <w:lang w:val="es-ES_tradnl"/>
        </w:rPr>
        <w:t>e Datos (DAWG</w:t>
      </w:r>
      <w:r w:rsidR="00EE054A">
        <w:rPr>
          <w:rFonts w:cstheme="minorHAnsi"/>
          <w:b/>
          <w:color w:val="000000"/>
          <w:lang w:val="es-ES_tradnl"/>
        </w:rPr>
        <w:t>)</w:t>
      </w:r>
    </w:p>
    <w:p w:rsidR="00CB395E" w:rsidRPr="00CB395E" w:rsidRDefault="00CB395E" w:rsidP="00EE054A">
      <w:pPr>
        <w:spacing w:after="0" w:line="240" w:lineRule="auto"/>
        <w:contextualSpacing/>
        <w:jc w:val="both"/>
        <w:rPr>
          <w:rFonts w:cstheme="minorHAnsi"/>
          <w:b/>
          <w:lang w:val="es-419"/>
        </w:rPr>
      </w:pPr>
    </w:p>
    <w:p w:rsidR="00CB395E" w:rsidRPr="00EE054A" w:rsidRDefault="00CB395E" w:rsidP="00EE054A">
      <w:pPr>
        <w:spacing w:after="0" w:line="240" w:lineRule="auto"/>
        <w:contextualSpacing/>
        <w:jc w:val="both"/>
        <w:rPr>
          <w:rFonts w:cstheme="minorHAnsi"/>
          <w:lang w:val="es-419"/>
        </w:rPr>
      </w:pPr>
      <w:r w:rsidRPr="00EE054A">
        <w:rPr>
          <w:rFonts w:cstheme="minorHAnsi"/>
          <w:lang w:val="es-419"/>
        </w:rPr>
        <w:t>1.1</w:t>
      </w:r>
      <w:r w:rsidR="00EE054A">
        <w:rPr>
          <w:rFonts w:cstheme="minorHAnsi"/>
          <w:lang w:val="es-419"/>
        </w:rPr>
        <w:tab/>
      </w:r>
      <w:r w:rsidRPr="00EE054A">
        <w:rPr>
          <w:rFonts w:cstheme="minorHAnsi"/>
          <w:lang w:val="es-419"/>
        </w:rPr>
        <w:t xml:space="preserve">Con el fin de </w:t>
      </w:r>
      <w:r w:rsidR="00EE054A">
        <w:rPr>
          <w:rFonts w:cstheme="minorHAnsi"/>
          <w:lang w:val="es-419"/>
        </w:rPr>
        <w:t>monitorear</w:t>
      </w:r>
      <w:r w:rsidRPr="00EE054A">
        <w:rPr>
          <w:rFonts w:cstheme="minorHAnsi"/>
          <w:lang w:val="es-419"/>
        </w:rPr>
        <w:t xml:space="preserve"> la implementación del GANP y el desempeño de la Navegación Aérea Regional, el DAWG revisará periódicamente el estado de los Indicadores Clave de Desempeño (KPI) del GREPECAS del GTE y de las Oficinas Regionales NACC y SAM, para producir y mantener actualizado el estado de implementación de los KPI del GREPECAS, </w:t>
      </w:r>
      <w:r w:rsidR="00EE054A">
        <w:rPr>
          <w:rFonts w:cstheme="minorHAnsi"/>
          <w:lang w:val="es-419"/>
        </w:rPr>
        <w:t xml:space="preserve">el cual </w:t>
      </w:r>
      <w:r w:rsidRPr="00EE054A">
        <w:rPr>
          <w:rFonts w:cstheme="minorHAnsi"/>
          <w:lang w:val="es-419"/>
        </w:rPr>
        <w:t>estará continuamente disponible para todos los miembros del GREPECAS.</w:t>
      </w:r>
    </w:p>
    <w:p w:rsidR="00CB395E" w:rsidRPr="00EE054A" w:rsidRDefault="00CB395E" w:rsidP="00EE054A">
      <w:pPr>
        <w:spacing w:after="0" w:line="240" w:lineRule="auto"/>
        <w:contextualSpacing/>
        <w:jc w:val="both"/>
        <w:rPr>
          <w:rFonts w:cstheme="minorHAnsi"/>
          <w:lang w:val="es-419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163"/>
        <w:gridCol w:w="8618"/>
      </w:tblGrid>
      <w:tr w:rsidR="00EE054A" w:rsidRPr="00EE054A" w:rsidTr="00AC1F3B">
        <w:tc>
          <w:tcPr>
            <w:tcW w:w="9781" w:type="dxa"/>
            <w:gridSpan w:val="2"/>
            <w:shd w:val="clear" w:color="auto" w:fill="E2EFD9" w:themeFill="accent6" w:themeFillTint="33"/>
            <w:vAlign w:val="center"/>
          </w:tcPr>
          <w:p w:rsidR="00EE054A" w:rsidRPr="00EE054A" w:rsidRDefault="00EE054A" w:rsidP="00EE054A">
            <w:pPr>
              <w:pStyle w:val="ListParagraph"/>
              <w:ind w:left="0"/>
              <w:jc w:val="center"/>
              <w:rPr>
                <w:rFonts w:cstheme="minorHAnsi"/>
                <w:lang w:val="es-419"/>
              </w:rPr>
            </w:pPr>
            <w:r w:rsidRPr="003C4BAF">
              <w:rPr>
                <w:rFonts w:cstheme="minorHAnsi"/>
                <w:b/>
                <w:bCs/>
                <w:color w:val="000000"/>
                <w:lang w:val="es-ES_tradnl"/>
              </w:rPr>
              <w:t>Grupo de Trabajo d</w:t>
            </w:r>
            <w:r>
              <w:rPr>
                <w:rFonts w:cstheme="minorHAnsi"/>
                <w:b/>
                <w:bCs/>
                <w:color w:val="000000"/>
                <w:lang w:val="es-ES_tradnl"/>
              </w:rPr>
              <w:t>e Análisis d</w:t>
            </w:r>
            <w:r w:rsidRPr="003C4BAF">
              <w:rPr>
                <w:rFonts w:cstheme="minorHAnsi"/>
                <w:b/>
                <w:bCs/>
                <w:color w:val="000000"/>
                <w:lang w:val="es-ES_tradnl"/>
              </w:rPr>
              <w:t>e Datos (DAWG</w:t>
            </w:r>
            <w:r>
              <w:rPr>
                <w:rFonts w:cstheme="minorHAnsi"/>
                <w:b/>
                <w:color w:val="000000"/>
                <w:lang w:val="es-ES_tradnl"/>
              </w:rPr>
              <w:t>) del GREPECAS</w:t>
            </w:r>
          </w:p>
        </w:tc>
      </w:tr>
      <w:tr w:rsidR="00EE054A" w:rsidRPr="00EE054A" w:rsidTr="00AC1F3B">
        <w:tc>
          <w:tcPr>
            <w:tcW w:w="1148" w:type="dxa"/>
            <w:shd w:val="clear" w:color="auto" w:fill="E2EFD9" w:themeFill="accent6" w:themeFillTint="33"/>
          </w:tcPr>
          <w:p w:rsidR="00EE054A" w:rsidRPr="004B718C" w:rsidRDefault="00EE054A" w:rsidP="00EE054A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  <w:proofErr w:type="spellStart"/>
            <w:r>
              <w:rPr>
                <w:rFonts w:cstheme="minorHAnsi"/>
                <w:b/>
                <w:lang w:val="en-US"/>
              </w:rPr>
              <w:t>Propósito</w:t>
            </w:r>
            <w:proofErr w:type="spellEnd"/>
            <w:r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8633" w:type="dxa"/>
          </w:tcPr>
          <w:p w:rsidR="00EE054A" w:rsidRPr="00EE054A" w:rsidRDefault="00EE054A" w:rsidP="00EE054A">
            <w:pPr>
              <w:pStyle w:val="ListParagraph"/>
              <w:ind w:left="0"/>
              <w:jc w:val="both"/>
              <w:rPr>
                <w:rFonts w:cstheme="minorHAnsi"/>
                <w:lang w:val="es-419"/>
              </w:rPr>
            </w:pPr>
            <w:r w:rsidRPr="00EE054A">
              <w:rPr>
                <w:rFonts w:cstheme="minorHAnsi"/>
                <w:lang w:val="es-419"/>
              </w:rPr>
              <w:t>Análisis para obtener información precisa</w:t>
            </w:r>
            <w:r>
              <w:rPr>
                <w:rFonts w:cstheme="minorHAnsi"/>
                <w:lang w:val="es-419"/>
              </w:rPr>
              <w:t xml:space="preserve"> y nuevas fuentes de datos o </w:t>
            </w:r>
            <w:r w:rsidRPr="00EE054A">
              <w:rPr>
                <w:rFonts w:cstheme="minorHAnsi"/>
                <w:lang w:val="es-419"/>
              </w:rPr>
              <w:t>mejor acceso a los datos existentes.</w:t>
            </w:r>
          </w:p>
        </w:tc>
      </w:tr>
      <w:tr w:rsidR="00EE054A" w:rsidRPr="00EE054A" w:rsidTr="00AC1F3B">
        <w:tc>
          <w:tcPr>
            <w:tcW w:w="1148" w:type="dxa"/>
            <w:shd w:val="clear" w:color="auto" w:fill="E2EFD9" w:themeFill="accent6" w:themeFillTint="33"/>
          </w:tcPr>
          <w:p w:rsidR="00EE054A" w:rsidRPr="004B718C" w:rsidRDefault="00EE054A" w:rsidP="00EE054A">
            <w:pPr>
              <w:pStyle w:val="ListParagraph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Obje</w:t>
            </w:r>
            <w:r w:rsidRPr="004B718C">
              <w:rPr>
                <w:rFonts w:cstheme="minorHAnsi"/>
                <w:b/>
                <w:lang w:val="en-US"/>
              </w:rPr>
              <w:t>tiv</w:t>
            </w:r>
            <w:r>
              <w:rPr>
                <w:rFonts w:cstheme="minorHAnsi"/>
                <w:b/>
                <w:lang w:val="en-US"/>
              </w:rPr>
              <w:t>o</w:t>
            </w:r>
            <w:r w:rsidRPr="004B718C"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8633" w:type="dxa"/>
          </w:tcPr>
          <w:p w:rsidR="00EE054A" w:rsidRPr="00EE054A" w:rsidRDefault="00EE054A" w:rsidP="00157EE6">
            <w:pPr>
              <w:contextualSpacing/>
              <w:jc w:val="both"/>
              <w:rPr>
                <w:rFonts w:cstheme="minorHAnsi"/>
                <w:lang w:val="es-419"/>
              </w:rPr>
            </w:pPr>
            <w:r w:rsidRPr="00EE054A">
              <w:rPr>
                <w:rFonts w:cstheme="minorHAnsi"/>
                <w:lang w:val="es-419"/>
              </w:rPr>
              <w:t xml:space="preserve">Se espera que el DAWG proporcione </w:t>
            </w:r>
            <w:r w:rsidRPr="00EE054A">
              <w:rPr>
                <w:rFonts w:cstheme="minorHAnsi"/>
                <w:b/>
                <w:lang w:val="es-419"/>
              </w:rPr>
              <w:t xml:space="preserve">inteligencia comercial estratégica </w:t>
            </w:r>
            <w:r w:rsidRPr="00EE054A">
              <w:rPr>
                <w:rFonts w:cstheme="minorHAnsi"/>
                <w:lang w:val="es-419"/>
              </w:rPr>
              <w:t xml:space="preserve">(los datos son una fuente de información e inteligencia que se han recopilado de una acción registrada o de una combinación de registros) y fomente una mejor toma de decisiones y </w:t>
            </w:r>
            <w:r w:rsidR="00157EE6">
              <w:rPr>
                <w:rFonts w:cstheme="minorHAnsi"/>
                <w:lang w:val="es-419"/>
              </w:rPr>
              <w:t>acciones basadas en datos para el mejor desempeño de los</w:t>
            </w:r>
            <w:r w:rsidRPr="00EE054A">
              <w:rPr>
                <w:rFonts w:cstheme="minorHAnsi"/>
                <w:lang w:val="es-419"/>
              </w:rPr>
              <w:t xml:space="preserve"> Estados y </w:t>
            </w:r>
            <w:r w:rsidR="00157EE6">
              <w:rPr>
                <w:rFonts w:cstheme="minorHAnsi"/>
                <w:lang w:val="es-419"/>
              </w:rPr>
              <w:t>d</w:t>
            </w:r>
            <w:r w:rsidRPr="00EE054A">
              <w:rPr>
                <w:rFonts w:cstheme="minorHAnsi"/>
                <w:lang w:val="es-419"/>
              </w:rPr>
              <w:t>el GREPECAS.</w:t>
            </w:r>
          </w:p>
        </w:tc>
      </w:tr>
    </w:tbl>
    <w:p w:rsidR="00EE054A" w:rsidRPr="00EE054A" w:rsidRDefault="00EE054A" w:rsidP="00EE054A">
      <w:pPr>
        <w:spacing w:after="0" w:line="240" w:lineRule="auto"/>
        <w:contextualSpacing/>
        <w:jc w:val="both"/>
        <w:rPr>
          <w:rFonts w:cstheme="minorHAnsi"/>
          <w:lang w:val="es-419"/>
        </w:rPr>
      </w:pPr>
    </w:p>
    <w:p w:rsidR="00CB395E" w:rsidRPr="00EE054A" w:rsidRDefault="00157EE6" w:rsidP="00EE054A">
      <w:pPr>
        <w:spacing w:after="0" w:line="240" w:lineRule="auto"/>
        <w:contextualSpacing/>
        <w:jc w:val="both"/>
        <w:rPr>
          <w:rFonts w:cstheme="minorHAnsi"/>
          <w:lang w:val="es-419"/>
        </w:rPr>
      </w:pPr>
      <w:r>
        <w:rPr>
          <w:rFonts w:cstheme="minorHAnsi"/>
          <w:lang w:val="es-419"/>
        </w:rPr>
        <w:t>1.2</w:t>
      </w:r>
      <w:r>
        <w:rPr>
          <w:rFonts w:cstheme="minorHAnsi"/>
          <w:lang w:val="es-419"/>
        </w:rPr>
        <w:tab/>
      </w:r>
      <w:r w:rsidR="00CB395E" w:rsidRPr="00EE054A">
        <w:rPr>
          <w:rFonts w:cstheme="minorHAnsi"/>
          <w:lang w:val="es-419"/>
        </w:rPr>
        <w:t>Protección de datos:</w:t>
      </w:r>
    </w:p>
    <w:p w:rsidR="00CB395E" w:rsidRPr="00EE054A" w:rsidRDefault="00CB395E" w:rsidP="00EE054A">
      <w:pPr>
        <w:spacing w:after="0" w:line="240" w:lineRule="auto"/>
        <w:contextualSpacing/>
        <w:jc w:val="both"/>
        <w:rPr>
          <w:rFonts w:cstheme="minorHAnsi"/>
          <w:lang w:val="es-419"/>
        </w:rPr>
      </w:pPr>
    </w:p>
    <w:p w:rsidR="00CB395E" w:rsidRPr="00EE054A" w:rsidRDefault="00157EE6" w:rsidP="00157EE6">
      <w:pPr>
        <w:tabs>
          <w:tab w:val="left" w:pos="1080"/>
        </w:tabs>
        <w:spacing w:after="0" w:line="240" w:lineRule="auto"/>
        <w:ind w:left="1080" w:hanging="360"/>
        <w:contextualSpacing/>
        <w:jc w:val="both"/>
        <w:rPr>
          <w:rFonts w:cstheme="minorHAnsi"/>
          <w:lang w:val="es-419"/>
        </w:rPr>
      </w:pPr>
      <w:r>
        <w:rPr>
          <w:rFonts w:cstheme="minorHAnsi"/>
          <w:lang w:val="es-419"/>
        </w:rPr>
        <w:t>1.</w:t>
      </w:r>
      <w:r>
        <w:rPr>
          <w:rFonts w:cstheme="minorHAnsi"/>
          <w:lang w:val="es-419"/>
        </w:rPr>
        <w:tab/>
        <w:t xml:space="preserve">Todos los datos o </w:t>
      </w:r>
      <w:r w:rsidR="00CB395E" w:rsidRPr="00EE054A">
        <w:rPr>
          <w:rFonts w:cstheme="minorHAnsi"/>
          <w:lang w:val="es-419"/>
        </w:rPr>
        <w:t>información utilizada estarán protegidos contra la divulgación pública.</w:t>
      </w:r>
    </w:p>
    <w:p w:rsidR="00CB395E" w:rsidRPr="00EE054A" w:rsidRDefault="00157EE6" w:rsidP="00157EE6">
      <w:pPr>
        <w:tabs>
          <w:tab w:val="left" w:pos="1080"/>
        </w:tabs>
        <w:spacing w:after="0" w:line="240" w:lineRule="auto"/>
        <w:ind w:left="1080" w:hanging="360"/>
        <w:contextualSpacing/>
        <w:jc w:val="both"/>
        <w:rPr>
          <w:rFonts w:cstheme="minorHAnsi"/>
          <w:lang w:val="es-419"/>
        </w:rPr>
      </w:pPr>
      <w:r>
        <w:rPr>
          <w:rFonts w:cstheme="minorHAnsi"/>
          <w:lang w:val="es-419"/>
        </w:rPr>
        <w:t>2.</w:t>
      </w:r>
      <w:r>
        <w:rPr>
          <w:rFonts w:cstheme="minorHAnsi"/>
          <w:lang w:val="es-419"/>
        </w:rPr>
        <w:tab/>
      </w:r>
      <w:r w:rsidR="00CB395E" w:rsidRPr="00EE054A">
        <w:rPr>
          <w:rFonts w:cstheme="minorHAnsi"/>
          <w:lang w:val="es-419"/>
        </w:rPr>
        <w:t xml:space="preserve">Los datos o información publicados por el DAWG </w:t>
      </w:r>
      <w:r>
        <w:rPr>
          <w:rFonts w:cstheme="minorHAnsi"/>
          <w:lang w:val="es-419"/>
        </w:rPr>
        <w:t>esta</w:t>
      </w:r>
      <w:r w:rsidR="00CB395E" w:rsidRPr="00EE054A">
        <w:rPr>
          <w:rFonts w:cstheme="minorHAnsi"/>
          <w:lang w:val="es-419"/>
        </w:rPr>
        <w:t xml:space="preserve">rán acompañados de una exención de responsabilidad que </w:t>
      </w:r>
      <w:r>
        <w:rPr>
          <w:rFonts w:cstheme="minorHAnsi"/>
          <w:lang w:val="es-419"/>
        </w:rPr>
        <w:t>est</w:t>
      </w:r>
      <w:r w:rsidR="00CB395E" w:rsidRPr="00EE054A">
        <w:rPr>
          <w:rFonts w:cstheme="minorHAnsi"/>
          <w:lang w:val="es-419"/>
        </w:rPr>
        <w:t>ará visible en el tablero y la información presentada en el tablero estará desidentificada. Además, se observarán recomendaciones del área de ciberseguridad.</w:t>
      </w:r>
    </w:p>
    <w:p w:rsidR="00CB395E" w:rsidRPr="00EE054A" w:rsidRDefault="00157EE6" w:rsidP="00157EE6">
      <w:pPr>
        <w:tabs>
          <w:tab w:val="left" w:pos="1080"/>
        </w:tabs>
        <w:spacing w:after="0" w:line="240" w:lineRule="auto"/>
        <w:ind w:left="1080" w:hanging="360"/>
        <w:contextualSpacing/>
        <w:jc w:val="both"/>
        <w:rPr>
          <w:rFonts w:cstheme="minorHAnsi"/>
          <w:lang w:val="es-419"/>
        </w:rPr>
      </w:pPr>
      <w:r>
        <w:rPr>
          <w:rFonts w:cstheme="minorHAnsi"/>
          <w:lang w:val="es-419"/>
        </w:rPr>
        <w:t>3.</w:t>
      </w:r>
      <w:r>
        <w:rPr>
          <w:rFonts w:cstheme="minorHAnsi"/>
          <w:lang w:val="es-419"/>
        </w:rPr>
        <w:tab/>
      </w:r>
      <w:r w:rsidR="00CB395E" w:rsidRPr="00EE054A">
        <w:rPr>
          <w:rFonts w:cstheme="minorHAnsi"/>
          <w:lang w:val="es-419"/>
        </w:rPr>
        <w:t xml:space="preserve">Todos los contribuyentes de datos ejecutarán y estarán sujetos a las disposiciones del Memorando de Entendimiento </w:t>
      </w:r>
      <w:r>
        <w:rPr>
          <w:rFonts w:cstheme="minorHAnsi"/>
          <w:lang w:val="es-419"/>
        </w:rPr>
        <w:t xml:space="preserve">(MoU) </w:t>
      </w:r>
      <w:r w:rsidR="00CB395E" w:rsidRPr="00EE054A">
        <w:rPr>
          <w:rFonts w:cstheme="minorHAnsi"/>
          <w:lang w:val="es-419"/>
        </w:rPr>
        <w:t>entre ese contribuidor de datos y el GREPECAS.</w:t>
      </w:r>
    </w:p>
    <w:p w:rsidR="00CB395E" w:rsidRPr="00EE054A" w:rsidRDefault="00CB395E" w:rsidP="00EE054A">
      <w:pPr>
        <w:spacing w:after="0" w:line="240" w:lineRule="auto"/>
        <w:contextualSpacing/>
        <w:jc w:val="both"/>
        <w:rPr>
          <w:rFonts w:cstheme="minorHAnsi"/>
          <w:lang w:val="es-419"/>
        </w:rPr>
      </w:pPr>
    </w:p>
    <w:p w:rsidR="00CB395E" w:rsidRPr="00EE054A" w:rsidRDefault="00157EE6" w:rsidP="00EE054A">
      <w:pPr>
        <w:spacing w:after="0" w:line="240" w:lineRule="auto"/>
        <w:contextualSpacing/>
        <w:jc w:val="both"/>
        <w:rPr>
          <w:rFonts w:cstheme="minorHAnsi"/>
          <w:lang w:val="es-419"/>
        </w:rPr>
      </w:pPr>
      <w:r>
        <w:rPr>
          <w:rFonts w:cstheme="minorHAnsi"/>
          <w:lang w:val="es-419"/>
        </w:rPr>
        <w:t>1.3</w:t>
      </w:r>
      <w:r>
        <w:rPr>
          <w:rFonts w:cstheme="minorHAnsi"/>
          <w:lang w:val="es-419"/>
        </w:rPr>
        <w:tab/>
      </w:r>
      <w:r w:rsidR="00CB395E" w:rsidRPr="00EE054A">
        <w:rPr>
          <w:rFonts w:cstheme="minorHAnsi"/>
          <w:lang w:val="es-419"/>
        </w:rPr>
        <w:t xml:space="preserve">Principios </w:t>
      </w:r>
      <w:r>
        <w:rPr>
          <w:rFonts w:cstheme="minorHAnsi"/>
          <w:lang w:val="es-419"/>
        </w:rPr>
        <w:t>regidores</w:t>
      </w:r>
    </w:p>
    <w:p w:rsidR="00CB395E" w:rsidRPr="00EE054A" w:rsidRDefault="00CB395E" w:rsidP="00EE054A">
      <w:pPr>
        <w:spacing w:after="0" w:line="240" w:lineRule="auto"/>
        <w:contextualSpacing/>
        <w:jc w:val="both"/>
        <w:rPr>
          <w:rFonts w:cstheme="minorHAnsi"/>
          <w:lang w:val="es-419"/>
        </w:rPr>
      </w:pPr>
    </w:p>
    <w:p w:rsidR="00CB395E" w:rsidRPr="00EE054A" w:rsidRDefault="00CB395E" w:rsidP="00157EE6">
      <w:pPr>
        <w:tabs>
          <w:tab w:val="left" w:pos="1080"/>
        </w:tabs>
        <w:spacing w:after="0" w:line="240" w:lineRule="auto"/>
        <w:ind w:left="1080" w:hanging="360"/>
        <w:contextualSpacing/>
        <w:jc w:val="both"/>
        <w:rPr>
          <w:rFonts w:cstheme="minorHAnsi"/>
          <w:lang w:val="es-419"/>
        </w:rPr>
      </w:pPr>
      <w:r w:rsidRPr="00EE054A">
        <w:rPr>
          <w:rFonts w:cstheme="minorHAnsi"/>
          <w:lang w:val="es-419"/>
        </w:rPr>
        <w:t>1.</w:t>
      </w:r>
      <w:r w:rsidR="00157EE6">
        <w:rPr>
          <w:rFonts w:cstheme="minorHAnsi"/>
          <w:lang w:val="es-419"/>
        </w:rPr>
        <w:tab/>
      </w:r>
      <w:r w:rsidRPr="00EE054A">
        <w:rPr>
          <w:rFonts w:cstheme="minorHAnsi"/>
          <w:lang w:val="es-419"/>
        </w:rPr>
        <w:t>Imparcialidad y profesionalismo</w:t>
      </w:r>
    </w:p>
    <w:p w:rsidR="00CB395E" w:rsidRPr="00EE054A" w:rsidRDefault="00157EE6" w:rsidP="00157EE6">
      <w:pPr>
        <w:tabs>
          <w:tab w:val="left" w:pos="1080"/>
        </w:tabs>
        <w:spacing w:after="0" w:line="240" w:lineRule="auto"/>
        <w:ind w:left="1080" w:hanging="360"/>
        <w:contextualSpacing/>
        <w:jc w:val="both"/>
        <w:rPr>
          <w:rFonts w:cstheme="minorHAnsi"/>
          <w:lang w:val="es-419"/>
        </w:rPr>
      </w:pPr>
      <w:r>
        <w:rPr>
          <w:rFonts w:cstheme="minorHAnsi"/>
          <w:lang w:val="es-419"/>
        </w:rPr>
        <w:t>2.</w:t>
      </w:r>
      <w:r>
        <w:rPr>
          <w:rFonts w:cstheme="minorHAnsi"/>
          <w:lang w:val="es-419"/>
        </w:rPr>
        <w:tab/>
      </w:r>
      <w:r w:rsidR="00CB395E" w:rsidRPr="00EE054A">
        <w:rPr>
          <w:rFonts w:cstheme="minorHAnsi"/>
          <w:lang w:val="es-419"/>
        </w:rPr>
        <w:t>Estricta confidencialidad en el uso y trabajo del grupo</w:t>
      </w:r>
    </w:p>
    <w:p w:rsidR="00CB395E" w:rsidRPr="00EE054A" w:rsidRDefault="00CB395E" w:rsidP="00157EE6">
      <w:pPr>
        <w:tabs>
          <w:tab w:val="left" w:pos="1080"/>
        </w:tabs>
        <w:spacing w:after="0" w:line="240" w:lineRule="auto"/>
        <w:ind w:left="1080" w:hanging="360"/>
        <w:contextualSpacing/>
        <w:jc w:val="both"/>
        <w:rPr>
          <w:rFonts w:cstheme="minorHAnsi"/>
          <w:lang w:val="es-419"/>
        </w:rPr>
      </w:pPr>
      <w:r w:rsidRPr="00EE054A">
        <w:rPr>
          <w:rFonts w:cstheme="minorHAnsi"/>
          <w:lang w:val="es-419"/>
        </w:rPr>
        <w:t>3.</w:t>
      </w:r>
      <w:r w:rsidR="00157EE6">
        <w:rPr>
          <w:rFonts w:cstheme="minorHAnsi"/>
          <w:lang w:val="es-419"/>
        </w:rPr>
        <w:tab/>
      </w:r>
      <w:r w:rsidR="00A30C15">
        <w:rPr>
          <w:rFonts w:cstheme="minorHAnsi"/>
          <w:lang w:val="es-419"/>
        </w:rPr>
        <w:t>Vigilancia de</w:t>
      </w:r>
      <w:r w:rsidRPr="00EE054A">
        <w:rPr>
          <w:rFonts w:cstheme="minorHAnsi"/>
          <w:lang w:val="es-419"/>
        </w:rPr>
        <w:t xml:space="preserve"> mala</w:t>
      </w:r>
      <w:r w:rsidR="00A30C15">
        <w:rPr>
          <w:rFonts w:cstheme="minorHAnsi"/>
          <w:lang w:val="es-419"/>
        </w:rPr>
        <w:t>s</w:t>
      </w:r>
      <w:r w:rsidRPr="00EE054A">
        <w:rPr>
          <w:rFonts w:cstheme="minorHAnsi"/>
          <w:lang w:val="es-419"/>
        </w:rPr>
        <w:t xml:space="preserve"> interpretaci</w:t>
      </w:r>
      <w:r w:rsidR="00A30C15">
        <w:rPr>
          <w:rFonts w:cstheme="minorHAnsi"/>
          <w:lang w:val="es-419"/>
        </w:rPr>
        <w:t>o</w:t>
      </w:r>
      <w:r w:rsidRPr="00EE054A">
        <w:rPr>
          <w:rFonts w:cstheme="minorHAnsi"/>
          <w:lang w:val="es-419"/>
        </w:rPr>
        <w:t>n</w:t>
      </w:r>
      <w:r w:rsidR="00A30C15">
        <w:rPr>
          <w:rFonts w:cstheme="minorHAnsi"/>
          <w:lang w:val="es-419"/>
        </w:rPr>
        <w:t>es</w:t>
      </w:r>
      <w:r w:rsidRPr="00EE054A">
        <w:rPr>
          <w:rFonts w:cstheme="minorHAnsi"/>
          <w:lang w:val="es-419"/>
        </w:rPr>
        <w:t xml:space="preserve"> y </w:t>
      </w:r>
      <w:r w:rsidR="00A30C15">
        <w:rPr>
          <w:rFonts w:cstheme="minorHAnsi"/>
          <w:lang w:val="es-419"/>
        </w:rPr>
        <w:t>d</w:t>
      </w:r>
      <w:r w:rsidRPr="00EE054A">
        <w:rPr>
          <w:rFonts w:cstheme="minorHAnsi"/>
          <w:lang w:val="es-419"/>
        </w:rPr>
        <w:t>el uso indebido de las estadísticas</w:t>
      </w:r>
    </w:p>
    <w:p w:rsidR="00CB395E" w:rsidRPr="00EE054A" w:rsidRDefault="00157EE6" w:rsidP="00157EE6">
      <w:pPr>
        <w:tabs>
          <w:tab w:val="left" w:pos="1080"/>
        </w:tabs>
        <w:spacing w:after="0" w:line="240" w:lineRule="auto"/>
        <w:ind w:left="1080" w:hanging="360"/>
        <w:contextualSpacing/>
        <w:jc w:val="both"/>
        <w:rPr>
          <w:rFonts w:cstheme="minorHAnsi"/>
          <w:lang w:val="es-419"/>
        </w:rPr>
      </w:pPr>
      <w:r>
        <w:rPr>
          <w:rFonts w:cstheme="minorHAnsi"/>
          <w:lang w:val="es-419"/>
        </w:rPr>
        <w:t>4.</w:t>
      </w:r>
      <w:r>
        <w:rPr>
          <w:rFonts w:cstheme="minorHAnsi"/>
          <w:lang w:val="es-419"/>
        </w:rPr>
        <w:tab/>
      </w:r>
      <w:r w:rsidR="00CB395E" w:rsidRPr="00EE054A">
        <w:rPr>
          <w:rFonts w:cstheme="minorHAnsi"/>
          <w:lang w:val="es-419"/>
        </w:rPr>
        <w:t>Normas estadísticas eficaces</w:t>
      </w:r>
    </w:p>
    <w:p w:rsidR="00CB395E" w:rsidRPr="00EE054A" w:rsidRDefault="00157EE6" w:rsidP="00157EE6">
      <w:pPr>
        <w:tabs>
          <w:tab w:val="left" w:pos="1080"/>
        </w:tabs>
        <w:spacing w:after="0" w:line="240" w:lineRule="auto"/>
        <w:ind w:left="1080" w:hanging="360"/>
        <w:contextualSpacing/>
        <w:jc w:val="both"/>
        <w:rPr>
          <w:rFonts w:cstheme="minorHAnsi"/>
          <w:lang w:val="es-419"/>
        </w:rPr>
      </w:pPr>
      <w:r>
        <w:rPr>
          <w:rFonts w:cstheme="minorHAnsi"/>
          <w:lang w:val="es-419"/>
        </w:rPr>
        <w:t>5.</w:t>
      </w:r>
      <w:r>
        <w:rPr>
          <w:rFonts w:cstheme="minorHAnsi"/>
          <w:lang w:val="es-419"/>
        </w:rPr>
        <w:tab/>
      </w:r>
      <w:r w:rsidR="00CB395E" w:rsidRPr="00EE054A">
        <w:rPr>
          <w:rFonts w:cstheme="minorHAnsi"/>
          <w:lang w:val="es-419"/>
        </w:rPr>
        <w:t>Coordinación con otros programas estadísticos internacionales o regionales</w:t>
      </w:r>
    </w:p>
    <w:p w:rsidR="00CB395E" w:rsidRPr="00EE054A" w:rsidRDefault="00157EE6" w:rsidP="00157EE6">
      <w:pPr>
        <w:tabs>
          <w:tab w:val="left" w:pos="1080"/>
        </w:tabs>
        <w:spacing w:after="0" w:line="240" w:lineRule="auto"/>
        <w:ind w:left="1080" w:hanging="360"/>
        <w:contextualSpacing/>
        <w:jc w:val="both"/>
        <w:rPr>
          <w:rFonts w:cstheme="minorHAnsi"/>
          <w:lang w:val="es-419"/>
        </w:rPr>
      </w:pPr>
      <w:r>
        <w:rPr>
          <w:rFonts w:cstheme="minorHAnsi"/>
          <w:lang w:val="es-419"/>
        </w:rPr>
        <w:t>6.</w:t>
      </w:r>
      <w:r>
        <w:rPr>
          <w:rFonts w:cstheme="minorHAnsi"/>
          <w:lang w:val="es-419"/>
        </w:rPr>
        <w:tab/>
      </w:r>
      <w:r w:rsidR="00CB395E" w:rsidRPr="00EE054A">
        <w:rPr>
          <w:rFonts w:cstheme="minorHAnsi"/>
          <w:lang w:val="es-419"/>
        </w:rPr>
        <w:t>Implementación de capacidades de análisis de riesgo predictivo según sea necesario para respaldar los futuros sistemas de navegación aérea.</w:t>
      </w:r>
    </w:p>
    <w:p w:rsidR="00CB395E" w:rsidRPr="00EE054A" w:rsidRDefault="00CB395E" w:rsidP="00EE054A">
      <w:pPr>
        <w:spacing w:after="0" w:line="240" w:lineRule="auto"/>
        <w:contextualSpacing/>
        <w:jc w:val="both"/>
        <w:rPr>
          <w:rFonts w:cstheme="minorHAnsi"/>
          <w:lang w:val="es-419"/>
        </w:rPr>
      </w:pPr>
    </w:p>
    <w:p w:rsidR="00CB395E" w:rsidRPr="00A30C15" w:rsidRDefault="00CB395E" w:rsidP="00A30C15">
      <w:pPr>
        <w:pStyle w:val="ListParagraph"/>
        <w:numPr>
          <w:ilvl w:val="0"/>
          <w:numId w:val="10"/>
        </w:numPr>
        <w:spacing w:after="0" w:line="240" w:lineRule="auto"/>
        <w:ind w:hanging="720"/>
        <w:jc w:val="both"/>
        <w:rPr>
          <w:rFonts w:cstheme="minorHAnsi"/>
          <w:b/>
          <w:lang w:val="es-419"/>
        </w:rPr>
      </w:pPr>
      <w:r w:rsidRPr="00A30C15">
        <w:rPr>
          <w:rFonts w:cstheme="minorHAnsi"/>
          <w:b/>
          <w:lang w:val="es-419"/>
        </w:rPr>
        <w:t>Términos de referencia (ToR)</w:t>
      </w:r>
    </w:p>
    <w:p w:rsidR="00CB395E" w:rsidRPr="00EE054A" w:rsidRDefault="00CB395E" w:rsidP="00EE054A">
      <w:pPr>
        <w:spacing w:after="0" w:line="240" w:lineRule="auto"/>
        <w:contextualSpacing/>
        <w:jc w:val="both"/>
        <w:rPr>
          <w:rFonts w:cstheme="minorHAnsi"/>
          <w:lang w:val="es-419"/>
        </w:rPr>
      </w:pPr>
    </w:p>
    <w:p w:rsidR="00CB395E" w:rsidRPr="00EE054A" w:rsidRDefault="00A30C15" w:rsidP="00EE054A">
      <w:pPr>
        <w:spacing w:after="0" w:line="240" w:lineRule="auto"/>
        <w:contextualSpacing/>
        <w:jc w:val="both"/>
        <w:rPr>
          <w:rFonts w:cstheme="minorHAnsi"/>
          <w:lang w:val="es-419"/>
        </w:rPr>
      </w:pPr>
      <w:r>
        <w:rPr>
          <w:rFonts w:cstheme="minorHAnsi"/>
          <w:lang w:val="es-419"/>
        </w:rPr>
        <w:t>2.1</w:t>
      </w:r>
      <w:r>
        <w:rPr>
          <w:rFonts w:cstheme="minorHAnsi"/>
          <w:lang w:val="es-419"/>
        </w:rPr>
        <w:tab/>
      </w:r>
      <w:r w:rsidR="00CB395E" w:rsidRPr="00EE054A">
        <w:rPr>
          <w:rFonts w:cstheme="minorHAnsi"/>
          <w:lang w:val="es-419"/>
        </w:rPr>
        <w:t>Se propone que los Términos de Referencia del Grupo de Trabajo de Análisis de Datos del GREPECAS (DAWG) sean aprobados por el GREPECAS. El DAWG llevará a cabo las siguientes tareas para ayudar a la Secretaría del GREPECAS en el trabajo requerido en las áreas de datos y estadísticas de aviación:</w:t>
      </w:r>
    </w:p>
    <w:p w:rsidR="00CB395E" w:rsidRPr="00EE054A" w:rsidRDefault="00CB395E" w:rsidP="00EE054A">
      <w:pPr>
        <w:spacing w:after="0" w:line="240" w:lineRule="auto"/>
        <w:contextualSpacing/>
        <w:jc w:val="both"/>
        <w:rPr>
          <w:rFonts w:cstheme="minorHAnsi"/>
          <w:lang w:val="es-419"/>
        </w:rPr>
      </w:pPr>
    </w:p>
    <w:p w:rsidR="00DA463E" w:rsidRDefault="00DA463E">
      <w:pPr>
        <w:rPr>
          <w:rFonts w:cstheme="minorHAnsi"/>
          <w:lang w:val="es-419"/>
        </w:rPr>
      </w:pPr>
      <w:r>
        <w:rPr>
          <w:rFonts w:cstheme="minorHAnsi"/>
          <w:lang w:val="es-419"/>
        </w:rPr>
        <w:br w:type="page"/>
      </w:r>
    </w:p>
    <w:tbl>
      <w:tblPr>
        <w:tblStyle w:val="TableGrid"/>
        <w:tblW w:w="0" w:type="auto"/>
        <w:jc w:val="center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55"/>
      </w:tblGrid>
      <w:tr w:rsidR="00DA463E" w:rsidRPr="00DA463E" w:rsidTr="00AC1F3B">
        <w:trPr>
          <w:jc w:val="center"/>
        </w:trPr>
        <w:tc>
          <w:tcPr>
            <w:tcW w:w="9355" w:type="dxa"/>
            <w:shd w:val="clear" w:color="auto" w:fill="E2EFD9" w:themeFill="accent6" w:themeFillTint="33"/>
          </w:tcPr>
          <w:p w:rsidR="00DA463E" w:rsidRPr="00DA463E" w:rsidRDefault="00DA463E" w:rsidP="00AC1F3B">
            <w:pPr>
              <w:contextualSpacing/>
              <w:jc w:val="both"/>
              <w:rPr>
                <w:rFonts w:cstheme="minorHAnsi"/>
                <w:lang w:val="es-419"/>
              </w:rPr>
            </w:pPr>
            <w:r w:rsidRPr="00DA463E">
              <w:rPr>
                <w:rFonts w:cstheme="minorHAnsi"/>
                <w:lang w:val="es-419"/>
              </w:rPr>
              <w:t xml:space="preserve">1. </w:t>
            </w:r>
            <w:r w:rsidRPr="00EE054A">
              <w:rPr>
                <w:rFonts w:cstheme="minorHAnsi"/>
                <w:lang w:val="es-419"/>
              </w:rPr>
              <w:t xml:space="preserve">Revisar el Programa de Datos y Estadísticas y proponerlo con miras a satisfacer las necesidades del GREPECAS, </w:t>
            </w:r>
            <w:r w:rsidR="00506581">
              <w:rPr>
                <w:rFonts w:cstheme="minorHAnsi"/>
                <w:lang w:val="es-419"/>
              </w:rPr>
              <w:t xml:space="preserve">de </w:t>
            </w:r>
            <w:r w:rsidRPr="00EE054A">
              <w:rPr>
                <w:rFonts w:cstheme="minorHAnsi"/>
                <w:lang w:val="es-419"/>
              </w:rPr>
              <w:t xml:space="preserve">los Estados Miembros y </w:t>
            </w:r>
            <w:r w:rsidR="00506581">
              <w:rPr>
                <w:rFonts w:cstheme="minorHAnsi"/>
                <w:lang w:val="es-419"/>
              </w:rPr>
              <w:t xml:space="preserve">de </w:t>
            </w:r>
            <w:r w:rsidRPr="00EE054A">
              <w:rPr>
                <w:rFonts w:cstheme="minorHAnsi"/>
                <w:lang w:val="es-419"/>
              </w:rPr>
              <w:t>otros usuarios de manera efectiva;</w:t>
            </w:r>
          </w:p>
        </w:tc>
      </w:tr>
      <w:tr w:rsidR="00DA463E" w:rsidRPr="00506581" w:rsidTr="00AC1F3B">
        <w:trPr>
          <w:jc w:val="center"/>
        </w:trPr>
        <w:tc>
          <w:tcPr>
            <w:tcW w:w="9355" w:type="dxa"/>
            <w:shd w:val="clear" w:color="auto" w:fill="E2EFD9" w:themeFill="accent6" w:themeFillTint="33"/>
          </w:tcPr>
          <w:p w:rsidR="00DA463E" w:rsidRPr="00506581" w:rsidRDefault="00DA463E" w:rsidP="00AC1F3B">
            <w:pPr>
              <w:contextualSpacing/>
              <w:jc w:val="both"/>
              <w:rPr>
                <w:rFonts w:cstheme="minorHAnsi"/>
                <w:lang w:val="es-419"/>
              </w:rPr>
            </w:pPr>
            <w:r w:rsidRPr="00506581">
              <w:rPr>
                <w:rFonts w:cstheme="minorHAnsi"/>
                <w:lang w:val="es-419"/>
              </w:rPr>
              <w:t xml:space="preserve">2. </w:t>
            </w:r>
            <w:r w:rsidR="00506581" w:rsidRPr="00EE054A">
              <w:rPr>
                <w:rFonts w:cstheme="minorHAnsi"/>
                <w:lang w:val="es-419"/>
              </w:rPr>
              <w:t>establecer las métricas necesarias para monitorear el desempeño del Grupo en el cumplimi</w:t>
            </w:r>
            <w:r w:rsidR="00506581">
              <w:rPr>
                <w:rFonts w:cstheme="minorHAnsi"/>
                <w:lang w:val="es-419"/>
              </w:rPr>
              <w:t>ento de su objetivo estratégico</w:t>
            </w:r>
            <w:r w:rsidRPr="00506581">
              <w:rPr>
                <w:rFonts w:cstheme="minorHAnsi"/>
                <w:lang w:val="es-419"/>
              </w:rPr>
              <w:t>;</w:t>
            </w:r>
          </w:p>
        </w:tc>
      </w:tr>
      <w:tr w:rsidR="00DA463E" w:rsidRPr="00506581" w:rsidTr="00AC1F3B">
        <w:trPr>
          <w:jc w:val="center"/>
        </w:trPr>
        <w:tc>
          <w:tcPr>
            <w:tcW w:w="9355" w:type="dxa"/>
            <w:shd w:val="clear" w:color="auto" w:fill="E2EFD9" w:themeFill="accent6" w:themeFillTint="33"/>
          </w:tcPr>
          <w:p w:rsidR="00DA463E" w:rsidRPr="00506581" w:rsidRDefault="00DA463E" w:rsidP="00506581">
            <w:pPr>
              <w:contextualSpacing/>
              <w:jc w:val="both"/>
              <w:rPr>
                <w:rFonts w:cstheme="minorHAnsi"/>
                <w:lang w:val="es-419"/>
              </w:rPr>
            </w:pPr>
            <w:r w:rsidRPr="00506581">
              <w:rPr>
                <w:rFonts w:cstheme="minorHAnsi"/>
                <w:lang w:val="es-419"/>
              </w:rPr>
              <w:t xml:space="preserve">3. </w:t>
            </w:r>
            <w:r w:rsidR="00506581" w:rsidRPr="00EE054A">
              <w:rPr>
                <w:rFonts w:cstheme="minorHAnsi"/>
                <w:lang w:val="es-419"/>
              </w:rPr>
              <w:t xml:space="preserve">mejorar la uniformidad del formato y el contenido de los datos para las estadísticas y el análisis relacionado, así como la puntualidad y la integridad de los informes de los Estados </w:t>
            </w:r>
            <w:r w:rsidR="00506581">
              <w:rPr>
                <w:rFonts w:cstheme="minorHAnsi"/>
                <w:lang w:val="es-419"/>
              </w:rPr>
              <w:t>miembros;</w:t>
            </w:r>
          </w:p>
        </w:tc>
      </w:tr>
      <w:tr w:rsidR="00DA463E" w:rsidRPr="00506581" w:rsidTr="00AC1F3B">
        <w:trPr>
          <w:jc w:val="center"/>
        </w:trPr>
        <w:tc>
          <w:tcPr>
            <w:tcW w:w="9355" w:type="dxa"/>
            <w:shd w:val="clear" w:color="auto" w:fill="E2EFD9" w:themeFill="accent6" w:themeFillTint="33"/>
          </w:tcPr>
          <w:p w:rsidR="00DA463E" w:rsidRPr="00506581" w:rsidRDefault="00DA463E" w:rsidP="00AC1F3B">
            <w:pPr>
              <w:contextualSpacing/>
              <w:jc w:val="both"/>
              <w:rPr>
                <w:rFonts w:cstheme="minorHAnsi"/>
                <w:lang w:val="es-419"/>
              </w:rPr>
            </w:pPr>
            <w:r w:rsidRPr="00506581">
              <w:rPr>
                <w:rFonts w:cstheme="minorHAnsi"/>
                <w:lang w:val="es-419"/>
              </w:rPr>
              <w:t xml:space="preserve">4. </w:t>
            </w:r>
            <w:r w:rsidR="00506581">
              <w:rPr>
                <w:rFonts w:cstheme="minorHAnsi"/>
                <w:lang w:val="es-419"/>
              </w:rPr>
              <w:t>d</w:t>
            </w:r>
            <w:r w:rsidR="00506581" w:rsidRPr="00EE054A">
              <w:rPr>
                <w:rFonts w:cstheme="minorHAnsi"/>
                <w:lang w:val="es-419"/>
              </w:rPr>
              <w:t xml:space="preserve">esarrollar un proceso que permita la armonización de los datos provenientes de fuentes distintas </w:t>
            </w:r>
            <w:r w:rsidR="00506581">
              <w:rPr>
                <w:rFonts w:cstheme="minorHAnsi"/>
                <w:lang w:val="es-419"/>
              </w:rPr>
              <w:t xml:space="preserve">a las </w:t>
            </w:r>
            <w:r w:rsidR="00506581" w:rsidRPr="00EE054A">
              <w:rPr>
                <w:rFonts w:cstheme="minorHAnsi"/>
                <w:lang w:val="es-419"/>
              </w:rPr>
              <w:t xml:space="preserve">de los Estados, incluidos los medios para garantizar la cooperación con otras organizaciones internacionales activas en la recopilación y distribución de </w:t>
            </w:r>
            <w:r w:rsidR="00506581">
              <w:rPr>
                <w:rFonts w:cstheme="minorHAnsi"/>
                <w:lang w:val="es-419"/>
              </w:rPr>
              <w:t>datos de seguridad operacional;</w:t>
            </w:r>
          </w:p>
        </w:tc>
      </w:tr>
      <w:tr w:rsidR="00DA463E" w:rsidRPr="00506581" w:rsidTr="00AC1F3B">
        <w:trPr>
          <w:jc w:val="center"/>
        </w:trPr>
        <w:tc>
          <w:tcPr>
            <w:tcW w:w="9355" w:type="dxa"/>
            <w:shd w:val="clear" w:color="auto" w:fill="E2EFD9" w:themeFill="accent6" w:themeFillTint="33"/>
          </w:tcPr>
          <w:p w:rsidR="00DA463E" w:rsidRPr="00506581" w:rsidRDefault="00506581" w:rsidP="00AC1F3B">
            <w:pPr>
              <w:contextualSpacing/>
              <w:jc w:val="both"/>
              <w:rPr>
                <w:rFonts w:cstheme="minorHAnsi"/>
                <w:lang w:val="es-419"/>
              </w:rPr>
            </w:pPr>
            <w:r w:rsidRPr="00EE054A">
              <w:rPr>
                <w:rFonts w:cstheme="minorHAnsi"/>
                <w:lang w:val="es-419"/>
              </w:rPr>
              <w:t>5. crear, albergar y administrar una plataforma en la que la comunidad de la aviación pueda compartir y promover sus datos y herramientas electrónicas, con fines tales como, entre otros, la planificación de sistemas de navegación</w:t>
            </w:r>
            <w:r>
              <w:rPr>
                <w:rFonts w:cstheme="minorHAnsi"/>
                <w:lang w:val="es-419"/>
              </w:rPr>
              <w:t xml:space="preserve"> aérea y el análisis ambiental;</w:t>
            </w:r>
          </w:p>
        </w:tc>
      </w:tr>
      <w:tr w:rsidR="00DA463E" w:rsidRPr="00B56245" w:rsidTr="00AC1F3B">
        <w:trPr>
          <w:jc w:val="center"/>
        </w:trPr>
        <w:tc>
          <w:tcPr>
            <w:tcW w:w="9355" w:type="dxa"/>
            <w:shd w:val="clear" w:color="auto" w:fill="E2EFD9" w:themeFill="accent6" w:themeFillTint="33"/>
          </w:tcPr>
          <w:p w:rsidR="00DA463E" w:rsidRPr="00B56245" w:rsidRDefault="00B56245" w:rsidP="00AC1F3B">
            <w:pPr>
              <w:contextualSpacing/>
              <w:jc w:val="both"/>
              <w:rPr>
                <w:rFonts w:cstheme="minorHAnsi"/>
                <w:lang w:val="es-419"/>
              </w:rPr>
            </w:pPr>
            <w:r w:rsidRPr="00EE054A">
              <w:rPr>
                <w:rFonts w:cstheme="minorHAnsi"/>
                <w:lang w:val="es-419"/>
              </w:rPr>
              <w:t>6. DAWG apoyará</w:t>
            </w:r>
            <w:r>
              <w:rPr>
                <w:rFonts w:cstheme="minorHAnsi"/>
                <w:lang w:val="es-419"/>
              </w:rPr>
              <w:t xml:space="preserve"> en la realización de</w:t>
            </w:r>
            <w:r w:rsidRPr="00EE054A">
              <w:rPr>
                <w:rFonts w:cstheme="minorHAnsi"/>
                <w:lang w:val="es-419"/>
              </w:rPr>
              <w:t xml:space="preserve"> las tareas asignadas por GREPECAS y RASG-PA, y tomará e</w:t>
            </w:r>
            <w:r>
              <w:rPr>
                <w:rFonts w:cstheme="minorHAnsi"/>
                <w:lang w:val="es-419"/>
              </w:rPr>
              <w:t>n cuenta la importancia de las e</w:t>
            </w:r>
            <w:r w:rsidRPr="00EE054A">
              <w:rPr>
                <w:rFonts w:cstheme="minorHAnsi"/>
                <w:lang w:val="es-419"/>
              </w:rPr>
              <w:t xml:space="preserve">stadísticas para los Estados y partes interesadas. Además, su trabajo se alineará con los objetivos del Plan mundial de navegación aérea (GANP) y </w:t>
            </w:r>
            <w:r>
              <w:rPr>
                <w:rFonts w:cstheme="minorHAnsi"/>
                <w:lang w:val="es-419"/>
              </w:rPr>
              <w:t>d</w:t>
            </w:r>
            <w:r w:rsidRPr="00EE054A">
              <w:rPr>
                <w:rFonts w:cstheme="minorHAnsi"/>
                <w:lang w:val="es-419"/>
              </w:rPr>
              <w:t>el Plan mundial de seguridad operacional d</w:t>
            </w:r>
            <w:r>
              <w:rPr>
                <w:rFonts w:cstheme="minorHAnsi"/>
                <w:lang w:val="es-419"/>
              </w:rPr>
              <w:t>e la aviación (GASP) para 2027.</w:t>
            </w:r>
          </w:p>
        </w:tc>
      </w:tr>
    </w:tbl>
    <w:p w:rsidR="00DA463E" w:rsidRPr="00B56245" w:rsidRDefault="00DA463E" w:rsidP="00EE054A">
      <w:pPr>
        <w:spacing w:after="0" w:line="240" w:lineRule="auto"/>
        <w:contextualSpacing/>
        <w:jc w:val="both"/>
        <w:rPr>
          <w:rFonts w:cstheme="minorHAnsi"/>
          <w:lang w:val="es-419"/>
        </w:rPr>
      </w:pPr>
    </w:p>
    <w:p w:rsidR="00CB395E" w:rsidRPr="00B56245" w:rsidRDefault="00B56245" w:rsidP="00B56245">
      <w:pPr>
        <w:pStyle w:val="ListParagraph"/>
        <w:numPr>
          <w:ilvl w:val="0"/>
          <w:numId w:val="10"/>
        </w:numPr>
        <w:spacing w:after="0" w:line="240" w:lineRule="auto"/>
        <w:ind w:hanging="720"/>
        <w:jc w:val="both"/>
        <w:rPr>
          <w:rFonts w:cstheme="minorHAnsi"/>
          <w:b/>
          <w:lang w:val="es-419"/>
        </w:rPr>
      </w:pPr>
      <w:r>
        <w:rPr>
          <w:rFonts w:cstheme="minorHAnsi"/>
          <w:b/>
          <w:lang w:val="es-419"/>
        </w:rPr>
        <w:t>Membresía</w:t>
      </w:r>
      <w:r w:rsidR="00CB395E" w:rsidRPr="00B56245">
        <w:rPr>
          <w:rFonts w:cstheme="minorHAnsi"/>
          <w:b/>
          <w:lang w:val="es-419"/>
        </w:rPr>
        <w:t>/composición</w:t>
      </w:r>
    </w:p>
    <w:p w:rsidR="00CB395E" w:rsidRPr="00CB395E" w:rsidRDefault="00CB395E" w:rsidP="00EE054A">
      <w:pPr>
        <w:spacing w:after="0" w:line="240" w:lineRule="auto"/>
        <w:contextualSpacing/>
        <w:jc w:val="both"/>
        <w:rPr>
          <w:rFonts w:cstheme="minorHAnsi"/>
          <w:b/>
          <w:lang w:val="es-419"/>
        </w:rPr>
      </w:pPr>
    </w:p>
    <w:p w:rsidR="00CB395E" w:rsidRPr="00EE054A" w:rsidRDefault="00CB395E" w:rsidP="00EE054A">
      <w:pPr>
        <w:spacing w:after="0" w:line="240" w:lineRule="auto"/>
        <w:contextualSpacing/>
        <w:jc w:val="both"/>
        <w:rPr>
          <w:rFonts w:cstheme="minorHAnsi"/>
          <w:lang w:val="es-419"/>
        </w:rPr>
      </w:pPr>
      <w:r w:rsidRPr="00EE054A">
        <w:rPr>
          <w:rFonts w:cstheme="minorHAnsi"/>
          <w:lang w:val="es-419"/>
        </w:rPr>
        <w:t>3.1</w:t>
      </w:r>
      <w:r w:rsidR="00B56245">
        <w:rPr>
          <w:rFonts w:cstheme="minorHAnsi"/>
          <w:lang w:val="es-419"/>
        </w:rPr>
        <w:tab/>
      </w:r>
      <w:r w:rsidRPr="00EE054A">
        <w:rPr>
          <w:rFonts w:cstheme="minorHAnsi"/>
          <w:lang w:val="es-419"/>
        </w:rPr>
        <w:t>El DAWG estará integrado por representantes de los Estados CAR y SAM, órganos contribuyentes del GREPECAS, la industria y Organi</w:t>
      </w:r>
      <w:r w:rsidR="00B56245">
        <w:rPr>
          <w:rFonts w:cstheme="minorHAnsi"/>
          <w:lang w:val="es-419"/>
        </w:rPr>
        <w:t>zaci</w:t>
      </w:r>
      <w:r w:rsidRPr="00EE054A">
        <w:rPr>
          <w:rFonts w:cstheme="minorHAnsi"/>
          <w:lang w:val="es-419"/>
        </w:rPr>
        <w:t>o</w:t>
      </w:r>
      <w:r w:rsidR="00B56245">
        <w:rPr>
          <w:rFonts w:cstheme="minorHAnsi"/>
          <w:lang w:val="es-419"/>
        </w:rPr>
        <w:t>ne</w:t>
      </w:r>
      <w:r w:rsidRPr="00EE054A">
        <w:rPr>
          <w:rFonts w:cstheme="minorHAnsi"/>
          <w:lang w:val="es-419"/>
        </w:rPr>
        <w:t>s Internacionales, con capacidades estadísticas y de análisis de datos.</w:t>
      </w:r>
    </w:p>
    <w:p w:rsidR="00CB395E" w:rsidRPr="00EE054A" w:rsidRDefault="00CB395E" w:rsidP="00EE054A">
      <w:pPr>
        <w:spacing w:after="0" w:line="240" w:lineRule="auto"/>
        <w:contextualSpacing/>
        <w:jc w:val="both"/>
        <w:rPr>
          <w:rFonts w:cstheme="minorHAnsi"/>
          <w:lang w:val="es-419"/>
        </w:rPr>
      </w:pPr>
    </w:p>
    <w:p w:rsidR="00CB395E" w:rsidRPr="00EE054A" w:rsidRDefault="00364D26" w:rsidP="00364D26">
      <w:pPr>
        <w:tabs>
          <w:tab w:val="left" w:pos="720"/>
        </w:tabs>
        <w:spacing w:after="0" w:line="240" w:lineRule="auto"/>
        <w:contextualSpacing/>
        <w:jc w:val="both"/>
        <w:rPr>
          <w:rFonts w:cstheme="minorHAnsi"/>
          <w:lang w:val="es-419"/>
        </w:rPr>
      </w:pPr>
      <w:r>
        <w:rPr>
          <w:rFonts w:cstheme="minorHAnsi"/>
          <w:lang w:val="es-419"/>
        </w:rPr>
        <w:t>3.2</w:t>
      </w:r>
      <w:r>
        <w:rPr>
          <w:rFonts w:cstheme="minorHAnsi"/>
          <w:lang w:val="es-419"/>
        </w:rPr>
        <w:tab/>
      </w:r>
      <w:r w:rsidR="00CB395E" w:rsidRPr="00EE054A">
        <w:rPr>
          <w:rFonts w:cstheme="minorHAnsi"/>
          <w:lang w:val="es-419"/>
        </w:rPr>
        <w:t>El DAWG estará compuesto por un mínimo de tr</w:t>
      </w:r>
      <w:r>
        <w:rPr>
          <w:rFonts w:cstheme="minorHAnsi"/>
          <w:lang w:val="es-419"/>
        </w:rPr>
        <w:t xml:space="preserve">es miembros. El </w:t>
      </w:r>
      <w:r w:rsidR="00CB395E" w:rsidRPr="00EE054A">
        <w:rPr>
          <w:rFonts w:cstheme="minorHAnsi"/>
          <w:lang w:val="es-419"/>
        </w:rPr>
        <w:t>C</w:t>
      </w:r>
      <w:r>
        <w:rPr>
          <w:rFonts w:cstheme="minorHAnsi"/>
          <w:lang w:val="es-419"/>
        </w:rPr>
        <w:t>RPP</w:t>
      </w:r>
      <w:r w:rsidR="00CB395E" w:rsidRPr="00EE054A">
        <w:rPr>
          <w:rFonts w:cstheme="minorHAnsi"/>
          <w:lang w:val="es-419"/>
        </w:rPr>
        <w:t xml:space="preserve"> coordinará con las oficinas regionales</w:t>
      </w:r>
      <w:r>
        <w:rPr>
          <w:rFonts w:cstheme="minorHAnsi"/>
          <w:lang w:val="es-419"/>
        </w:rPr>
        <w:t xml:space="preserve"> de la OACI</w:t>
      </w:r>
      <w:r w:rsidR="00CB395E" w:rsidRPr="00EE054A">
        <w:rPr>
          <w:rFonts w:cstheme="minorHAnsi"/>
          <w:lang w:val="es-419"/>
        </w:rPr>
        <w:t xml:space="preserve">, </w:t>
      </w:r>
      <w:r>
        <w:rPr>
          <w:rFonts w:cstheme="minorHAnsi"/>
          <w:lang w:val="es-419"/>
        </w:rPr>
        <w:t xml:space="preserve">con </w:t>
      </w:r>
      <w:r w:rsidR="00CB395E" w:rsidRPr="00EE054A">
        <w:rPr>
          <w:rFonts w:cstheme="minorHAnsi"/>
          <w:lang w:val="es-419"/>
        </w:rPr>
        <w:t xml:space="preserve">la industria y </w:t>
      </w:r>
      <w:r>
        <w:rPr>
          <w:rFonts w:cstheme="minorHAnsi"/>
          <w:lang w:val="es-419"/>
        </w:rPr>
        <w:t xml:space="preserve">con </w:t>
      </w:r>
      <w:r w:rsidR="00CB395E" w:rsidRPr="00EE054A">
        <w:rPr>
          <w:rFonts w:cstheme="minorHAnsi"/>
          <w:lang w:val="es-419"/>
        </w:rPr>
        <w:t xml:space="preserve">las </w:t>
      </w:r>
      <w:r>
        <w:rPr>
          <w:rFonts w:cstheme="minorHAnsi"/>
          <w:lang w:val="es-419"/>
        </w:rPr>
        <w:t xml:space="preserve">organizaciones internacionales </w:t>
      </w:r>
      <w:r w:rsidR="00CB395E" w:rsidRPr="00EE054A">
        <w:rPr>
          <w:rFonts w:cstheme="minorHAnsi"/>
          <w:lang w:val="es-419"/>
        </w:rPr>
        <w:t>para garantizar que se brinde este apoyo.</w:t>
      </w:r>
    </w:p>
    <w:p w:rsidR="00CB395E" w:rsidRPr="00EE054A" w:rsidRDefault="00CB395E" w:rsidP="00EE054A">
      <w:pPr>
        <w:spacing w:after="0" w:line="240" w:lineRule="auto"/>
        <w:contextualSpacing/>
        <w:jc w:val="both"/>
        <w:rPr>
          <w:rFonts w:cstheme="minorHAnsi"/>
          <w:lang w:val="es-419"/>
        </w:rPr>
      </w:pPr>
    </w:p>
    <w:p w:rsidR="00CB395E" w:rsidRPr="00EE054A" w:rsidRDefault="00364D26" w:rsidP="00EE054A">
      <w:pPr>
        <w:spacing w:after="0" w:line="240" w:lineRule="auto"/>
        <w:contextualSpacing/>
        <w:jc w:val="both"/>
        <w:rPr>
          <w:rFonts w:cstheme="minorHAnsi"/>
          <w:lang w:val="es-419"/>
        </w:rPr>
      </w:pPr>
      <w:r>
        <w:rPr>
          <w:rFonts w:cstheme="minorHAnsi"/>
          <w:lang w:val="es-419"/>
        </w:rPr>
        <w:t>3.3</w:t>
      </w:r>
      <w:r>
        <w:rPr>
          <w:rFonts w:cstheme="minorHAnsi"/>
          <w:lang w:val="es-419"/>
        </w:rPr>
        <w:tab/>
      </w:r>
      <w:r w:rsidR="00CB395E" w:rsidRPr="00EE054A">
        <w:rPr>
          <w:rFonts w:cstheme="minorHAnsi"/>
          <w:lang w:val="es-419"/>
        </w:rPr>
        <w:t>Una vez establecido, los miembro</w:t>
      </w:r>
      <w:r>
        <w:rPr>
          <w:rFonts w:cstheme="minorHAnsi"/>
          <w:lang w:val="es-419"/>
        </w:rPr>
        <w:t>s del equipo DAWG nombrarán un P</w:t>
      </w:r>
      <w:r w:rsidR="00CB395E" w:rsidRPr="00EE054A">
        <w:rPr>
          <w:rFonts w:cstheme="minorHAnsi"/>
          <w:lang w:val="es-419"/>
        </w:rPr>
        <w:t>residente para que actúe como coordinador general y representante del equipo. La membresía de</w:t>
      </w:r>
      <w:r>
        <w:rPr>
          <w:rFonts w:cstheme="minorHAnsi"/>
          <w:lang w:val="es-419"/>
        </w:rPr>
        <w:t>l DAWG se</w:t>
      </w:r>
      <w:r w:rsidR="00CB395E" w:rsidRPr="00EE054A">
        <w:rPr>
          <w:rFonts w:cstheme="minorHAnsi"/>
          <w:lang w:val="es-419"/>
        </w:rPr>
        <w:t>gu</w:t>
      </w:r>
      <w:r>
        <w:rPr>
          <w:rFonts w:cstheme="minorHAnsi"/>
          <w:lang w:val="es-419"/>
        </w:rPr>
        <w:t>irá</w:t>
      </w:r>
      <w:r w:rsidR="00CB395E" w:rsidRPr="00EE054A">
        <w:rPr>
          <w:rFonts w:cstheme="minorHAnsi"/>
          <w:lang w:val="es-419"/>
        </w:rPr>
        <w:t xml:space="preserve"> siendo válida hasta que el Estado/Industria/Organización Internacional </w:t>
      </w:r>
      <w:r>
        <w:rPr>
          <w:rFonts w:cstheme="minorHAnsi"/>
          <w:lang w:val="es-419"/>
        </w:rPr>
        <w:t>que representa solicite cambiar</w:t>
      </w:r>
      <w:r w:rsidR="00CB395E" w:rsidRPr="00EE054A">
        <w:rPr>
          <w:rFonts w:cstheme="minorHAnsi"/>
          <w:lang w:val="es-419"/>
        </w:rPr>
        <w:t>/reemplazar o cancelar esta membresía.</w:t>
      </w:r>
    </w:p>
    <w:p w:rsidR="00CB395E" w:rsidRPr="00EE054A" w:rsidRDefault="00CB395E" w:rsidP="00EE054A">
      <w:pPr>
        <w:spacing w:after="0" w:line="240" w:lineRule="auto"/>
        <w:contextualSpacing/>
        <w:jc w:val="both"/>
        <w:rPr>
          <w:rFonts w:cstheme="minorHAnsi"/>
          <w:lang w:val="es-419"/>
        </w:rPr>
      </w:pPr>
    </w:p>
    <w:p w:rsidR="00CB395E" w:rsidRPr="00364D26" w:rsidRDefault="00CB395E" w:rsidP="00364D26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hanging="720"/>
        <w:jc w:val="both"/>
        <w:rPr>
          <w:rFonts w:cstheme="minorHAnsi"/>
          <w:b/>
          <w:lang w:val="es-419"/>
        </w:rPr>
      </w:pPr>
      <w:r w:rsidRPr="00364D26">
        <w:rPr>
          <w:rFonts w:cstheme="minorHAnsi"/>
          <w:b/>
          <w:lang w:val="es-419"/>
        </w:rPr>
        <w:t>Reuniones</w:t>
      </w:r>
    </w:p>
    <w:p w:rsidR="00CB395E" w:rsidRPr="00CB395E" w:rsidRDefault="00CB395E" w:rsidP="00EE054A">
      <w:pPr>
        <w:spacing w:after="0" w:line="240" w:lineRule="auto"/>
        <w:contextualSpacing/>
        <w:jc w:val="both"/>
        <w:rPr>
          <w:rFonts w:cstheme="minorHAnsi"/>
          <w:b/>
          <w:lang w:val="es-419"/>
        </w:rPr>
      </w:pPr>
    </w:p>
    <w:p w:rsidR="00CB395E" w:rsidRPr="00EE054A" w:rsidRDefault="00CB395E" w:rsidP="00EE054A">
      <w:pPr>
        <w:spacing w:after="0" w:line="240" w:lineRule="auto"/>
        <w:contextualSpacing/>
        <w:jc w:val="both"/>
        <w:rPr>
          <w:rFonts w:cstheme="minorHAnsi"/>
          <w:lang w:val="es-419"/>
        </w:rPr>
      </w:pPr>
      <w:r w:rsidRPr="00EE054A">
        <w:rPr>
          <w:rFonts w:cstheme="minorHAnsi"/>
          <w:lang w:val="es-419"/>
        </w:rPr>
        <w:t>4.1</w:t>
      </w:r>
      <w:r w:rsidR="00364D26">
        <w:rPr>
          <w:rFonts w:cstheme="minorHAnsi"/>
          <w:lang w:val="es-419"/>
        </w:rPr>
        <w:tab/>
      </w:r>
      <w:r w:rsidRPr="00EE054A">
        <w:rPr>
          <w:rFonts w:cstheme="minorHAnsi"/>
          <w:lang w:val="es-419"/>
        </w:rPr>
        <w:t>El equipo determinará la nec</w:t>
      </w:r>
      <w:r w:rsidR="00364D26">
        <w:rPr>
          <w:rFonts w:cstheme="minorHAnsi"/>
          <w:lang w:val="es-419"/>
        </w:rPr>
        <w:t>esidad de reuniones virtuales y</w:t>
      </w:r>
      <w:r w:rsidRPr="00EE054A">
        <w:rPr>
          <w:rFonts w:cstheme="minorHAnsi"/>
          <w:lang w:val="es-419"/>
        </w:rPr>
        <w:t>/o presenciales para cumplir con su mandato.</w:t>
      </w:r>
    </w:p>
    <w:p w:rsidR="00CB395E" w:rsidRPr="00CB395E" w:rsidRDefault="00CB395E" w:rsidP="00EE054A">
      <w:pPr>
        <w:spacing w:after="0" w:line="240" w:lineRule="auto"/>
        <w:contextualSpacing/>
        <w:jc w:val="both"/>
        <w:rPr>
          <w:rFonts w:cstheme="minorHAnsi"/>
          <w:b/>
          <w:lang w:val="es-419"/>
        </w:rPr>
      </w:pPr>
    </w:p>
    <w:p w:rsidR="00CB395E" w:rsidRPr="00364D26" w:rsidRDefault="00CB395E" w:rsidP="00364D26">
      <w:pPr>
        <w:pStyle w:val="ListParagraph"/>
        <w:numPr>
          <w:ilvl w:val="0"/>
          <w:numId w:val="10"/>
        </w:numPr>
        <w:spacing w:after="0" w:line="240" w:lineRule="auto"/>
        <w:ind w:hanging="720"/>
        <w:jc w:val="both"/>
        <w:rPr>
          <w:rFonts w:cstheme="minorHAnsi"/>
          <w:b/>
          <w:lang w:val="es-419"/>
        </w:rPr>
      </w:pPr>
      <w:r w:rsidRPr="00364D26">
        <w:rPr>
          <w:rFonts w:cstheme="minorHAnsi"/>
          <w:b/>
          <w:lang w:val="es-419"/>
        </w:rPr>
        <w:t>Productos</w:t>
      </w:r>
    </w:p>
    <w:p w:rsidR="00CB395E" w:rsidRPr="00CB395E" w:rsidRDefault="00CB395E" w:rsidP="00EE054A">
      <w:pPr>
        <w:spacing w:after="0" w:line="240" w:lineRule="auto"/>
        <w:contextualSpacing/>
        <w:jc w:val="both"/>
        <w:rPr>
          <w:rFonts w:cstheme="minorHAnsi"/>
          <w:b/>
          <w:lang w:val="es-419"/>
        </w:rPr>
      </w:pPr>
    </w:p>
    <w:p w:rsidR="00CB395E" w:rsidRPr="00EE054A" w:rsidRDefault="00364D26" w:rsidP="00EE054A">
      <w:pPr>
        <w:spacing w:after="0" w:line="240" w:lineRule="auto"/>
        <w:contextualSpacing/>
        <w:jc w:val="both"/>
        <w:rPr>
          <w:rFonts w:cstheme="minorHAnsi"/>
          <w:lang w:val="es-419"/>
        </w:rPr>
      </w:pPr>
      <w:r>
        <w:rPr>
          <w:rFonts w:cstheme="minorHAnsi"/>
          <w:lang w:val="es-419"/>
        </w:rPr>
        <w:t>5.1</w:t>
      </w:r>
      <w:r>
        <w:rPr>
          <w:rFonts w:cstheme="minorHAnsi"/>
          <w:lang w:val="es-419"/>
        </w:rPr>
        <w:tab/>
      </w:r>
      <w:r w:rsidR="00CB395E" w:rsidRPr="00EE054A">
        <w:rPr>
          <w:rFonts w:cstheme="minorHAnsi"/>
          <w:lang w:val="es-419"/>
        </w:rPr>
        <w:t>El DAWG será responsable de la generación y actualización de los siguientes productos:</w:t>
      </w:r>
    </w:p>
    <w:p w:rsidR="00CB395E" w:rsidRPr="00EE054A" w:rsidRDefault="00CB395E" w:rsidP="00EE054A">
      <w:pPr>
        <w:spacing w:after="0" w:line="240" w:lineRule="auto"/>
        <w:contextualSpacing/>
        <w:jc w:val="both"/>
        <w:rPr>
          <w:rFonts w:cstheme="minorHAnsi"/>
          <w:lang w:val="es-419"/>
        </w:rPr>
      </w:pPr>
    </w:p>
    <w:p w:rsidR="00CB395E" w:rsidRPr="00EE054A" w:rsidRDefault="00364D26" w:rsidP="00364D26">
      <w:pPr>
        <w:tabs>
          <w:tab w:val="left" w:pos="1080"/>
        </w:tabs>
        <w:spacing w:after="0" w:line="240" w:lineRule="auto"/>
        <w:ind w:left="1080" w:hanging="360"/>
        <w:contextualSpacing/>
        <w:jc w:val="both"/>
        <w:rPr>
          <w:rFonts w:cstheme="minorHAnsi"/>
          <w:lang w:val="es-419"/>
        </w:rPr>
      </w:pPr>
      <w:r>
        <w:rPr>
          <w:rFonts w:cstheme="minorHAnsi"/>
          <w:lang w:val="es-419"/>
        </w:rPr>
        <w:t>a)</w:t>
      </w:r>
      <w:r>
        <w:rPr>
          <w:rFonts w:cstheme="minorHAnsi"/>
          <w:lang w:val="es-419"/>
        </w:rPr>
        <w:tab/>
      </w:r>
      <w:r w:rsidR="00CB395E" w:rsidRPr="00EE054A">
        <w:rPr>
          <w:rFonts w:cstheme="minorHAnsi"/>
          <w:lang w:val="es-419"/>
        </w:rPr>
        <w:t>Seguimiento del estado de los KPI del GREPECAS/panel de control e informe anual de los KPI del GREPECAS</w:t>
      </w:r>
    </w:p>
    <w:p w:rsidR="00CB395E" w:rsidRPr="00EE054A" w:rsidRDefault="00364D26" w:rsidP="00364D26">
      <w:pPr>
        <w:tabs>
          <w:tab w:val="left" w:pos="1080"/>
        </w:tabs>
        <w:spacing w:after="0" w:line="240" w:lineRule="auto"/>
        <w:ind w:left="1080" w:hanging="360"/>
        <w:contextualSpacing/>
        <w:jc w:val="both"/>
        <w:rPr>
          <w:rFonts w:cstheme="minorHAnsi"/>
          <w:lang w:val="es-419"/>
        </w:rPr>
      </w:pPr>
      <w:r>
        <w:rPr>
          <w:rFonts w:cstheme="minorHAnsi"/>
          <w:lang w:val="es-419"/>
        </w:rPr>
        <w:t>b)</w:t>
      </w:r>
      <w:r>
        <w:rPr>
          <w:rFonts w:cstheme="minorHAnsi"/>
          <w:lang w:val="es-419"/>
        </w:rPr>
        <w:tab/>
      </w:r>
      <w:r w:rsidR="00CB395E" w:rsidRPr="00EE054A">
        <w:rPr>
          <w:rFonts w:cstheme="minorHAnsi"/>
          <w:lang w:val="es-419"/>
        </w:rPr>
        <w:t>Identificar puntos críticos del espacio aéreo para correlacionarlos con eventos de pérdida de separación para mejorar la seguridad</w:t>
      </w:r>
    </w:p>
    <w:p w:rsidR="00CB395E" w:rsidRPr="00EE054A" w:rsidRDefault="00364D26" w:rsidP="00364D26">
      <w:pPr>
        <w:tabs>
          <w:tab w:val="left" w:pos="1080"/>
        </w:tabs>
        <w:spacing w:after="0" w:line="240" w:lineRule="auto"/>
        <w:ind w:left="1080" w:hanging="360"/>
        <w:contextualSpacing/>
        <w:jc w:val="both"/>
        <w:rPr>
          <w:rFonts w:cstheme="minorHAnsi"/>
          <w:lang w:val="es-419"/>
        </w:rPr>
      </w:pPr>
      <w:r>
        <w:rPr>
          <w:rFonts w:cstheme="minorHAnsi"/>
          <w:lang w:val="es-419"/>
        </w:rPr>
        <w:t>c)</w:t>
      </w:r>
      <w:r>
        <w:rPr>
          <w:rFonts w:cstheme="minorHAnsi"/>
          <w:lang w:val="es-419"/>
        </w:rPr>
        <w:tab/>
      </w:r>
      <w:r w:rsidR="00CB395E" w:rsidRPr="00EE054A">
        <w:rPr>
          <w:rFonts w:cstheme="minorHAnsi"/>
          <w:lang w:val="es-419"/>
        </w:rPr>
        <w:t>Identificar los puntos críticos del terreno para correlacionarlos con la pérdida de espacio libre del te</w:t>
      </w:r>
      <w:r w:rsidR="00764994">
        <w:rPr>
          <w:rFonts w:cstheme="minorHAnsi"/>
          <w:lang w:val="es-419"/>
        </w:rPr>
        <w:t>rreno para mejorar la seguridad</w:t>
      </w:r>
    </w:p>
    <w:p w:rsidR="005F78D7" w:rsidRPr="00EE054A" w:rsidRDefault="00764994" w:rsidP="00764994">
      <w:pPr>
        <w:spacing w:after="0" w:line="240" w:lineRule="auto"/>
        <w:contextualSpacing/>
        <w:jc w:val="both"/>
        <w:rPr>
          <w:rFonts w:cstheme="minorHAnsi"/>
          <w:lang w:val="es-419"/>
        </w:rPr>
      </w:pPr>
      <w:r>
        <w:rPr>
          <w:rFonts w:cstheme="minorHAnsi"/>
          <w:lang w:val="es-419"/>
        </w:rPr>
        <w:t>5.2</w:t>
      </w:r>
      <w:r>
        <w:rPr>
          <w:rFonts w:cstheme="minorHAnsi"/>
          <w:lang w:val="es-419"/>
        </w:rPr>
        <w:tab/>
        <w:t>El s</w:t>
      </w:r>
      <w:r w:rsidRPr="00EE054A">
        <w:rPr>
          <w:rFonts w:cstheme="minorHAnsi"/>
          <w:lang w:val="es-419"/>
        </w:rPr>
        <w:t>eguimiento del estado de los KPI del GREPECAS/panel de control</w:t>
      </w:r>
      <w:r w:rsidR="00CB395E" w:rsidRPr="00EE054A">
        <w:rPr>
          <w:rFonts w:cstheme="minorHAnsi"/>
          <w:lang w:val="es-419"/>
        </w:rPr>
        <w:t xml:space="preserve"> se actualizará, al menos, una vez cada semestre. En cada actualización, el DAWG revisará la información </w:t>
      </w:r>
      <w:r w:rsidR="001C3B3D">
        <w:rPr>
          <w:rFonts w:cstheme="minorHAnsi"/>
          <w:lang w:val="es-419"/>
        </w:rPr>
        <w:t>y reportará al ESC (RASG-PA) sobr</w:t>
      </w:r>
      <w:r w:rsidR="00CB395E" w:rsidRPr="00EE054A">
        <w:rPr>
          <w:rFonts w:cstheme="minorHAnsi"/>
          <w:lang w:val="es-419"/>
        </w:rPr>
        <w:t xml:space="preserve">e las desviaciones significativas en los SPI o cualquier otra información de seguridad </w:t>
      </w:r>
      <w:r w:rsidR="001C3B3D">
        <w:rPr>
          <w:rFonts w:cstheme="minorHAnsi"/>
          <w:lang w:val="es-419"/>
        </w:rPr>
        <w:t xml:space="preserve">operacional </w:t>
      </w:r>
      <w:r w:rsidR="00CB395E" w:rsidRPr="00EE054A">
        <w:rPr>
          <w:rFonts w:cstheme="minorHAnsi"/>
          <w:lang w:val="es-419"/>
        </w:rPr>
        <w:t>relevante. Además, el DAWG notificará a PA-RAST si se observa una desviación relevante del rendimiento esperado en el análisis de datos respectivo.</w:t>
      </w:r>
    </w:p>
    <w:p w:rsidR="002759C6" w:rsidRPr="00CB395E" w:rsidRDefault="002759C6" w:rsidP="00EE054A">
      <w:pPr>
        <w:spacing w:after="0" w:line="240" w:lineRule="auto"/>
        <w:contextualSpacing/>
        <w:jc w:val="both"/>
        <w:rPr>
          <w:rFonts w:cstheme="minorHAnsi"/>
          <w:lang w:val="es-419"/>
        </w:rPr>
      </w:pPr>
    </w:p>
    <w:p w:rsidR="00CB395E" w:rsidRPr="00CB395E" w:rsidRDefault="00764994" w:rsidP="00EE054A">
      <w:pPr>
        <w:spacing w:after="0" w:line="240" w:lineRule="auto"/>
        <w:contextualSpacing/>
        <w:jc w:val="both"/>
        <w:rPr>
          <w:rFonts w:cstheme="minorHAnsi"/>
          <w:lang w:val="es-419"/>
        </w:rPr>
      </w:pPr>
      <w:r>
        <w:rPr>
          <w:rFonts w:cstheme="minorHAnsi"/>
          <w:lang w:val="es-419"/>
        </w:rPr>
        <w:t>5.3</w:t>
      </w:r>
      <w:r>
        <w:rPr>
          <w:rFonts w:cstheme="minorHAnsi"/>
          <w:lang w:val="es-419"/>
        </w:rPr>
        <w:tab/>
      </w:r>
      <w:r w:rsidR="0017343C">
        <w:rPr>
          <w:rFonts w:cstheme="minorHAnsi"/>
          <w:lang w:val="es-419"/>
        </w:rPr>
        <w:t xml:space="preserve">El </w:t>
      </w:r>
      <w:r w:rsidR="00CB395E" w:rsidRPr="00CB395E">
        <w:rPr>
          <w:rFonts w:cstheme="minorHAnsi"/>
          <w:lang w:val="es-419"/>
        </w:rPr>
        <w:t xml:space="preserve">DAWG </w:t>
      </w:r>
      <w:r w:rsidR="0017343C" w:rsidRPr="0017343C">
        <w:rPr>
          <w:rFonts w:cstheme="minorHAnsi"/>
          <w:lang w:val="es-419"/>
        </w:rPr>
        <w:t xml:space="preserve">determinará los recursos y la experiencia necesarios para implementar y mantener actualizado el tablero y </w:t>
      </w:r>
      <w:r w:rsidR="0017343C">
        <w:rPr>
          <w:rFonts w:cstheme="minorHAnsi"/>
          <w:lang w:val="es-419"/>
        </w:rPr>
        <w:t xml:space="preserve">los </w:t>
      </w:r>
      <w:r w:rsidR="0017343C" w:rsidRPr="0017343C">
        <w:rPr>
          <w:rFonts w:cstheme="minorHAnsi"/>
          <w:lang w:val="es-419"/>
        </w:rPr>
        <w:t>solicitar</w:t>
      </w:r>
      <w:r w:rsidR="0017343C">
        <w:rPr>
          <w:rFonts w:cstheme="minorHAnsi"/>
          <w:lang w:val="es-419"/>
        </w:rPr>
        <w:t>á</w:t>
      </w:r>
      <w:r w:rsidR="0017343C" w:rsidRPr="0017343C">
        <w:rPr>
          <w:rFonts w:cstheme="minorHAnsi"/>
          <w:lang w:val="es-419"/>
        </w:rPr>
        <w:t xml:space="preserve"> al C</w:t>
      </w:r>
      <w:r w:rsidR="0017343C">
        <w:rPr>
          <w:rFonts w:cstheme="minorHAnsi"/>
          <w:lang w:val="es-419"/>
        </w:rPr>
        <w:t>RPP</w:t>
      </w:r>
      <w:r w:rsidR="0017343C" w:rsidRPr="0017343C">
        <w:rPr>
          <w:rFonts w:cstheme="minorHAnsi"/>
          <w:lang w:val="es-419"/>
        </w:rPr>
        <w:t>.</w:t>
      </w:r>
    </w:p>
    <w:p w:rsidR="00CB395E" w:rsidRPr="00CB395E" w:rsidRDefault="00CB395E" w:rsidP="00EE054A">
      <w:pPr>
        <w:spacing w:after="0" w:line="240" w:lineRule="auto"/>
        <w:contextualSpacing/>
        <w:jc w:val="both"/>
        <w:rPr>
          <w:rFonts w:cstheme="minorHAnsi"/>
          <w:lang w:val="es-419"/>
        </w:rPr>
      </w:pPr>
    </w:p>
    <w:p w:rsidR="00CB395E" w:rsidRPr="0017343C" w:rsidRDefault="00CB395E" w:rsidP="0017343C">
      <w:pPr>
        <w:pStyle w:val="ListParagraph"/>
        <w:numPr>
          <w:ilvl w:val="0"/>
          <w:numId w:val="10"/>
        </w:numPr>
        <w:spacing w:after="0" w:line="240" w:lineRule="auto"/>
        <w:ind w:hanging="720"/>
        <w:jc w:val="both"/>
        <w:rPr>
          <w:rFonts w:cstheme="minorHAnsi"/>
          <w:b/>
          <w:lang w:val="es-419"/>
        </w:rPr>
      </w:pPr>
      <w:r w:rsidRPr="0017343C">
        <w:rPr>
          <w:rFonts w:cstheme="minorHAnsi"/>
          <w:b/>
          <w:lang w:val="es-419"/>
        </w:rPr>
        <w:t>Informe anual de indicadores clave de rendimiento del GREPECAS</w:t>
      </w:r>
    </w:p>
    <w:p w:rsidR="00CB395E" w:rsidRPr="00CB395E" w:rsidRDefault="00CB395E" w:rsidP="00EE054A">
      <w:pPr>
        <w:spacing w:after="0" w:line="240" w:lineRule="auto"/>
        <w:contextualSpacing/>
        <w:jc w:val="both"/>
        <w:rPr>
          <w:rFonts w:cstheme="minorHAnsi"/>
          <w:lang w:val="es-419"/>
        </w:rPr>
      </w:pPr>
    </w:p>
    <w:p w:rsidR="00CB395E" w:rsidRPr="00CB395E" w:rsidRDefault="0017343C" w:rsidP="00EE054A">
      <w:pPr>
        <w:spacing w:after="0" w:line="240" w:lineRule="auto"/>
        <w:contextualSpacing/>
        <w:jc w:val="both"/>
        <w:rPr>
          <w:rFonts w:cstheme="minorHAnsi"/>
          <w:lang w:val="es-419"/>
        </w:rPr>
      </w:pPr>
      <w:r>
        <w:rPr>
          <w:rFonts w:cstheme="minorHAnsi"/>
          <w:lang w:val="es-419"/>
        </w:rPr>
        <w:t>6.1</w:t>
      </w:r>
      <w:r>
        <w:rPr>
          <w:rFonts w:cstheme="minorHAnsi"/>
          <w:lang w:val="es-419"/>
        </w:rPr>
        <w:tab/>
      </w:r>
      <w:r w:rsidR="00CB395E" w:rsidRPr="00CB395E">
        <w:rPr>
          <w:rFonts w:cstheme="minorHAnsi"/>
          <w:lang w:val="es-419"/>
        </w:rPr>
        <w:t>Una vez al año,</w:t>
      </w:r>
      <w:r>
        <w:rPr>
          <w:rFonts w:cstheme="minorHAnsi"/>
          <w:lang w:val="es-419"/>
        </w:rPr>
        <w:t xml:space="preserve"> el DAWG preparará un informe</w:t>
      </w:r>
      <w:r w:rsidR="00CB395E" w:rsidRPr="00CB395E">
        <w:rPr>
          <w:rFonts w:cstheme="minorHAnsi"/>
          <w:lang w:val="es-419"/>
        </w:rPr>
        <w:t xml:space="preserve"> anual que incluirá los KPI del GREPECAS, así como las implementaciones actuales de ANS, para permitir la comparación del estado de los KPI y para la toma de decisiones basada en datos por parte del C</w:t>
      </w:r>
      <w:r>
        <w:rPr>
          <w:rFonts w:cstheme="minorHAnsi"/>
          <w:lang w:val="es-419"/>
        </w:rPr>
        <w:t>RPP</w:t>
      </w:r>
      <w:r w:rsidR="00CB395E" w:rsidRPr="00CB395E">
        <w:rPr>
          <w:rFonts w:cstheme="minorHAnsi"/>
          <w:lang w:val="es-419"/>
        </w:rPr>
        <w:t xml:space="preserve"> y los Estados CAR/SAM. El Informe Anual de KPI</w:t>
      </w:r>
      <w:r>
        <w:rPr>
          <w:rFonts w:cstheme="minorHAnsi"/>
          <w:lang w:val="es-419"/>
        </w:rPr>
        <w:t>s</w:t>
      </w:r>
      <w:r w:rsidR="00CB395E" w:rsidRPr="00CB395E">
        <w:rPr>
          <w:rFonts w:cstheme="minorHAnsi"/>
          <w:lang w:val="es-419"/>
        </w:rPr>
        <w:t xml:space="preserve"> del GREPECAS s</w:t>
      </w:r>
      <w:r>
        <w:rPr>
          <w:rFonts w:cstheme="minorHAnsi"/>
          <w:lang w:val="es-419"/>
        </w:rPr>
        <w:t xml:space="preserve">erá revisado y aprobado por el </w:t>
      </w:r>
      <w:r w:rsidR="00CB395E" w:rsidRPr="00CB395E">
        <w:rPr>
          <w:rFonts w:cstheme="minorHAnsi"/>
          <w:lang w:val="es-419"/>
        </w:rPr>
        <w:t>C</w:t>
      </w:r>
      <w:r>
        <w:rPr>
          <w:rFonts w:cstheme="minorHAnsi"/>
          <w:lang w:val="es-419"/>
        </w:rPr>
        <w:t>RPP</w:t>
      </w:r>
      <w:r w:rsidR="00CB395E" w:rsidRPr="00CB395E">
        <w:rPr>
          <w:rFonts w:cstheme="minorHAnsi"/>
          <w:lang w:val="es-419"/>
        </w:rPr>
        <w:t xml:space="preserve"> y lo pondrá a disposición de los miembros del GREPECAS a través del sitio web del GREPECAS.</w:t>
      </w:r>
    </w:p>
    <w:p w:rsidR="00CB395E" w:rsidRPr="00CB395E" w:rsidRDefault="00CB395E" w:rsidP="00EE054A">
      <w:pPr>
        <w:spacing w:after="0" w:line="240" w:lineRule="auto"/>
        <w:contextualSpacing/>
        <w:jc w:val="both"/>
        <w:rPr>
          <w:rFonts w:cstheme="minorHAnsi"/>
          <w:lang w:val="es-419"/>
        </w:rPr>
      </w:pPr>
    </w:p>
    <w:p w:rsidR="00CB395E" w:rsidRPr="00CB395E" w:rsidRDefault="0017343C" w:rsidP="00EE054A">
      <w:pPr>
        <w:spacing w:after="0" w:line="240" w:lineRule="auto"/>
        <w:contextualSpacing/>
        <w:jc w:val="both"/>
        <w:rPr>
          <w:rFonts w:cstheme="minorHAnsi"/>
          <w:lang w:val="es-419"/>
        </w:rPr>
      </w:pPr>
      <w:r>
        <w:rPr>
          <w:rFonts w:cstheme="minorHAnsi"/>
          <w:lang w:val="es-419"/>
        </w:rPr>
        <w:t>6.2</w:t>
      </w:r>
      <w:r>
        <w:rPr>
          <w:rFonts w:cstheme="minorHAnsi"/>
          <w:lang w:val="es-419"/>
        </w:rPr>
        <w:tab/>
        <w:t xml:space="preserve">El </w:t>
      </w:r>
      <w:r w:rsidR="00CB395E" w:rsidRPr="00CB395E">
        <w:rPr>
          <w:rFonts w:cstheme="minorHAnsi"/>
          <w:lang w:val="es-419"/>
        </w:rPr>
        <w:t>DA</w:t>
      </w:r>
      <w:r>
        <w:rPr>
          <w:rFonts w:cstheme="minorHAnsi"/>
          <w:lang w:val="es-419"/>
        </w:rPr>
        <w:t>WG definirá la estructura del i</w:t>
      </w:r>
      <w:r w:rsidR="00CB395E" w:rsidRPr="00CB395E">
        <w:rPr>
          <w:rFonts w:cstheme="minorHAnsi"/>
          <w:lang w:val="es-419"/>
        </w:rPr>
        <w:t>nforme anual de KPI del GREPECAS, pero estará alineado con el GANP, incluyendo:</w:t>
      </w:r>
    </w:p>
    <w:p w:rsidR="00CB395E" w:rsidRPr="00CB395E" w:rsidRDefault="00CB395E" w:rsidP="00EE054A">
      <w:pPr>
        <w:spacing w:after="0" w:line="240" w:lineRule="auto"/>
        <w:contextualSpacing/>
        <w:jc w:val="both"/>
        <w:rPr>
          <w:rFonts w:cstheme="minorHAnsi"/>
          <w:lang w:val="es-419"/>
        </w:rPr>
      </w:pPr>
    </w:p>
    <w:p w:rsidR="00CB395E" w:rsidRPr="00CB395E" w:rsidRDefault="0017343C" w:rsidP="0017343C">
      <w:pPr>
        <w:tabs>
          <w:tab w:val="left" w:pos="1080"/>
        </w:tabs>
        <w:spacing w:after="0" w:line="240" w:lineRule="auto"/>
        <w:ind w:left="720"/>
        <w:contextualSpacing/>
        <w:jc w:val="both"/>
        <w:rPr>
          <w:rFonts w:cstheme="minorHAnsi"/>
          <w:lang w:val="es-419"/>
        </w:rPr>
      </w:pPr>
      <w:r>
        <w:rPr>
          <w:rFonts w:cstheme="minorHAnsi"/>
          <w:lang w:val="es-419"/>
        </w:rPr>
        <w:t>a)</w:t>
      </w:r>
      <w:r>
        <w:rPr>
          <w:rFonts w:cstheme="minorHAnsi"/>
          <w:lang w:val="es-419"/>
        </w:rPr>
        <w:tab/>
      </w:r>
      <w:r w:rsidR="00CB395E" w:rsidRPr="00CB395E">
        <w:rPr>
          <w:rFonts w:cstheme="minorHAnsi"/>
          <w:lang w:val="es-419"/>
        </w:rPr>
        <w:t>Estado del análisis de datos de KPI con referencia a sus objetivos;</w:t>
      </w:r>
    </w:p>
    <w:p w:rsidR="00CB395E" w:rsidRPr="00CB395E" w:rsidRDefault="0017343C" w:rsidP="0017343C">
      <w:pPr>
        <w:tabs>
          <w:tab w:val="left" w:pos="1080"/>
        </w:tabs>
        <w:spacing w:after="0" w:line="240" w:lineRule="auto"/>
        <w:ind w:left="720"/>
        <w:contextualSpacing/>
        <w:jc w:val="both"/>
        <w:rPr>
          <w:rFonts w:cstheme="minorHAnsi"/>
          <w:lang w:val="es-419"/>
        </w:rPr>
      </w:pPr>
      <w:r>
        <w:rPr>
          <w:rFonts w:cstheme="minorHAnsi"/>
          <w:lang w:val="es-419"/>
        </w:rPr>
        <w:t>b)</w:t>
      </w:r>
      <w:r>
        <w:rPr>
          <w:rFonts w:cstheme="minorHAnsi"/>
          <w:lang w:val="es-419"/>
        </w:rPr>
        <w:tab/>
      </w:r>
      <w:r w:rsidR="00CB395E" w:rsidRPr="00CB395E">
        <w:rPr>
          <w:rFonts w:cstheme="minorHAnsi"/>
          <w:lang w:val="es-419"/>
        </w:rPr>
        <w:t>tablas y gráficos ANS regionales clave que respaldan esos KPI; y</w:t>
      </w:r>
    </w:p>
    <w:p w:rsidR="00CB395E" w:rsidRPr="00CB395E" w:rsidRDefault="0017343C" w:rsidP="0017343C">
      <w:pPr>
        <w:tabs>
          <w:tab w:val="left" w:pos="1080"/>
        </w:tabs>
        <w:spacing w:after="0" w:line="240" w:lineRule="auto"/>
        <w:ind w:left="720"/>
        <w:contextualSpacing/>
        <w:jc w:val="both"/>
        <w:rPr>
          <w:rFonts w:cstheme="minorHAnsi"/>
          <w:lang w:val="es-419"/>
        </w:rPr>
      </w:pPr>
      <w:r>
        <w:rPr>
          <w:rFonts w:cstheme="minorHAnsi"/>
          <w:lang w:val="es-419"/>
        </w:rPr>
        <w:t>c)</w:t>
      </w:r>
      <w:r>
        <w:rPr>
          <w:rFonts w:cstheme="minorHAnsi"/>
          <w:lang w:val="es-419"/>
        </w:rPr>
        <w:tab/>
        <w:t>c</w:t>
      </w:r>
      <w:r w:rsidR="00CB395E" w:rsidRPr="00CB395E">
        <w:rPr>
          <w:rFonts w:cstheme="minorHAnsi"/>
          <w:lang w:val="es-419"/>
        </w:rPr>
        <w:t xml:space="preserve">onclusiones y recomendaciones del DAWG al GREPECAS o </w:t>
      </w:r>
      <w:r>
        <w:rPr>
          <w:rFonts w:cstheme="minorHAnsi"/>
          <w:lang w:val="es-419"/>
        </w:rPr>
        <w:t>al CRPP</w:t>
      </w:r>
      <w:r w:rsidR="00CB395E" w:rsidRPr="00CB395E">
        <w:rPr>
          <w:rFonts w:cstheme="minorHAnsi"/>
          <w:lang w:val="es-419"/>
        </w:rPr>
        <w:t>.</w:t>
      </w:r>
    </w:p>
    <w:p w:rsidR="00CB395E" w:rsidRPr="00CB395E" w:rsidRDefault="00CB395E" w:rsidP="00EE054A">
      <w:pPr>
        <w:spacing w:after="0" w:line="240" w:lineRule="auto"/>
        <w:contextualSpacing/>
        <w:jc w:val="both"/>
        <w:rPr>
          <w:rFonts w:cstheme="minorHAnsi"/>
          <w:lang w:val="es-419"/>
        </w:rPr>
      </w:pPr>
    </w:p>
    <w:p w:rsidR="00E6561E" w:rsidRPr="00CB395E" w:rsidRDefault="0017343C" w:rsidP="00EE054A">
      <w:pPr>
        <w:spacing w:after="0" w:line="240" w:lineRule="auto"/>
        <w:contextualSpacing/>
        <w:jc w:val="both"/>
        <w:rPr>
          <w:rFonts w:cstheme="minorHAnsi"/>
          <w:lang w:val="es-419"/>
        </w:rPr>
      </w:pPr>
      <w:r>
        <w:rPr>
          <w:rFonts w:cstheme="minorHAnsi"/>
          <w:lang w:val="es-419"/>
        </w:rPr>
        <w:t>6.3</w:t>
      </w:r>
      <w:r>
        <w:rPr>
          <w:rFonts w:cstheme="minorHAnsi"/>
          <w:lang w:val="es-419"/>
        </w:rPr>
        <w:tab/>
      </w:r>
      <w:r w:rsidR="00CB395E" w:rsidRPr="00CB395E">
        <w:rPr>
          <w:rFonts w:cstheme="minorHAnsi"/>
          <w:lang w:val="es-419"/>
        </w:rPr>
        <w:t>La estructura final de</w:t>
      </w:r>
      <w:r>
        <w:rPr>
          <w:rFonts w:cstheme="minorHAnsi"/>
          <w:lang w:val="es-419"/>
        </w:rPr>
        <w:t>l DAWG será aprobada por el CRPP</w:t>
      </w:r>
      <w:r w:rsidR="00CB395E" w:rsidRPr="00CB395E">
        <w:rPr>
          <w:rFonts w:cstheme="minorHAnsi"/>
          <w:lang w:val="es-419"/>
        </w:rPr>
        <w:t>.</w:t>
      </w:r>
    </w:p>
    <w:p w:rsidR="00B23B10" w:rsidRPr="00CB395E" w:rsidRDefault="00B23B10" w:rsidP="00EE054A">
      <w:pPr>
        <w:spacing w:after="0" w:line="240" w:lineRule="auto"/>
        <w:contextualSpacing/>
        <w:jc w:val="both"/>
        <w:rPr>
          <w:rFonts w:cstheme="minorHAnsi"/>
          <w:lang w:val="es-419"/>
        </w:rPr>
      </w:pPr>
    </w:p>
    <w:p w:rsidR="00B23B10" w:rsidRDefault="00B23B10" w:rsidP="00EE054A">
      <w:pPr>
        <w:spacing w:after="0" w:line="240" w:lineRule="auto"/>
        <w:contextualSpacing/>
        <w:jc w:val="both"/>
        <w:rPr>
          <w:rFonts w:cstheme="minorHAnsi"/>
          <w:lang w:val="es-419"/>
        </w:rPr>
      </w:pPr>
    </w:p>
    <w:p w:rsidR="00EE054A" w:rsidRPr="00CB395E" w:rsidRDefault="00EE054A" w:rsidP="00EE054A">
      <w:pPr>
        <w:spacing w:after="0" w:line="240" w:lineRule="auto"/>
        <w:contextualSpacing/>
        <w:jc w:val="both"/>
        <w:rPr>
          <w:rFonts w:cstheme="minorHAnsi"/>
          <w:lang w:val="es-419"/>
        </w:rPr>
      </w:pPr>
    </w:p>
    <w:p w:rsidR="00E6561E" w:rsidRPr="00CB395E" w:rsidRDefault="00205E96" w:rsidP="00EE054A">
      <w:pPr>
        <w:jc w:val="center"/>
        <w:rPr>
          <w:lang w:val="es-ES_tradnl"/>
        </w:rPr>
      </w:pPr>
      <w:r w:rsidRPr="00941CE8">
        <w:rPr>
          <w:lang w:val="es-ES_tradnl"/>
        </w:rPr>
        <w:t>— — — — — — — — — — —</w:t>
      </w:r>
    </w:p>
    <w:sectPr w:rsidR="00E6561E" w:rsidRPr="00CB3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AB7"/>
    <w:multiLevelType w:val="hybridMultilevel"/>
    <w:tmpl w:val="B2DAE02E"/>
    <w:lvl w:ilvl="0" w:tplc="631CA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342C"/>
    <w:multiLevelType w:val="hybridMultilevel"/>
    <w:tmpl w:val="A59CC572"/>
    <w:lvl w:ilvl="0" w:tplc="C888891E">
      <w:start w:val="1"/>
      <w:numFmt w:val="decimal"/>
      <w:lvlText w:val="%1."/>
      <w:lvlJc w:val="right"/>
      <w:pPr>
        <w:ind w:left="2165" w:hanging="18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0843"/>
    <w:multiLevelType w:val="hybridMultilevel"/>
    <w:tmpl w:val="C06800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40915"/>
    <w:multiLevelType w:val="hybridMultilevel"/>
    <w:tmpl w:val="C06800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22DE2"/>
    <w:multiLevelType w:val="hybridMultilevel"/>
    <w:tmpl w:val="05502036"/>
    <w:lvl w:ilvl="0" w:tplc="5E485A30">
      <w:numFmt w:val="bullet"/>
      <w:lvlText w:val="•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D0A09AD"/>
    <w:multiLevelType w:val="hybridMultilevel"/>
    <w:tmpl w:val="150A6594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C5666ED4">
      <w:start w:val="1"/>
      <w:numFmt w:val="decimal"/>
      <w:lvlText w:val="%3."/>
      <w:lvlJc w:val="right"/>
      <w:pPr>
        <w:ind w:left="2165" w:hanging="18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714AC"/>
    <w:multiLevelType w:val="hybridMultilevel"/>
    <w:tmpl w:val="B6F0AC14"/>
    <w:lvl w:ilvl="0" w:tplc="9D94E81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D336CF"/>
    <w:multiLevelType w:val="hybridMultilevel"/>
    <w:tmpl w:val="B6F0AC14"/>
    <w:lvl w:ilvl="0" w:tplc="9D94E81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EA77399"/>
    <w:multiLevelType w:val="hybridMultilevel"/>
    <w:tmpl w:val="D7B24F96"/>
    <w:lvl w:ilvl="0" w:tplc="618A5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E5F0E"/>
    <w:multiLevelType w:val="hybridMultilevel"/>
    <w:tmpl w:val="C068004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6E"/>
    <w:rsid w:val="00024581"/>
    <w:rsid w:val="000458C0"/>
    <w:rsid w:val="00073EDE"/>
    <w:rsid w:val="00086927"/>
    <w:rsid w:val="00093F4F"/>
    <w:rsid w:val="000B5885"/>
    <w:rsid w:val="000C724B"/>
    <w:rsid w:val="000F4185"/>
    <w:rsid w:val="001548DF"/>
    <w:rsid w:val="00157EE6"/>
    <w:rsid w:val="00164781"/>
    <w:rsid w:val="001650B9"/>
    <w:rsid w:val="00165871"/>
    <w:rsid w:val="0017137D"/>
    <w:rsid w:val="0017343C"/>
    <w:rsid w:val="00196161"/>
    <w:rsid w:val="001A73EA"/>
    <w:rsid w:val="001C3B3D"/>
    <w:rsid w:val="001F0F4D"/>
    <w:rsid w:val="001F184E"/>
    <w:rsid w:val="00205E96"/>
    <w:rsid w:val="00233AB8"/>
    <w:rsid w:val="002466B5"/>
    <w:rsid w:val="0025636A"/>
    <w:rsid w:val="002759C6"/>
    <w:rsid w:val="002A6A5F"/>
    <w:rsid w:val="002B68F7"/>
    <w:rsid w:val="002D135E"/>
    <w:rsid w:val="002E697A"/>
    <w:rsid w:val="002F0F20"/>
    <w:rsid w:val="003421A9"/>
    <w:rsid w:val="00351E59"/>
    <w:rsid w:val="00364D26"/>
    <w:rsid w:val="003B0C85"/>
    <w:rsid w:val="003B6DAA"/>
    <w:rsid w:val="003B6E01"/>
    <w:rsid w:val="003B7619"/>
    <w:rsid w:val="003C229D"/>
    <w:rsid w:val="003E1618"/>
    <w:rsid w:val="0042510E"/>
    <w:rsid w:val="004254DB"/>
    <w:rsid w:val="0047305B"/>
    <w:rsid w:val="00482048"/>
    <w:rsid w:val="00483BB4"/>
    <w:rsid w:val="0048590B"/>
    <w:rsid w:val="004B718C"/>
    <w:rsid w:val="004C15B7"/>
    <w:rsid w:val="004D0BCF"/>
    <w:rsid w:val="004D2D10"/>
    <w:rsid w:val="004D5FDB"/>
    <w:rsid w:val="004D6ACD"/>
    <w:rsid w:val="004E0B4C"/>
    <w:rsid w:val="004E2BEA"/>
    <w:rsid w:val="004F09B1"/>
    <w:rsid w:val="00505374"/>
    <w:rsid w:val="00506581"/>
    <w:rsid w:val="0056295A"/>
    <w:rsid w:val="005828C7"/>
    <w:rsid w:val="0058786F"/>
    <w:rsid w:val="005953F6"/>
    <w:rsid w:val="005A6739"/>
    <w:rsid w:val="005F78D7"/>
    <w:rsid w:val="00602E1D"/>
    <w:rsid w:val="00616A13"/>
    <w:rsid w:val="00636B00"/>
    <w:rsid w:val="006643EF"/>
    <w:rsid w:val="006B57B1"/>
    <w:rsid w:val="00711E8D"/>
    <w:rsid w:val="00714C7F"/>
    <w:rsid w:val="00764994"/>
    <w:rsid w:val="00773A33"/>
    <w:rsid w:val="007A27E3"/>
    <w:rsid w:val="007C614A"/>
    <w:rsid w:val="007D7CA1"/>
    <w:rsid w:val="00801D85"/>
    <w:rsid w:val="00815A50"/>
    <w:rsid w:val="00845959"/>
    <w:rsid w:val="00847E6B"/>
    <w:rsid w:val="00860146"/>
    <w:rsid w:val="008A05DF"/>
    <w:rsid w:val="008C6735"/>
    <w:rsid w:val="00911DB2"/>
    <w:rsid w:val="00945F1D"/>
    <w:rsid w:val="009468E1"/>
    <w:rsid w:val="009724B3"/>
    <w:rsid w:val="00981DAC"/>
    <w:rsid w:val="00984214"/>
    <w:rsid w:val="009D249B"/>
    <w:rsid w:val="009E1306"/>
    <w:rsid w:val="00A06B10"/>
    <w:rsid w:val="00A1294F"/>
    <w:rsid w:val="00A30C15"/>
    <w:rsid w:val="00A36224"/>
    <w:rsid w:val="00A42670"/>
    <w:rsid w:val="00A50CC8"/>
    <w:rsid w:val="00A51370"/>
    <w:rsid w:val="00A96DF0"/>
    <w:rsid w:val="00AA59CF"/>
    <w:rsid w:val="00AD5B57"/>
    <w:rsid w:val="00AE7133"/>
    <w:rsid w:val="00B1196F"/>
    <w:rsid w:val="00B13FBF"/>
    <w:rsid w:val="00B23B10"/>
    <w:rsid w:val="00B25851"/>
    <w:rsid w:val="00B41F85"/>
    <w:rsid w:val="00B5321B"/>
    <w:rsid w:val="00B53E09"/>
    <w:rsid w:val="00B546BB"/>
    <w:rsid w:val="00B56245"/>
    <w:rsid w:val="00BA014D"/>
    <w:rsid w:val="00BB5E8A"/>
    <w:rsid w:val="00C03267"/>
    <w:rsid w:val="00C0401B"/>
    <w:rsid w:val="00C56F56"/>
    <w:rsid w:val="00C92238"/>
    <w:rsid w:val="00CA6E98"/>
    <w:rsid w:val="00CB395E"/>
    <w:rsid w:val="00CE4EA8"/>
    <w:rsid w:val="00D307AA"/>
    <w:rsid w:val="00D31AE7"/>
    <w:rsid w:val="00D43498"/>
    <w:rsid w:val="00D65A52"/>
    <w:rsid w:val="00D77DB0"/>
    <w:rsid w:val="00D817DA"/>
    <w:rsid w:val="00D818A0"/>
    <w:rsid w:val="00DA004E"/>
    <w:rsid w:val="00DA0318"/>
    <w:rsid w:val="00DA463E"/>
    <w:rsid w:val="00DB4000"/>
    <w:rsid w:val="00DD0308"/>
    <w:rsid w:val="00DD568D"/>
    <w:rsid w:val="00E13C6E"/>
    <w:rsid w:val="00E15D3B"/>
    <w:rsid w:val="00E27AFB"/>
    <w:rsid w:val="00E30BF3"/>
    <w:rsid w:val="00E46A5A"/>
    <w:rsid w:val="00E57425"/>
    <w:rsid w:val="00E6206E"/>
    <w:rsid w:val="00E6561E"/>
    <w:rsid w:val="00E731F3"/>
    <w:rsid w:val="00EB5400"/>
    <w:rsid w:val="00ED2FA1"/>
    <w:rsid w:val="00EE054A"/>
    <w:rsid w:val="00F0421D"/>
    <w:rsid w:val="00F22507"/>
    <w:rsid w:val="00F76AC0"/>
    <w:rsid w:val="00F937F7"/>
    <w:rsid w:val="00F96D38"/>
    <w:rsid w:val="00F97D69"/>
    <w:rsid w:val="00FD5889"/>
    <w:rsid w:val="00FF2560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B0EDAF-34E6-4776-AC74-2A43B321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F4F"/>
    <w:pPr>
      <w:keepNext/>
      <w:spacing w:after="0" w:line="276" w:lineRule="auto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20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6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3F4F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3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F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F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93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93F4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97D6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820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E27AFB"/>
    <w:pPr>
      <w:jc w:val="both"/>
    </w:pPr>
    <w:rPr>
      <w:rFonts w:cs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E27AFB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8C0C7-2522-49A0-886C-BFD600576F64}"/>
</file>

<file path=customXml/itemProps2.xml><?xml version="1.0" encoding="utf-8"?>
<ds:datastoreItem xmlns:ds="http://schemas.openxmlformats.org/officeDocument/2006/customXml" ds:itemID="{0C52F826-D09C-451B-B24C-EF419DCC39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61F2C1-0882-45CC-8093-25FE261F81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Puente, Javier</dc:creator>
  <cp:lastModifiedBy>Cortés, Carla</cp:lastModifiedBy>
  <cp:revision>3</cp:revision>
  <dcterms:created xsi:type="dcterms:W3CDTF">2020-12-28T23:49:00Z</dcterms:created>
  <dcterms:modified xsi:type="dcterms:W3CDTF">2020-12-29T01:56:00Z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