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B4" w:rsidRPr="00B264B4" w:rsidRDefault="00B264B4" w:rsidP="00B264B4">
      <w:pPr>
        <w:autoSpaceDE w:val="0"/>
        <w:autoSpaceDN w:val="0"/>
        <w:adjustRightInd w:val="0"/>
        <w:jc w:val="center"/>
        <w:rPr>
          <w:rFonts w:cs="CG Times"/>
          <w:b/>
          <w:bCs/>
          <w:color w:val="auto"/>
          <w:sz w:val="20"/>
          <w:szCs w:val="20"/>
          <w:lang w:val="en-GB"/>
        </w:rPr>
      </w:pPr>
      <w:bookmarkStart w:id="0" w:name="_GoBack"/>
      <w:bookmarkEnd w:id="0"/>
      <w:r w:rsidRPr="00B264B4">
        <w:rPr>
          <w:rFonts w:cs="CG Times"/>
          <w:b/>
          <w:bCs/>
          <w:color w:val="auto"/>
          <w:sz w:val="20"/>
          <w:szCs w:val="20"/>
          <w:lang w:val="en-GB"/>
        </w:rPr>
        <w:t>TASK FORCE ON AIR TRAFFIC SERVICES INTER-FACILITY DATA COMMUNICATION</w:t>
      </w:r>
    </w:p>
    <w:p w:rsidR="00B264B4" w:rsidRPr="00B264B4" w:rsidRDefault="00B264B4" w:rsidP="00B264B4">
      <w:pPr>
        <w:autoSpaceDE w:val="0"/>
        <w:autoSpaceDN w:val="0"/>
        <w:adjustRightInd w:val="0"/>
        <w:jc w:val="center"/>
        <w:rPr>
          <w:rFonts w:cs="CG Times"/>
          <w:b/>
          <w:bCs/>
          <w:color w:val="auto"/>
          <w:sz w:val="20"/>
          <w:szCs w:val="20"/>
          <w:lang w:val="en-GB"/>
        </w:rPr>
      </w:pPr>
      <w:r w:rsidRPr="00B264B4">
        <w:rPr>
          <w:rFonts w:cs="CG Times"/>
          <w:b/>
          <w:bCs/>
          <w:color w:val="auto"/>
          <w:sz w:val="20"/>
          <w:szCs w:val="20"/>
          <w:lang w:val="en-GB"/>
        </w:rPr>
        <w:t>(AIDC) IMPLEMENTATION</w:t>
      </w:r>
    </w:p>
    <w:p w:rsidR="00957380" w:rsidRPr="00B264B4" w:rsidRDefault="00B264B4" w:rsidP="00B264B4">
      <w:pPr>
        <w:pStyle w:val="Title"/>
        <w:rPr>
          <w:rFonts w:ascii="Times New Roman" w:hAnsi="Times New Roman"/>
          <w:smallCaps w:val="0"/>
          <w:lang w:val="en-GB"/>
        </w:rPr>
      </w:pPr>
      <w:r w:rsidRPr="00B264B4">
        <w:rPr>
          <w:rFonts w:ascii="Times New Roman" w:hAnsi="Times New Roman"/>
          <w:smallCaps w:val="0"/>
          <w:lang w:val="en-GB"/>
        </w:rPr>
        <w:t>AIDC IMPLEMENTATION REGIONAL PLAN</w:t>
      </w:r>
    </w:p>
    <w:p w:rsidR="00B264B4" w:rsidRDefault="00B264B4" w:rsidP="00B264B4">
      <w:pPr>
        <w:pStyle w:val="Title"/>
        <w:rPr>
          <w:rFonts w:eastAsiaTheme="minorHAnsi"/>
        </w:rPr>
      </w:pPr>
    </w:p>
    <w:tbl>
      <w:tblPr>
        <w:tblW w:w="130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701"/>
        <w:gridCol w:w="1559"/>
        <w:gridCol w:w="1984"/>
        <w:gridCol w:w="1868"/>
        <w:gridCol w:w="1534"/>
        <w:gridCol w:w="1701"/>
        <w:gridCol w:w="1701"/>
      </w:tblGrid>
      <w:tr w:rsidR="00B264B4" w:rsidRPr="009430CF" w:rsidTr="009430CF">
        <w:trPr>
          <w:cantSplit/>
          <w:tblHeader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DCE6F2"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b/>
                <w:bCs/>
                <w:sz w:val="14"/>
                <w:szCs w:val="14"/>
                <w:lang w:val="es-DO" w:eastAsia="es-DO"/>
              </w:rPr>
            </w:pPr>
            <w:proofErr w:type="spellStart"/>
            <w:r w:rsidRPr="009430CF">
              <w:rPr>
                <w:b/>
                <w:bCs/>
                <w:sz w:val="14"/>
                <w:szCs w:val="14"/>
                <w:lang w:val="es-DO" w:eastAsia="es-DO"/>
              </w:rPr>
              <w:t>State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noWrap/>
            <w:vAlign w:val="bottom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noWrap/>
            <w:vAlign w:val="bottom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noWrap/>
            <w:vAlign w:val="bottom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3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noWrap/>
            <w:vAlign w:val="bottom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noWrap/>
            <w:vAlign w:val="bottom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noWrap/>
            <w:vAlign w:val="bottom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noWrap/>
            <w:vAlign w:val="bottom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7</w:t>
            </w:r>
          </w:p>
        </w:tc>
      </w:tr>
      <w:tr w:rsidR="00B264B4" w:rsidRPr="009430CF" w:rsidTr="009430CF">
        <w:trPr>
          <w:cantSplit/>
          <w:tblHeader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DCE6F2"/>
            <w:vAlign w:val="center"/>
            <w:hideMark/>
          </w:tcPr>
          <w:p w:rsidR="00B264B4" w:rsidRPr="009430CF" w:rsidRDefault="00B264B4" w:rsidP="00B74E82">
            <w:pPr>
              <w:rPr>
                <w:b/>
                <w:bCs/>
                <w:sz w:val="14"/>
                <w:szCs w:val="14"/>
                <w:lang w:eastAsia="es-DO"/>
              </w:rPr>
            </w:pPr>
            <w:r w:rsidRPr="009430CF">
              <w:rPr>
                <w:b/>
                <w:bCs/>
                <w:sz w:val="14"/>
                <w:szCs w:val="14"/>
                <w:lang w:eastAsia="es-DO"/>
              </w:rPr>
              <w:t>Does your current Flight Data Processing System (FDP) have the capacity to process CPL-LAM messages? (Y/N)</w:t>
            </w:r>
            <w:r w:rsidRPr="009430CF">
              <w:rPr>
                <w:b/>
                <w:bCs/>
                <w:sz w:val="14"/>
                <w:szCs w:val="14"/>
                <w:lang w:eastAsia="es-DO"/>
              </w:rPr>
              <w:br/>
              <w:t>If not, when will your FDP have this capacity? Indicate date</w:t>
            </w:r>
            <w:r w:rsidRPr="009430CF">
              <w:rPr>
                <w:b/>
                <w:bCs/>
                <w:sz w:val="14"/>
                <w:szCs w:val="14"/>
                <w:lang w:eastAsia="es-DO"/>
              </w:rPr>
              <w:br/>
              <w:t>If yes, please indicate FDP model, manufacturer and any relevant equipment information to identify the system.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DCE6F2"/>
            <w:vAlign w:val="center"/>
            <w:hideMark/>
          </w:tcPr>
          <w:p w:rsidR="00B264B4" w:rsidRPr="009430CF" w:rsidRDefault="00B264B4" w:rsidP="00B74E82">
            <w:pPr>
              <w:rPr>
                <w:b/>
                <w:bCs/>
                <w:sz w:val="14"/>
                <w:szCs w:val="14"/>
                <w:lang w:eastAsia="es-DO"/>
              </w:rPr>
            </w:pPr>
            <w:r w:rsidRPr="009430CF">
              <w:rPr>
                <w:b/>
                <w:bCs/>
                <w:sz w:val="14"/>
                <w:szCs w:val="14"/>
                <w:lang w:eastAsia="es-DO"/>
              </w:rPr>
              <w:t>Indicate with what adjacent FIR/ATS Unit is the CPL-LAM implementation required: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vAlign w:val="center"/>
            <w:hideMark/>
          </w:tcPr>
          <w:p w:rsidR="00B264B4" w:rsidRPr="009430CF" w:rsidRDefault="00B264B4" w:rsidP="00B74E82">
            <w:pPr>
              <w:rPr>
                <w:b/>
                <w:bCs/>
                <w:sz w:val="14"/>
                <w:szCs w:val="14"/>
                <w:lang w:eastAsia="es-DO"/>
              </w:rPr>
            </w:pPr>
            <w:r w:rsidRPr="009430CF">
              <w:rPr>
                <w:b/>
                <w:bCs/>
                <w:sz w:val="14"/>
                <w:szCs w:val="14"/>
                <w:lang w:eastAsia="es-DO"/>
              </w:rPr>
              <w:t>Please indicate intended date for CPL-LAM testing and implementation: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vAlign w:val="center"/>
            <w:hideMark/>
          </w:tcPr>
          <w:p w:rsidR="00B264B4" w:rsidRPr="009430CF" w:rsidRDefault="00B264B4" w:rsidP="00B74E82">
            <w:pPr>
              <w:rPr>
                <w:b/>
                <w:bCs/>
                <w:sz w:val="14"/>
                <w:szCs w:val="14"/>
                <w:lang w:eastAsia="es-DO"/>
              </w:rPr>
            </w:pPr>
            <w:r w:rsidRPr="009430CF">
              <w:rPr>
                <w:b/>
                <w:bCs/>
                <w:sz w:val="14"/>
                <w:szCs w:val="14"/>
                <w:lang w:eastAsia="es-DO"/>
              </w:rPr>
              <w:t>Please provide Point of Contact for further CPL-LAM coordination (name, title, e-mail, phone number)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vAlign w:val="center"/>
            <w:hideMark/>
          </w:tcPr>
          <w:p w:rsidR="00B264B4" w:rsidRPr="009430CF" w:rsidRDefault="00B264B4" w:rsidP="00B74E82">
            <w:pPr>
              <w:rPr>
                <w:b/>
                <w:bCs/>
                <w:sz w:val="14"/>
                <w:szCs w:val="14"/>
                <w:lang w:eastAsia="es-DO"/>
              </w:rPr>
            </w:pPr>
            <w:r w:rsidRPr="009430CF">
              <w:rPr>
                <w:b/>
                <w:bCs/>
                <w:sz w:val="14"/>
                <w:szCs w:val="14"/>
                <w:lang w:eastAsia="es-DO"/>
              </w:rPr>
              <w:t>If CPL-LAM has been implemented, please provide bilateral agreement(s) for its operation, if applicable (for example ICD document)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vAlign w:val="center"/>
            <w:hideMark/>
          </w:tcPr>
          <w:p w:rsidR="00B264B4" w:rsidRPr="009430CF" w:rsidRDefault="00B264B4" w:rsidP="00B74E82">
            <w:pPr>
              <w:rPr>
                <w:b/>
                <w:bCs/>
                <w:sz w:val="14"/>
                <w:szCs w:val="14"/>
                <w:lang w:eastAsia="es-DO"/>
              </w:rPr>
            </w:pPr>
            <w:r w:rsidRPr="009430CF">
              <w:rPr>
                <w:b/>
                <w:bCs/>
                <w:sz w:val="14"/>
                <w:szCs w:val="14"/>
                <w:lang w:eastAsia="es-DO"/>
              </w:rPr>
              <w:t>CPL-LAM messages are transmitted through AFTN circuits, what is the current AFTN circuit speed and, if any, upgrade for CPL-LAM implementation: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DCE6F2"/>
            <w:vAlign w:val="center"/>
            <w:hideMark/>
          </w:tcPr>
          <w:p w:rsidR="00B264B4" w:rsidRPr="009430CF" w:rsidRDefault="00B264B4" w:rsidP="00B74E82">
            <w:pPr>
              <w:rPr>
                <w:b/>
                <w:bCs/>
                <w:sz w:val="14"/>
                <w:szCs w:val="14"/>
                <w:lang w:eastAsia="es-DO"/>
              </w:rPr>
            </w:pPr>
            <w:r w:rsidRPr="009430CF">
              <w:rPr>
                <w:b/>
                <w:bCs/>
                <w:sz w:val="14"/>
                <w:szCs w:val="14"/>
                <w:lang w:eastAsia="es-DO"/>
              </w:rPr>
              <w:t>Provide comment or concerns for CPL-LAM implementation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 w:rsidRPr="00F214E2">
              <w:rPr>
                <w:b/>
                <w:bCs/>
                <w:sz w:val="14"/>
                <w:szCs w:val="14"/>
                <w:lang w:val="es-DO" w:eastAsia="es-DO"/>
              </w:rPr>
              <w:t>Cuba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F214E2">
              <w:rPr>
                <w:sz w:val="14"/>
                <w:szCs w:val="14"/>
                <w:lang w:eastAsia="es-DO"/>
              </w:rPr>
              <w:t>yes - Oracle Version 9 modified by LITA-CUBA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FIR Miami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F214E2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F214E2">
              <w:rPr>
                <w:sz w:val="14"/>
                <w:szCs w:val="14"/>
                <w:lang w:eastAsia="es-DO"/>
              </w:rPr>
              <w:t>With Miami was started o</w:t>
            </w:r>
            <w:r w:rsidR="00B264B4" w:rsidRPr="00F214E2">
              <w:rPr>
                <w:sz w:val="14"/>
                <w:szCs w:val="14"/>
                <w:lang w:eastAsia="es-DO"/>
              </w:rPr>
              <w:t xml:space="preserve">n 15 December 2011. </w:t>
            </w:r>
            <w:r w:rsidRPr="00F214E2">
              <w:rPr>
                <w:sz w:val="14"/>
                <w:szCs w:val="14"/>
                <w:lang w:eastAsia="es-DO"/>
              </w:rPr>
              <w:t>Merida started o</w:t>
            </w:r>
            <w:r w:rsidR="00B264B4" w:rsidRPr="00F214E2">
              <w:rPr>
                <w:sz w:val="14"/>
                <w:szCs w:val="14"/>
                <w:lang w:eastAsia="es-DO"/>
              </w:rPr>
              <w:t>n 9 March 2012.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F214E2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F214E2">
              <w:rPr>
                <w:sz w:val="14"/>
                <w:szCs w:val="14"/>
                <w:lang w:eastAsia="es-DO"/>
              </w:rPr>
              <w:t>Manuel Vega Rodri</w:t>
            </w:r>
            <w:r w:rsidR="00B264B4" w:rsidRPr="00F214E2">
              <w:rPr>
                <w:sz w:val="14"/>
                <w:szCs w:val="14"/>
                <w:lang w:eastAsia="es-DO"/>
              </w:rPr>
              <w:t>guez, Operations Management Havana ACC (537) 649-7281 manuelvega@aeronav.e</w:t>
            </w:r>
            <w:r w:rsidRPr="00F214E2">
              <w:rPr>
                <w:sz w:val="14"/>
                <w:szCs w:val="14"/>
                <w:lang w:eastAsia="es-DO"/>
              </w:rPr>
              <w:t>casa.avianet.cu, Vi</w:t>
            </w:r>
            <w:r w:rsidR="00B264B4" w:rsidRPr="00F214E2">
              <w:rPr>
                <w:sz w:val="14"/>
                <w:szCs w:val="14"/>
                <w:lang w:eastAsia="es-DO"/>
              </w:rPr>
              <w:t>ctor Manuel Machado Sánchez, Operation Management Havana ACC (537)-649-7281, email: victormachado@aeronav.ecasa.avianet.cu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 xml:space="preserve">NAM-ICD </w:t>
            </w: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Version</w:t>
            </w:r>
            <w:proofErr w:type="spellEnd"/>
            <w:r w:rsidRPr="00F214E2">
              <w:rPr>
                <w:sz w:val="14"/>
                <w:szCs w:val="14"/>
                <w:lang w:val="es-DO" w:eastAsia="es-DO"/>
              </w:rPr>
              <w:t xml:space="preserve"> D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19200 BPS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F214E2">
              <w:rPr>
                <w:sz w:val="14"/>
                <w:szCs w:val="14"/>
                <w:lang w:eastAsia="es-DO"/>
              </w:rPr>
              <w:t>We received many mistakes from the users in the FPL, in almost all fields. We have detected changes in the FPL forwarded by ACC´s or ANSP offices related to FPL´s presented by operators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b/>
                <w:bCs/>
                <w:sz w:val="14"/>
                <w:szCs w:val="14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 xml:space="preserve">FIR </w:t>
            </w: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Merida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FIR Kingston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TBD</w:t>
            </w: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FIR CENAMER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F214E2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Second</w:t>
            </w:r>
            <w:proofErr w:type="spellEnd"/>
            <w:r w:rsidRPr="00F214E2">
              <w:rPr>
                <w:sz w:val="14"/>
                <w:szCs w:val="14"/>
                <w:lang w:val="es-DO" w:eastAsia="es-DO"/>
              </w:rPr>
              <w:t xml:space="preserve"> </w:t>
            </w: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semester</w:t>
            </w:r>
            <w:proofErr w:type="spellEnd"/>
            <w:r w:rsidRPr="00F214E2">
              <w:rPr>
                <w:sz w:val="14"/>
                <w:szCs w:val="14"/>
                <w:lang w:val="es-DO" w:eastAsia="es-DO"/>
              </w:rPr>
              <w:t xml:space="preserve"> of</w:t>
            </w:r>
            <w:r w:rsidR="00B264B4" w:rsidRPr="00F214E2">
              <w:rPr>
                <w:sz w:val="14"/>
                <w:szCs w:val="14"/>
                <w:lang w:val="es-DO" w:eastAsia="es-DO"/>
              </w:rPr>
              <w:t xml:space="preserve"> 2014</w:t>
            </w: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 xml:space="preserve">FIR </w:t>
            </w: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Haiti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TBD</w:t>
            </w: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proofErr w:type="spellStart"/>
            <w:r w:rsidRPr="00F214E2">
              <w:rPr>
                <w:b/>
                <w:bCs/>
                <w:sz w:val="14"/>
                <w:szCs w:val="14"/>
                <w:lang w:val="es-DO" w:eastAsia="es-DO"/>
              </w:rPr>
              <w:t>Dominican</w:t>
            </w:r>
            <w:proofErr w:type="spellEnd"/>
            <w:r w:rsidRPr="00F214E2">
              <w:rPr>
                <w:b/>
                <w:bCs/>
                <w:sz w:val="14"/>
                <w:szCs w:val="14"/>
                <w:lang w:val="es-DO" w:eastAsia="es-DO"/>
              </w:rPr>
              <w:t xml:space="preserve"> </w:t>
            </w:r>
            <w:proofErr w:type="spellStart"/>
            <w:r w:rsidRPr="00F214E2">
              <w:rPr>
                <w:b/>
                <w:bCs/>
                <w:sz w:val="14"/>
                <w:szCs w:val="14"/>
                <w:lang w:val="es-DO" w:eastAsia="es-DO"/>
              </w:rPr>
              <w:t>Republic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F214E2">
              <w:rPr>
                <w:sz w:val="14"/>
                <w:szCs w:val="14"/>
                <w:lang w:eastAsia="es-DO"/>
              </w:rPr>
              <w:t xml:space="preserve">Yes - For </w:t>
            </w:r>
            <w:proofErr w:type="spellStart"/>
            <w:r w:rsidRPr="00F214E2">
              <w:rPr>
                <w:sz w:val="14"/>
                <w:szCs w:val="14"/>
                <w:lang w:eastAsia="es-DO"/>
              </w:rPr>
              <w:t>mid 2013</w:t>
            </w:r>
            <w:proofErr w:type="spellEnd"/>
            <w:r w:rsidRPr="00F214E2">
              <w:rPr>
                <w:sz w:val="14"/>
                <w:szCs w:val="14"/>
                <w:lang w:eastAsia="es-DO"/>
              </w:rPr>
              <w:t xml:space="preserve"> yes-  </w:t>
            </w:r>
            <w:proofErr w:type="spellStart"/>
            <w:r w:rsidRPr="00F214E2">
              <w:rPr>
                <w:sz w:val="14"/>
                <w:szCs w:val="14"/>
                <w:lang w:eastAsia="es-DO"/>
              </w:rPr>
              <w:t>TopSky</w:t>
            </w:r>
            <w:proofErr w:type="spellEnd"/>
            <w:r w:rsidRPr="00F214E2">
              <w:rPr>
                <w:sz w:val="14"/>
                <w:szCs w:val="14"/>
                <w:lang w:eastAsia="es-DO"/>
              </w:rPr>
              <w:t>-ATC, Thales ATM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KZMA/Miami ARTCC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 xml:space="preserve">Q2 - </w:t>
            </w: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Ready</w:t>
            </w:r>
            <w:proofErr w:type="spellEnd"/>
            <w:r w:rsidRPr="00F214E2">
              <w:rPr>
                <w:sz w:val="14"/>
                <w:szCs w:val="14"/>
                <w:lang w:val="es-DO" w:eastAsia="es-DO"/>
              </w:rPr>
              <w:t xml:space="preserve"> to test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 xml:space="preserve">Julio Cesar </w:t>
            </w: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Mejia</w:t>
            </w:r>
            <w:proofErr w:type="spellEnd"/>
            <w:r w:rsidRPr="00F214E2">
              <w:rPr>
                <w:sz w:val="14"/>
                <w:szCs w:val="14"/>
                <w:lang w:val="es-DO" w:eastAsia="es-DO"/>
              </w:rPr>
              <w:t xml:space="preserve"> A. </w:t>
            </w: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Enc</w:t>
            </w:r>
            <w:proofErr w:type="spellEnd"/>
            <w:r w:rsidRPr="00F214E2">
              <w:rPr>
                <w:sz w:val="14"/>
                <w:szCs w:val="14"/>
                <w:lang w:val="es-DO" w:eastAsia="es-DO"/>
              </w:rPr>
              <w:t xml:space="preserve">. </w:t>
            </w:r>
            <w:r w:rsidRPr="00F214E2">
              <w:rPr>
                <w:sz w:val="14"/>
                <w:szCs w:val="14"/>
                <w:lang w:eastAsia="es-DO"/>
              </w:rPr>
              <w:t xml:space="preserve">ATM, jmejia@idac.gov.do, 809 274-4322. </w:t>
            </w:r>
            <w:r w:rsidRPr="00F214E2">
              <w:rPr>
                <w:sz w:val="14"/>
                <w:szCs w:val="14"/>
                <w:lang w:val="es-DO" w:eastAsia="es-DO"/>
              </w:rPr>
              <w:t xml:space="preserve">Ext. 2103 + Fernando </w:t>
            </w: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Casso,fcasso@idac.gov.do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NAM-ICD Versión D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AMHS: 64 Kbps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TJZS/San Juan CERAP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 xml:space="preserve">Q2 - </w:t>
            </w: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Ready</w:t>
            </w:r>
            <w:proofErr w:type="spellEnd"/>
            <w:r w:rsidRPr="00F214E2">
              <w:rPr>
                <w:sz w:val="14"/>
                <w:szCs w:val="14"/>
                <w:lang w:val="es-DO" w:eastAsia="es-DO"/>
              </w:rPr>
              <w:t xml:space="preserve"> to test</w:t>
            </w:r>
          </w:p>
        </w:tc>
        <w:tc>
          <w:tcPr>
            <w:tcW w:w="18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TNCF/Curazao ACC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 xml:space="preserve">Q2 - </w:t>
            </w: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Ready</w:t>
            </w:r>
            <w:proofErr w:type="spellEnd"/>
            <w:r w:rsidRPr="00F214E2">
              <w:rPr>
                <w:sz w:val="14"/>
                <w:szCs w:val="14"/>
                <w:lang w:val="es-DO" w:eastAsia="es-DO"/>
              </w:rPr>
              <w:t xml:space="preserve"> to test</w:t>
            </w:r>
          </w:p>
        </w:tc>
        <w:tc>
          <w:tcPr>
            <w:tcW w:w="18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fr-FR" w:eastAsia="es-DO"/>
              </w:rPr>
            </w:pPr>
            <w:r w:rsidRPr="00F214E2">
              <w:rPr>
                <w:sz w:val="14"/>
                <w:szCs w:val="14"/>
                <w:lang w:val="fr-FR" w:eastAsia="es-DO"/>
              </w:rPr>
              <w:t>MTEG/Port au Prince ACC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TBD</w:t>
            </w:r>
          </w:p>
        </w:tc>
        <w:tc>
          <w:tcPr>
            <w:tcW w:w="18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</w:tr>
      <w:tr w:rsidR="00B264B4" w:rsidRPr="009430CF" w:rsidTr="009430CF">
        <w:trPr>
          <w:cantSplit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proofErr w:type="spellStart"/>
            <w:r w:rsidRPr="00F214E2">
              <w:rPr>
                <w:b/>
                <w:bCs/>
                <w:sz w:val="14"/>
                <w:szCs w:val="14"/>
                <w:lang w:val="es-DO" w:eastAsia="es-DO"/>
              </w:rPr>
              <w:t>Mexico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F214E2">
              <w:rPr>
                <w:sz w:val="14"/>
                <w:szCs w:val="14"/>
                <w:lang w:eastAsia="es-DO"/>
              </w:rPr>
              <w:t xml:space="preserve">Yes- FDP=EUROCAT-X.V3 Model, Producer= THALES ATM, INFO= Four Control </w:t>
            </w:r>
            <w:proofErr w:type="spellStart"/>
            <w:r w:rsidRPr="00F214E2">
              <w:rPr>
                <w:sz w:val="14"/>
                <w:szCs w:val="14"/>
                <w:lang w:eastAsia="es-DO"/>
              </w:rPr>
              <w:t>Centres</w:t>
            </w:r>
            <w:proofErr w:type="spellEnd"/>
            <w:r w:rsidRPr="00F214E2">
              <w:rPr>
                <w:sz w:val="14"/>
                <w:szCs w:val="14"/>
                <w:lang w:eastAsia="es-DO"/>
              </w:rPr>
              <w:t>, all Mexico covered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 xml:space="preserve">Central </w:t>
            </w: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America</w:t>
            </w:r>
            <w:proofErr w:type="spellEnd"/>
            <w:r w:rsidRPr="00F214E2">
              <w:rPr>
                <w:sz w:val="14"/>
                <w:szCs w:val="14"/>
                <w:lang w:val="es-DO" w:eastAsia="es-DO"/>
              </w:rPr>
              <w:t xml:space="preserve"> (COCESNA/CENAMER)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Mexico</w:t>
            </w:r>
            <w:proofErr w:type="spellEnd"/>
            <w:r w:rsidRPr="00F214E2">
              <w:rPr>
                <w:sz w:val="14"/>
                <w:szCs w:val="14"/>
                <w:lang w:val="es-DO" w:eastAsia="es-DO"/>
              </w:rPr>
              <w:t xml:space="preserve"> FDP </w:t>
            </w: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system</w:t>
            </w:r>
            <w:proofErr w:type="spellEnd"/>
            <w:r w:rsidRPr="00F214E2">
              <w:rPr>
                <w:sz w:val="14"/>
                <w:szCs w:val="14"/>
                <w:lang w:val="es-DO" w:eastAsia="es-DO"/>
              </w:rPr>
              <w:t xml:space="preserve"> </w:t>
            </w: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available</w:t>
            </w:r>
            <w:proofErr w:type="spellEnd"/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 xml:space="preserve">Ing. </w:t>
            </w: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Jose</w:t>
            </w:r>
            <w:proofErr w:type="spellEnd"/>
            <w:r w:rsidRPr="00F214E2">
              <w:rPr>
                <w:sz w:val="14"/>
                <w:szCs w:val="14"/>
                <w:lang w:val="es-DO" w:eastAsia="es-DO"/>
              </w:rPr>
              <w:t xml:space="preserve"> de </w:t>
            </w:r>
            <w:proofErr w:type="spellStart"/>
            <w:r w:rsidRPr="00F214E2">
              <w:rPr>
                <w:sz w:val="14"/>
                <w:szCs w:val="14"/>
                <w:lang w:val="es-DO" w:eastAsia="es-DO"/>
              </w:rPr>
              <w:t>Jesus</w:t>
            </w:r>
            <w:proofErr w:type="spellEnd"/>
            <w:r w:rsidRPr="00F214E2">
              <w:rPr>
                <w:sz w:val="14"/>
                <w:szCs w:val="14"/>
                <w:lang w:val="es-DO" w:eastAsia="es-DO"/>
              </w:rPr>
              <w:t xml:space="preserve"> Jimenez Director de Sistemas Digitales               SENEAM/SCT/MÉXICO              xxxxx@sct.gob.mx                               55 57 86 55 32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NAM-ICD Versión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F214E2">
              <w:rPr>
                <w:sz w:val="14"/>
                <w:szCs w:val="14"/>
                <w:lang w:val="es-DO" w:eastAsia="es-DO"/>
              </w:rPr>
              <w:t>19200 bps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F214E2">
              <w:rPr>
                <w:sz w:val="14"/>
                <w:szCs w:val="14"/>
                <w:lang w:eastAsia="es-DO"/>
              </w:rPr>
              <w:t>Mexico already counts with the implementation of CPL/LAM information exchange between: MZT ≤ ≥ LAX, MZT ≤ ≥ ABQ, MTY ≤ ≥ABQ, MTY ≤ ≥HOU, MID ≤ ≥ HOU, MID ≤ ≥ HAB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proofErr w:type="spellStart"/>
            <w:r w:rsidRPr="009430CF">
              <w:rPr>
                <w:b/>
                <w:bCs/>
                <w:sz w:val="14"/>
                <w:szCs w:val="14"/>
                <w:lang w:val="es-DO" w:eastAsia="es-DO"/>
              </w:rPr>
              <w:lastRenderedPageBreak/>
              <w:t>United</w:t>
            </w:r>
            <w:proofErr w:type="spellEnd"/>
            <w:r w:rsidRPr="009430CF">
              <w:rPr>
                <w:b/>
                <w:bCs/>
                <w:sz w:val="14"/>
                <w:szCs w:val="14"/>
                <w:lang w:val="es-DO" w:eastAsia="es-DO"/>
              </w:rPr>
              <w:t xml:space="preserve"> </w:t>
            </w:r>
            <w:proofErr w:type="spellStart"/>
            <w:r w:rsidRPr="009430CF">
              <w:rPr>
                <w:b/>
                <w:bCs/>
                <w:sz w:val="14"/>
                <w:szCs w:val="14"/>
                <w:lang w:val="es-DO" w:eastAsia="es-DO"/>
              </w:rPr>
              <w:t>States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 xml:space="preserve">Yes - The domestic FDP is integrated into the Host Automation / En Route Automation Modernization (ERAM) systems. Lockheed-Martin (LMCO) is the prime contractor for the Host/ERAM system. The flight data function of the San Juan Combined Center / Radar Approach Control (CERAP) is integrated into the Miami Air Route Traffic Control Center (ARTCC) Host/ERAM. Ocean21 provides its own FDP processing in the oceanic environment. </w:t>
            </w:r>
            <w:r w:rsidRPr="009430CF">
              <w:rPr>
                <w:sz w:val="14"/>
                <w:szCs w:val="14"/>
                <w:lang w:val="es-DO" w:eastAsia="es-DO"/>
              </w:rPr>
              <w:t xml:space="preserve">LMCO </w:t>
            </w: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is</w:t>
            </w:r>
            <w:proofErr w:type="spellEnd"/>
            <w:r w:rsidRPr="009430CF">
              <w:rPr>
                <w:sz w:val="14"/>
                <w:szCs w:val="14"/>
                <w:lang w:val="es-DO" w:eastAsia="es-DO"/>
              </w:rPr>
              <w:t xml:space="preserve"> </w:t>
            </w: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also</w:t>
            </w:r>
            <w:proofErr w:type="spellEnd"/>
            <w:r w:rsidRPr="009430CF">
              <w:rPr>
                <w:sz w:val="14"/>
                <w:szCs w:val="14"/>
                <w:lang w:val="es-DO" w:eastAsia="es-DO"/>
              </w:rPr>
              <w:t xml:space="preserve"> </w:t>
            </w: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the</w:t>
            </w:r>
            <w:proofErr w:type="spellEnd"/>
            <w:r w:rsidRPr="009430CF">
              <w:rPr>
                <w:sz w:val="14"/>
                <w:szCs w:val="14"/>
                <w:lang w:val="es-DO" w:eastAsia="es-DO"/>
              </w:rPr>
              <w:t xml:space="preserve"> </w:t>
            </w: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contractor</w:t>
            </w:r>
            <w:proofErr w:type="spellEnd"/>
            <w:r w:rsidRPr="009430CF">
              <w:rPr>
                <w:sz w:val="14"/>
                <w:szCs w:val="14"/>
                <w:lang w:val="es-DO" w:eastAsia="es-DO"/>
              </w:rPr>
              <w:t xml:space="preserve"> </w:t>
            </w: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for</w:t>
            </w:r>
            <w:proofErr w:type="spellEnd"/>
            <w:r w:rsidRPr="009430CF">
              <w:rPr>
                <w:sz w:val="14"/>
                <w:szCs w:val="14"/>
                <w:lang w:val="es-DO" w:eastAsia="es-DO"/>
              </w:rPr>
              <w:t xml:space="preserve"> Ocean21.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>Current United States Domestic North American interfaces which have been implemented include: Canada (Seattle ARTCC-Vancouver ACC; Salt Lake ARTCC-Edmonton ACC/Winnipeg ACC; Minneapolis ARTCC- Winnipeg ACC/Toronto ACC; Cleveland ARTCC-Toronto ACC/</w:t>
            </w:r>
            <w:proofErr w:type="spellStart"/>
            <w:r w:rsidRPr="009430CF">
              <w:rPr>
                <w:sz w:val="14"/>
                <w:szCs w:val="14"/>
                <w:lang w:eastAsia="es-DO"/>
              </w:rPr>
              <w:t>Mazatlan</w:t>
            </w:r>
            <w:proofErr w:type="spellEnd"/>
            <w:r w:rsidRPr="009430CF">
              <w:rPr>
                <w:sz w:val="14"/>
                <w:szCs w:val="14"/>
                <w:lang w:eastAsia="es-DO"/>
              </w:rPr>
              <w:t xml:space="preserve"> ACC; Los Angeles ARTCC-</w:t>
            </w:r>
            <w:proofErr w:type="spellStart"/>
            <w:r w:rsidRPr="009430CF">
              <w:rPr>
                <w:sz w:val="14"/>
                <w:szCs w:val="14"/>
                <w:lang w:eastAsia="es-DO"/>
              </w:rPr>
              <w:t>Mazatlan</w:t>
            </w:r>
            <w:proofErr w:type="spellEnd"/>
            <w:r w:rsidRPr="009430CF">
              <w:rPr>
                <w:sz w:val="14"/>
                <w:szCs w:val="14"/>
                <w:lang w:eastAsia="es-DO"/>
              </w:rPr>
              <w:t xml:space="preserve"> ACC Cuba – Miami ARTCC – Havana ACC.ACC; Boston ARTCC-Montreal ACC/Moncton ACC. </w:t>
            </w:r>
            <w:proofErr w:type="spellStart"/>
            <w:r w:rsidRPr="009430CF">
              <w:rPr>
                <w:sz w:val="14"/>
                <w:szCs w:val="14"/>
                <w:lang w:val="es-MX" w:eastAsia="es-DO"/>
              </w:rPr>
              <w:t>Mexico</w:t>
            </w:r>
            <w:proofErr w:type="spellEnd"/>
            <w:r w:rsidRPr="009430CF">
              <w:rPr>
                <w:sz w:val="14"/>
                <w:szCs w:val="14"/>
                <w:lang w:val="es-MX" w:eastAsia="es-DO"/>
              </w:rPr>
              <w:t xml:space="preserve"> – Houston ARTCC-</w:t>
            </w:r>
            <w:proofErr w:type="spellStart"/>
            <w:r w:rsidRPr="009430CF">
              <w:rPr>
                <w:sz w:val="14"/>
                <w:szCs w:val="14"/>
                <w:lang w:val="es-MX" w:eastAsia="es-DO"/>
              </w:rPr>
              <w:t>Merida</w:t>
            </w:r>
            <w:proofErr w:type="spellEnd"/>
            <w:r w:rsidRPr="009430CF">
              <w:rPr>
                <w:sz w:val="14"/>
                <w:szCs w:val="14"/>
                <w:lang w:val="es-MX" w:eastAsia="es-DO"/>
              </w:rPr>
              <w:t xml:space="preserve"> ACC/Monterrey ACC; Albuquerque ARTCC-Monterrey. </w:t>
            </w:r>
            <w:r w:rsidRPr="009430CF">
              <w:rPr>
                <w:sz w:val="14"/>
                <w:szCs w:val="14"/>
                <w:lang w:eastAsia="es-DO"/>
              </w:rPr>
              <w:t xml:space="preserve">Class I Miami ARTCC interface with Havana ACC operational.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 xml:space="preserve">Future initiatives being evaluated: - Additional NAM ICD Phase II message set enhancements (beyond </w:t>
            </w:r>
            <w:r w:rsidR="00F214E2">
              <w:rPr>
                <w:sz w:val="14"/>
                <w:szCs w:val="14"/>
                <w:lang w:eastAsia="es-DO"/>
              </w:rPr>
              <w:br/>
            </w:r>
            <w:r w:rsidRPr="009430CF">
              <w:rPr>
                <w:sz w:val="14"/>
                <w:szCs w:val="14"/>
                <w:lang w:eastAsia="es-DO"/>
              </w:rPr>
              <w:t xml:space="preserve">CPL &amp; LAM) of the Miami ARTCC – Havana ACC interface are being planned airspace/system capabilities for potential interfaces: Cuba Upgrade, Nassau FIR and Santo Domingo FIR tentatively beginning development in 2014. - Analysis of Caribbean and oceanic airspace/system capabilities for potential interfaces. 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>Dan Eaves, Federal Aviation Administration Air Traffic Control Specialist, Dan.Eaves@FAA.gov, 202-385-8492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F214E2" w:rsidRDefault="00F214E2" w:rsidP="00F214E2">
            <w:pPr>
              <w:jc w:val="both"/>
              <w:rPr>
                <w:sz w:val="14"/>
                <w:szCs w:val="14"/>
                <w:lang w:eastAsia="es-DO"/>
              </w:rPr>
            </w:pPr>
            <w:r>
              <w:rPr>
                <w:sz w:val="14"/>
                <w:szCs w:val="14"/>
                <w:lang w:eastAsia="es-DO"/>
              </w:rPr>
              <w:t>NAM-ICD Versio</w:t>
            </w:r>
            <w:r w:rsidR="00B264B4" w:rsidRPr="00F214E2">
              <w:rPr>
                <w:sz w:val="14"/>
                <w:szCs w:val="14"/>
                <w:lang w:eastAsia="es-DO"/>
              </w:rPr>
              <w:t>n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>US- Mexico: NADIN/AFTN 64 kbps X.25 US- Cuba : MEVA II 19.2 kbps connection to NADIN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None</w:t>
            </w:r>
            <w:proofErr w:type="spellEnd"/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 w:rsidRPr="009430CF">
              <w:rPr>
                <w:b/>
                <w:bCs/>
                <w:sz w:val="14"/>
                <w:szCs w:val="14"/>
                <w:lang w:val="es-DO" w:eastAsia="es-DO"/>
              </w:rPr>
              <w:t xml:space="preserve">COCESNA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>FDP System to be upgraded in 2013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>Merida, Panama (in the future an</w:t>
            </w:r>
            <w:r w:rsidR="00F214E2">
              <w:rPr>
                <w:sz w:val="14"/>
                <w:szCs w:val="14"/>
                <w:lang w:eastAsia="es-DO"/>
              </w:rPr>
              <w:t>a</w:t>
            </w:r>
            <w:r w:rsidR="00B14623">
              <w:rPr>
                <w:sz w:val="14"/>
                <w:szCs w:val="14"/>
                <w:lang w:eastAsia="es-DO"/>
              </w:rPr>
              <w:t>lyses connection with Havana, K</w:t>
            </w:r>
            <w:r w:rsidRPr="009430CF">
              <w:rPr>
                <w:sz w:val="14"/>
                <w:szCs w:val="14"/>
                <w:lang w:eastAsia="es-DO"/>
              </w:rPr>
              <w:t>ingston, Bogota and Guayaquil)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>COCESNA still does not has date for testing and implementation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 xml:space="preserve">Juan Carlos </w:t>
            </w: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Trabanino</w:t>
            </w:r>
            <w:proofErr w:type="spellEnd"/>
            <w:r w:rsidRPr="009430CF">
              <w:rPr>
                <w:sz w:val="14"/>
                <w:szCs w:val="14"/>
                <w:lang w:val="es-DO" w:eastAsia="es-DO"/>
              </w:rPr>
              <w:t>, Director ACNA, juan.trabanino@cocesna.org, (504) 2234 3360 ext. 1510</w:t>
            </w:r>
            <w:r w:rsidRPr="009430CF">
              <w:rPr>
                <w:sz w:val="14"/>
                <w:szCs w:val="14"/>
                <w:lang w:val="es-DO" w:eastAsia="es-DO"/>
              </w:rPr>
              <w:br/>
              <w:t xml:space="preserve"> Roger </w:t>
            </w: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Perez</w:t>
            </w:r>
            <w:proofErr w:type="spellEnd"/>
            <w:r w:rsidRPr="009430CF">
              <w:rPr>
                <w:sz w:val="14"/>
                <w:szCs w:val="14"/>
                <w:lang w:val="es-DO" w:eastAsia="es-DO"/>
              </w:rPr>
              <w:t xml:space="preserve"> (roger.perez@cocesna.org)</w:t>
            </w:r>
            <w:r w:rsidRPr="009430CF">
              <w:rPr>
                <w:sz w:val="14"/>
                <w:szCs w:val="14"/>
                <w:lang w:val="es-DO" w:eastAsia="es-DO"/>
              </w:rPr>
              <w:br/>
              <w:t>Mauricio Matus (</w:t>
            </w: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mauricio</w:t>
            </w:r>
            <w:proofErr w:type="spellEnd"/>
            <w:r w:rsidRPr="009430CF">
              <w:rPr>
                <w:sz w:val="14"/>
                <w:szCs w:val="14"/>
                <w:lang w:val="es-DO" w:eastAsia="es-DO"/>
              </w:rPr>
              <w:t xml:space="preserve"> matus@cocesna.org)</w:t>
            </w:r>
            <w:r w:rsidRPr="009430CF">
              <w:rPr>
                <w:sz w:val="14"/>
                <w:szCs w:val="14"/>
                <w:lang w:val="es-DO" w:eastAsia="es-DO"/>
              </w:rPr>
              <w:br/>
              <w:t>Carlos Carbajal (carlos.carbajal@cocesna.org)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 xml:space="preserve">NAM-ICD </w:t>
            </w: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Version</w:t>
            </w:r>
            <w:proofErr w:type="spellEnd"/>
            <w:r w:rsidRPr="009430CF">
              <w:rPr>
                <w:sz w:val="14"/>
                <w:szCs w:val="14"/>
                <w:lang w:val="es-DO" w:eastAsia="es-DO"/>
              </w:rPr>
              <w:t xml:space="preserve">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>N/A (the current AFTN circuit speed is 1.2 kbps internally and 9.6 kbps the internationals)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 xml:space="preserve">The ability to process this type of messages will be complete once COCESNA have installed the New Control Centre. The required </w:t>
            </w:r>
            <w:r w:rsidR="00F214E2" w:rsidRPr="009430CF">
              <w:rPr>
                <w:sz w:val="14"/>
                <w:szCs w:val="14"/>
                <w:lang w:eastAsia="es-DO"/>
              </w:rPr>
              <w:t>bandwidth</w:t>
            </w:r>
            <w:r w:rsidRPr="009430CF">
              <w:rPr>
                <w:sz w:val="14"/>
                <w:szCs w:val="14"/>
                <w:lang w:eastAsia="es-DO"/>
              </w:rPr>
              <w:t xml:space="preserve"> must be analyzed prior to the implementation of this type of </w:t>
            </w:r>
            <w:r w:rsidR="00B14623" w:rsidRPr="009430CF">
              <w:rPr>
                <w:sz w:val="14"/>
                <w:szCs w:val="14"/>
                <w:lang w:eastAsia="es-DO"/>
              </w:rPr>
              <w:t>messages;</w:t>
            </w:r>
            <w:r w:rsidRPr="009430CF">
              <w:rPr>
                <w:sz w:val="14"/>
                <w:szCs w:val="14"/>
                <w:lang w:eastAsia="es-DO"/>
              </w:rPr>
              <w:t xml:space="preserve"> however, considering</w:t>
            </w:r>
            <w:r w:rsidR="00F214E2">
              <w:rPr>
                <w:sz w:val="14"/>
                <w:szCs w:val="14"/>
                <w:lang w:eastAsia="es-DO"/>
              </w:rPr>
              <w:t xml:space="preserve"> only text messages we estimated</w:t>
            </w:r>
            <w:r w:rsidRPr="009430CF">
              <w:rPr>
                <w:sz w:val="14"/>
                <w:szCs w:val="14"/>
                <w:lang w:eastAsia="es-DO"/>
              </w:rPr>
              <w:t xml:space="preserve"> that the actual </w:t>
            </w:r>
            <w:r w:rsidR="00F214E2" w:rsidRPr="009430CF">
              <w:rPr>
                <w:sz w:val="14"/>
                <w:szCs w:val="14"/>
                <w:lang w:eastAsia="es-DO"/>
              </w:rPr>
              <w:t>bandwidth</w:t>
            </w:r>
            <w:r w:rsidR="00F214E2">
              <w:rPr>
                <w:sz w:val="14"/>
                <w:szCs w:val="14"/>
                <w:lang w:eastAsia="es-DO"/>
              </w:rPr>
              <w:t xml:space="preserve"> v</w:t>
            </w:r>
            <w:r w:rsidRPr="009430CF">
              <w:rPr>
                <w:sz w:val="14"/>
                <w:szCs w:val="14"/>
                <w:lang w:eastAsia="es-DO"/>
              </w:rPr>
              <w:t>ia AFTN is sufficient.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b/>
                <w:bCs/>
                <w:sz w:val="14"/>
                <w:szCs w:val="14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Havana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Panama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Merida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Kingston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Bogota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9430CF" w:rsidTr="00B14623">
        <w:trPr>
          <w:cantSplit/>
          <w:trHeight w:val="34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Guayaquil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5622CF" w:rsidP="00B14623">
            <w:pPr>
              <w:rPr>
                <w:b/>
                <w:bCs/>
                <w:sz w:val="14"/>
                <w:szCs w:val="14"/>
                <w:lang w:val="es-DO" w:eastAsia="es-DO"/>
              </w:rPr>
            </w:pPr>
            <w:r w:rsidRPr="009430CF">
              <w:rPr>
                <w:b/>
                <w:bCs/>
                <w:sz w:val="14"/>
                <w:szCs w:val="14"/>
                <w:lang w:val="es-DO" w:eastAsia="es-DO"/>
              </w:rPr>
              <w:lastRenderedPageBreak/>
              <w:t>Bahamas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B14623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 xml:space="preserve">NAM-ICD </w:t>
            </w: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Version</w:t>
            </w:r>
            <w:proofErr w:type="spellEnd"/>
            <w:r w:rsidRPr="009430CF">
              <w:rPr>
                <w:sz w:val="14"/>
                <w:szCs w:val="14"/>
                <w:lang w:val="es-DO" w:eastAsia="es-DO"/>
              </w:rPr>
              <w:t xml:space="preserve">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5622CF" w:rsidP="00F214E2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proofErr w:type="spellStart"/>
            <w:r w:rsidRPr="009430CF">
              <w:rPr>
                <w:b/>
                <w:bCs/>
                <w:sz w:val="14"/>
                <w:szCs w:val="14"/>
                <w:lang w:val="es-DO" w:eastAsia="es-DO"/>
              </w:rPr>
              <w:t>Haiti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 xml:space="preserve">NAM-ICD </w:t>
            </w: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Version</w:t>
            </w:r>
            <w:proofErr w:type="spellEnd"/>
            <w:r w:rsidRPr="009430CF">
              <w:rPr>
                <w:sz w:val="14"/>
                <w:szCs w:val="14"/>
                <w:lang w:val="es-DO" w:eastAsia="es-DO"/>
              </w:rPr>
              <w:t xml:space="preserve">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5622CF" w:rsidP="00F214E2">
            <w:pPr>
              <w:spacing w:line="256" w:lineRule="auto"/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 w:rsidRPr="009430CF">
              <w:rPr>
                <w:b/>
                <w:bCs/>
                <w:sz w:val="14"/>
                <w:szCs w:val="14"/>
                <w:lang w:val="es-DO" w:eastAsia="es-DO"/>
              </w:rPr>
              <w:t xml:space="preserve">Trinidad and </w:t>
            </w:r>
            <w:proofErr w:type="spellStart"/>
            <w:r w:rsidRPr="009430CF">
              <w:rPr>
                <w:b/>
                <w:bCs/>
                <w:sz w:val="14"/>
                <w:szCs w:val="14"/>
                <w:lang w:val="es-DO" w:eastAsia="es-DO"/>
              </w:rPr>
              <w:t>Tabago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F214E2" w:rsidP="00F214E2">
            <w:pPr>
              <w:spacing w:line="256" w:lineRule="auto"/>
              <w:jc w:val="both"/>
              <w:rPr>
                <w:sz w:val="14"/>
                <w:szCs w:val="14"/>
                <w:lang w:eastAsia="es-DO"/>
              </w:rPr>
            </w:pPr>
            <w:r>
              <w:rPr>
                <w:sz w:val="14"/>
                <w:szCs w:val="14"/>
                <w:lang w:eastAsia="es-DO"/>
              </w:rPr>
              <w:t>Yes</w:t>
            </w:r>
            <w:proofErr w:type="gramStart"/>
            <w:r>
              <w:rPr>
                <w:sz w:val="14"/>
                <w:szCs w:val="14"/>
                <w:lang w:eastAsia="es-DO"/>
              </w:rPr>
              <w:t>.-</w:t>
            </w:r>
            <w:proofErr w:type="gramEnd"/>
            <w:r>
              <w:rPr>
                <w:sz w:val="14"/>
                <w:szCs w:val="14"/>
                <w:lang w:eastAsia="es-DO"/>
              </w:rPr>
              <w:t xml:space="preserve"> </w:t>
            </w:r>
            <w:r w:rsidR="00B264B4" w:rsidRPr="009430CF">
              <w:rPr>
                <w:sz w:val="14"/>
                <w:szCs w:val="14"/>
                <w:lang w:eastAsia="es-DO"/>
              </w:rPr>
              <w:t xml:space="preserve">Flight Data Processing Sub-System integrated within the </w:t>
            </w:r>
            <w:proofErr w:type="spellStart"/>
            <w:r w:rsidR="00B264B4" w:rsidRPr="009430CF">
              <w:rPr>
                <w:sz w:val="14"/>
                <w:szCs w:val="14"/>
                <w:lang w:eastAsia="es-DO"/>
              </w:rPr>
              <w:t>Selex</w:t>
            </w:r>
            <w:proofErr w:type="spellEnd"/>
            <w:r w:rsidR="00B264B4" w:rsidRPr="009430CF">
              <w:rPr>
                <w:sz w:val="14"/>
                <w:szCs w:val="14"/>
                <w:lang w:eastAsia="es-DO"/>
              </w:rPr>
              <w:t xml:space="preserve"> Air Traffic Control Automatic System supplied by SELEX S.I </w:t>
            </w:r>
            <w:proofErr w:type="spellStart"/>
            <w:r w:rsidR="00B264B4" w:rsidRPr="009430CF">
              <w:rPr>
                <w:sz w:val="14"/>
                <w:szCs w:val="14"/>
                <w:lang w:eastAsia="es-DO"/>
              </w:rPr>
              <w:t>S.p.A</w:t>
            </w:r>
            <w:proofErr w:type="spellEnd"/>
            <w:r w:rsidR="00B264B4" w:rsidRPr="009430CF">
              <w:rPr>
                <w:sz w:val="14"/>
                <w:szCs w:val="14"/>
                <w:lang w:eastAsia="es-DO"/>
              </w:rPr>
              <w:t>.</w:t>
            </w:r>
          </w:p>
          <w:p w:rsidR="00B264B4" w:rsidRPr="009430CF" w:rsidRDefault="00B264B4" w:rsidP="00F214E2">
            <w:pPr>
              <w:spacing w:line="256" w:lineRule="auto"/>
              <w:jc w:val="both"/>
              <w:rPr>
                <w:b/>
                <w:bCs/>
                <w:sz w:val="14"/>
                <w:szCs w:val="14"/>
                <w:lang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B4" w:rsidRPr="00F214E2" w:rsidRDefault="00B264B4" w:rsidP="00F214E2">
            <w:pPr>
              <w:spacing w:line="256" w:lineRule="auto"/>
              <w:jc w:val="both"/>
              <w:rPr>
                <w:b/>
                <w:bCs/>
                <w:sz w:val="14"/>
                <w:szCs w:val="14"/>
                <w:lang w:eastAsia="es-DO"/>
              </w:rPr>
            </w:pPr>
            <w:r w:rsidRPr="00F214E2">
              <w:rPr>
                <w:sz w:val="14"/>
                <w:szCs w:val="14"/>
                <w:lang w:eastAsia="es-DO"/>
              </w:rPr>
              <w:t>SANTA MARIA ACC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spacing w:line="256" w:lineRule="auto"/>
              <w:jc w:val="both"/>
              <w:rPr>
                <w:b/>
                <w:bCs/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>Currently testing system capability with a goal to implement by 3rd quarter 2014.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spacing w:line="256" w:lineRule="auto"/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 xml:space="preserve">Alexis Brathwaite </w:t>
            </w:r>
          </w:p>
          <w:p w:rsidR="00B264B4" w:rsidRPr="009430CF" w:rsidRDefault="00B264B4" w:rsidP="00F214E2">
            <w:pPr>
              <w:spacing w:line="256" w:lineRule="auto"/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 xml:space="preserve">Manager ATS, TTCAA, </w:t>
            </w:r>
            <w:hyperlink r:id="rId8" w:history="1">
              <w:r w:rsidRPr="009430CF">
                <w:rPr>
                  <w:rStyle w:val="Hyperlink"/>
                  <w:sz w:val="14"/>
                  <w:szCs w:val="14"/>
                  <w:lang w:eastAsia="es-DO"/>
                </w:rPr>
                <w:t>abrathwaite@caa.gov.tt</w:t>
              </w:r>
            </w:hyperlink>
          </w:p>
          <w:p w:rsidR="00B264B4" w:rsidRPr="009430CF" w:rsidRDefault="00B264B4" w:rsidP="00F214E2">
            <w:pPr>
              <w:spacing w:line="256" w:lineRule="auto"/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>1 868 668 8222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spacing w:line="256" w:lineRule="auto"/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NAT ICD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spacing w:line="256" w:lineRule="auto"/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>Current AFTN Circuit  Speed is 9600 bps </w:t>
            </w:r>
          </w:p>
          <w:p w:rsidR="00B264B4" w:rsidRPr="009430CF" w:rsidRDefault="00B264B4" w:rsidP="00F214E2">
            <w:pPr>
              <w:spacing w:line="256" w:lineRule="auto"/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> </w:t>
            </w:r>
          </w:p>
          <w:p w:rsidR="00B264B4" w:rsidRPr="009430CF" w:rsidRDefault="00B264B4" w:rsidP="00F214E2">
            <w:pPr>
              <w:spacing w:line="256" w:lineRule="auto"/>
              <w:jc w:val="both"/>
              <w:rPr>
                <w:b/>
                <w:bCs/>
                <w:sz w:val="14"/>
                <w:szCs w:val="14"/>
                <w:lang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spacing w:line="256" w:lineRule="auto"/>
              <w:jc w:val="both"/>
              <w:rPr>
                <w:b/>
                <w:bCs/>
                <w:sz w:val="14"/>
                <w:szCs w:val="14"/>
                <w:lang w:eastAsia="es-DO"/>
              </w:rPr>
            </w:pP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b/>
                <w:bCs/>
                <w:sz w:val="14"/>
                <w:szCs w:val="14"/>
                <w:lang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NY ARTCC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>Currently testing system capability with a goal to implement by 3rd quarter 2014.</w:t>
            </w: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NAT CD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spacing w:line="256" w:lineRule="auto"/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SAL,</w:t>
            </w:r>
          </w:p>
          <w:p w:rsidR="00B264B4" w:rsidRPr="009430CF" w:rsidRDefault="00B264B4" w:rsidP="00F214E2">
            <w:pPr>
              <w:spacing w:line="256" w:lineRule="auto"/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 xml:space="preserve">French </w:t>
            </w: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Guyanne</w:t>
            </w:r>
            <w:proofErr w:type="spellEnd"/>
            <w:r w:rsidRPr="009430CF">
              <w:rPr>
                <w:sz w:val="14"/>
                <w:szCs w:val="14"/>
                <w:lang w:val="es-DO" w:eastAsia="es-DO"/>
              </w:rPr>
              <w:t xml:space="preserve">, </w:t>
            </w: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Maiquetia</w:t>
            </w:r>
            <w:proofErr w:type="spellEnd"/>
            <w:r w:rsidRPr="009430CF">
              <w:rPr>
                <w:sz w:val="14"/>
                <w:szCs w:val="14"/>
                <w:lang w:val="es-DO" w:eastAsia="es-DO"/>
              </w:rPr>
              <w:t>, San Juan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TBD</w:t>
            </w: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TBD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proofErr w:type="spellStart"/>
            <w:r w:rsidRPr="009430CF">
              <w:rPr>
                <w:b/>
                <w:bCs/>
                <w:sz w:val="14"/>
                <w:szCs w:val="14"/>
                <w:lang w:val="es-DO" w:eastAsia="es-DO"/>
              </w:rPr>
              <w:t>Curacao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Maiquetia</w:t>
            </w:r>
            <w:proofErr w:type="spellEnd"/>
            <w:r w:rsidRPr="009430CF">
              <w:rPr>
                <w:sz w:val="14"/>
                <w:szCs w:val="14"/>
                <w:lang w:val="es-DO" w:eastAsia="es-DO"/>
              </w:rPr>
              <w:t xml:space="preserve"> ACC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fr-FR" w:eastAsia="es-DO"/>
              </w:rPr>
            </w:pPr>
            <w:r w:rsidRPr="009430CF">
              <w:rPr>
                <w:sz w:val="14"/>
                <w:szCs w:val="14"/>
                <w:lang w:val="fr-FR" w:eastAsia="es-DO"/>
              </w:rPr>
              <w:t xml:space="preserve">Jacques </w:t>
            </w:r>
            <w:proofErr w:type="spellStart"/>
            <w:r w:rsidRPr="009430CF">
              <w:rPr>
                <w:sz w:val="14"/>
                <w:szCs w:val="14"/>
                <w:lang w:val="fr-FR" w:eastAsia="es-DO"/>
              </w:rPr>
              <w:t>Lasten</w:t>
            </w:r>
            <w:proofErr w:type="spellEnd"/>
            <w:r w:rsidRPr="009430CF">
              <w:rPr>
                <w:sz w:val="14"/>
                <w:szCs w:val="14"/>
                <w:lang w:val="fr-FR" w:eastAsia="es-DO"/>
              </w:rPr>
              <w:t>, ATS Manager, DC-ANSP, j.lasten@dc-ansp.org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fr-FR" w:eastAsia="es-D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fr-FR" w:eastAsia="es-DO"/>
              </w:rPr>
            </w:pPr>
            <w:r w:rsidRPr="009430CF">
              <w:rPr>
                <w:sz w:val="14"/>
                <w:szCs w:val="14"/>
                <w:lang w:val="fr-FR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fr-FR" w:eastAsia="es-DO"/>
              </w:rPr>
            </w:pPr>
            <w:r w:rsidRPr="009430CF">
              <w:rPr>
                <w:sz w:val="14"/>
                <w:szCs w:val="14"/>
                <w:lang w:val="fr-FR" w:eastAsia="es-DO"/>
              </w:rPr>
              <w:t> 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b/>
                <w:bCs/>
                <w:sz w:val="14"/>
                <w:szCs w:val="14"/>
                <w:lang w:val="fr-FR"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fr-FR" w:eastAsia="es-DO"/>
              </w:rPr>
            </w:pPr>
            <w:r w:rsidRPr="009430CF">
              <w:rPr>
                <w:sz w:val="14"/>
                <w:szCs w:val="14"/>
                <w:lang w:val="fr-FR" w:eastAsia="es-DO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Kingston ACC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 xml:space="preserve">NAM-ICD </w:t>
            </w: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Version</w:t>
            </w:r>
            <w:proofErr w:type="spellEnd"/>
            <w:r w:rsidRPr="009430CF">
              <w:rPr>
                <w:sz w:val="14"/>
                <w:szCs w:val="14"/>
                <w:lang w:val="es-DO" w:eastAsia="es-DO"/>
              </w:rPr>
              <w:t xml:space="preserve">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 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b/>
                <w:bCs/>
                <w:sz w:val="14"/>
                <w:szCs w:val="14"/>
                <w:lang w:val="es-DO" w:eastAsia="es-DO"/>
              </w:rPr>
            </w:pPr>
            <w:r w:rsidRPr="009430CF">
              <w:rPr>
                <w:b/>
                <w:bCs/>
                <w:sz w:val="14"/>
                <w:szCs w:val="14"/>
                <w:lang w:val="es-DO" w:eastAsia="es-DO"/>
              </w:rPr>
              <w:t>Costa Rica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>No -  FDP Server must upgrade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FIR CENAMER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TBD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 xml:space="preserve">Fernando Naranjo Elizondo fer_nar_eli@hotmail.com  </w:t>
            </w:r>
            <w:r w:rsidRPr="009430CF">
              <w:rPr>
                <w:sz w:val="14"/>
                <w:szCs w:val="14"/>
                <w:lang w:val="es-DO" w:eastAsia="es-DO"/>
              </w:rPr>
              <w:br/>
              <w:t>Warren Quirósnavegacionaerea.cns@dgac.go.cr +50622314924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 xml:space="preserve">NAM-ICD </w:t>
            </w:r>
            <w:proofErr w:type="spellStart"/>
            <w:r w:rsidRPr="009430CF">
              <w:rPr>
                <w:sz w:val="14"/>
                <w:szCs w:val="14"/>
                <w:lang w:val="es-DO" w:eastAsia="es-DO"/>
              </w:rPr>
              <w:t>Version</w:t>
            </w:r>
            <w:proofErr w:type="spellEnd"/>
            <w:r w:rsidRPr="009430CF">
              <w:rPr>
                <w:sz w:val="14"/>
                <w:szCs w:val="14"/>
                <w:lang w:val="es-DO" w:eastAsia="es-DO"/>
              </w:rPr>
              <w:t xml:space="preserve"> D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1200 bps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F214E2">
            <w:pPr>
              <w:jc w:val="both"/>
              <w:rPr>
                <w:sz w:val="14"/>
                <w:szCs w:val="14"/>
                <w:lang w:eastAsia="es-DO"/>
              </w:rPr>
            </w:pPr>
            <w:r w:rsidRPr="009430CF">
              <w:rPr>
                <w:sz w:val="14"/>
                <w:szCs w:val="14"/>
                <w:lang w:eastAsia="es-DO"/>
              </w:rPr>
              <w:t>AIDC may be implemented until the upgrade of El Coco Center</w:t>
            </w: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rPr>
                <w:b/>
                <w:bCs/>
                <w:sz w:val="14"/>
                <w:szCs w:val="14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FIR MANAGUA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TBD</w:t>
            </w: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</w:tr>
      <w:tr w:rsidR="00B264B4" w:rsidRPr="009430CF" w:rsidTr="009430CF">
        <w:trPr>
          <w:cantSplit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rPr>
                <w:b/>
                <w:bCs/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B74E82">
            <w:pPr>
              <w:jc w:val="center"/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FIR PANAMA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  <w:r w:rsidRPr="009430CF">
              <w:rPr>
                <w:sz w:val="14"/>
                <w:szCs w:val="14"/>
                <w:lang w:val="es-DO" w:eastAsia="es-DO"/>
              </w:rPr>
              <w:t>TBD</w:t>
            </w: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4B4" w:rsidRPr="009430CF" w:rsidRDefault="00B264B4" w:rsidP="00B74E82">
            <w:pPr>
              <w:rPr>
                <w:sz w:val="14"/>
                <w:szCs w:val="14"/>
                <w:lang w:val="es-DO" w:eastAsia="es-DO"/>
              </w:rPr>
            </w:pPr>
          </w:p>
        </w:tc>
      </w:tr>
    </w:tbl>
    <w:p w:rsidR="00B264B4" w:rsidRDefault="00B264B4" w:rsidP="00B264B4">
      <w:pPr>
        <w:pStyle w:val="Title"/>
        <w:rPr>
          <w:rFonts w:ascii="Times New Roman" w:hAnsi="Times New Roman" w:cs="Times New Roman"/>
          <w:b w:val="0"/>
          <w:bCs w:val="0"/>
          <w:smallCaps w:val="0"/>
          <w:sz w:val="22"/>
          <w:szCs w:val="22"/>
          <w:lang w:val="en-GB"/>
        </w:rPr>
      </w:pPr>
    </w:p>
    <w:sectPr w:rsidR="00B264B4" w:rsidSect="00BE445B">
      <w:pgSz w:w="15840" w:h="12240" w:orient="landscape" w:code="1"/>
      <w:pgMar w:top="720" w:right="1800" w:bottom="900" w:left="720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FF" w:rsidRDefault="002E2BFF">
      <w:r>
        <w:separator/>
      </w:r>
    </w:p>
  </w:endnote>
  <w:endnote w:type="continuationSeparator" w:id="0">
    <w:p w:rsidR="002E2BFF" w:rsidRDefault="002E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FF" w:rsidRDefault="002E2BFF">
      <w:r>
        <w:separator/>
      </w:r>
    </w:p>
  </w:footnote>
  <w:footnote w:type="continuationSeparator" w:id="0">
    <w:p w:rsidR="002E2BFF" w:rsidRDefault="002E2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9A"/>
    <w:multiLevelType w:val="hybridMultilevel"/>
    <w:tmpl w:val="3A32F9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3AE8"/>
    <w:multiLevelType w:val="multilevel"/>
    <w:tmpl w:val="3E70E41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850BF"/>
    <w:multiLevelType w:val="hybridMultilevel"/>
    <w:tmpl w:val="5678BEAA"/>
    <w:lvl w:ilvl="0" w:tplc="4F4C8C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05006"/>
    <w:multiLevelType w:val="hybridMultilevel"/>
    <w:tmpl w:val="F9D4CB76"/>
    <w:lvl w:ilvl="0" w:tplc="CB4A60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13B6C"/>
    <w:multiLevelType w:val="hybridMultilevel"/>
    <w:tmpl w:val="3C76C920"/>
    <w:lvl w:ilvl="0" w:tplc="652E28AE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C0A61"/>
    <w:multiLevelType w:val="hybridMultilevel"/>
    <w:tmpl w:val="2CBEE1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4A3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8F2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176E7"/>
    <w:multiLevelType w:val="hybridMultilevel"/>
    <w:tmpl w:val="830CD00E"/>
    <w:lvl w:ilvl="0" w:tplc="9B2C6E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70209"/>
    <w:multiLevelType w:val="hybridMultilevel"/>
    <w:tmpl w:val="5DAE5372"/>
    <w:lvl w:ilvl="0" w:tplc="BF0471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4363B"/>
    <w:multiLevelType w:val="hybridMultilevel"/>
    <w:tmpl w:val="0B04D5B2"/>
    <w:lvl w:ilvl="0" w:tplc="6AEA32A4">
      <w:start w:val="1"/>
      <w:numFmt w:val="lowerLetter"/>
      <w:lvlText w:val="%1)"/>
      <w:lvlJc w:val="left"/>
      <w:pPr>
        <w:tabs>
          <w:tab w:val="num" w:pos="1170"/>
        </w:tabs>
        <w:ind w:left="117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C6763"/>
    <w:multiLevelType w:val="hybridMultilevel"/>
    <w:tmpl w:val="782CA528"/>
    <w:lvl w:ilvl="0" w:tplc="FB302D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1F"/>
    <w:rsid w:val="0000165F"/>
    <w:rsid w:val="000134E3"/>
    <w:rsid w:val="000139AE"/>
    <w:rsid w:val="00013B6B"/>
    <w:rsid w:val="000146C3"/>
    <w:rsid w:val="00014819"/>
    <w:rsid w:val="00017B79"/>
    <w:rsid w:val="00020E46"/>
    <w:rsid w:val="0002155A"/>
    <w:rsid w:val="00021D98"/>
    <w:rsid w:val="0002522D"/>
    <w:rsid w:val="0002656D"/>
    <w:rsid w:val="000413CA"/>
    <w:rsid w:val="0005454B"/>
    <w:rsid w:val="0006324A"/>
    <w:rsid w:val="00064298"/>
    <w:rsid w:val="0006640D"/>
    <w:rsid w:val="00066688"/>
    <w:rsid w:val="00071224"/>
    <w:rsid w:val="00071D65"/>
    <w:rsid w:val="00076B8F"/>
    <w:rsid w:val="000822D2"/>
    <w:rsid w:val="00083D64"/>
    <w:rsid w:val="00084679"/>
    <w:rsid w:val="000937FC"/>
    <w:rsid w:val="0009672B"/>
    <w:rsid w:val="000A1B63"/>
    <w:rsid w:val="000B1B5E"/>
    <w:rsid w:val="000B3392"/>
    <w:rsid w:val="000B5FAB"/>
    <w:rsid w:val="000B6F3D"/>
    <w:rsid w:val="000C157E"/>
    <w:rsid w:val="000C3738"/>
    <w:rsid w:val="000C548D"/>
    <w:rsid w:val="000C6406"/>
    <w:rsid w:val="000C7EF9"/>
    <w:rsid w:val="000D1204"/>
    <w:rsid w:val="000D13E1"/>
    <w:rsid w:val="000D24BC"/>
    <w:rsid w:val="000D63DA"/>
    <w:rsid w:val="000E060A"/>
    <w:rsid w:val="000E305A"/>
    <w:rsid w:val="000E3C8E"/>
    <w:rsid w:val="000E7037"/>
    <w:rsid w:val="00100E79"/>
    <w:rsid w:val="00100EDD"/>
    <w:rsid w:val="0010312C"/>
    <w:rsid w:val="001039FA"/>
    <w:rsid w:val="0010424B"/>
    <w:rsid w:val="001054B9"/>
    <w:rsid w:val="00114BBA"/>
    <w:rsid w:val="00115131"/>
    <w:rsid w:val="001169B1"/>
    <w:rsid w:val="001240E0"/>
    <w:rsid w:val="00125072"/>
    <w:rsid w:val="00126ACD"/>
    <w:rsid w:val="0013457A"/>
    <w:rsid w:val="00142CFF"/>
    <w:rsid w:val="001454A5"/>
    <w:rsid w:val="00145795"/>
    <w:rsid w:val="00147D1B"/>
    <w:rsid w:val="00150061"/>
    <w:rsid w:val="00163841"/>
    <w:rsid w:val="00166096"/>
    <w:rsid w:val="00173111"/>
    <w:rsid w:val="001761E4"/>
    <w:rsid w:val="00176C32"/>
    <w:rsid w:val="00184224"/>
    <w:rsid w:val="0018626F"/>
    <w:rsid w:val="001900AD"/>
    <w:rsid w:val="00190630"/>
    <w:rsid w:val="0019072C"/>
    <w:rsid w:val="00194E3E"/>
    <w:rsid w:val="00196115"/>
    <w:rsid w:val="00196CA9"/>
    <w:rsid w:val="001A50C7"/>
    <w:rsid w:val="001A5B0D"/>
    <w:rsid w:val="001B173A"/>
    <w:rsid w:val="001B4B28"/>
    <w:rsid w:val="001C238B"/>
    <w:rsid w:val="001C4F7F"/>
    <w:rsid w:val="001D4FA8"/>
    <w:rsid w:val="001D7A02"/>
    <w:rsid w:val="001E610D"/>
    <w:rsid w:val="001E6269"/>
    <w:rsid w:val="001F1A9C"/>
    <w:rsid w:val="001F202A"/>
    <w:rsid w:val="001F279A"/>
    <w:rsid w:val="001F343A"/>
    <w:rsid w:val="001F6080"/>
    <w:rsid w:val="001F630E"/>
    <w:rsid w:val="00200E95"/>
    <w:rsid w:val="0020345A"/>
    <w:rsid w:val="002045FA"/>
    <w:rsid w:val="00211588"/>
    <w:rsid w:val="00226266"/>
    <w:rsid w:val="00226E8C"/>
    <w:rsid w:val="00227762"/>
    <w:rsid w:val="00235487"/>
    <w:rsid w:val="00237900"/>
    <w:rsid w:val="00245DC6"/>
    <w:rsid w:val="00246EBC"/>
    <w:rsid w:val="00246F20"/>
    <w:rsid w:val="0025097A"/>
    <w:rsid w:val="0025321D"/>
    <w:rsid w:val="00254E5C"/>
    <w:rsid w:val="00260FC9"/>
    <w:rsid w:val="00261940"/>
    <w:rsid w:val="00270E3C"/>
    <w:rsid w:val="0027278B"/>
    <w:rsid w:val="00281CB5"/>
    <w:rsid w:val="002837C6"/>
    <w:rsid w:val="00286410"/>
    <w:rsid w:val="002910C3"/>
    <w:rsid w:val="002915A1"/>
    <w:rsid w:val="00293604"/>
    <w:rsid w:val="00293D0E"/>
    <w:rsid w:val="00293E61"/>
    <w:rsid w:val="002A4D50"/>
    <w:rsid w:val="002C034E"/>
    <w:rsid w:val="002C40B4"/>
    <w:rsid w:val="002C56DB"/>
    <w:rsid w:val="002D1FFA"/>
    <w:rsid w:val="002D2282"/>
    <w:rsid w:val="002D2A9B"/>
    <w:rsid w:val="002D5EF0"/>
    <w:rsid w:val="002E2BFF"/>
    <w:rsid w:val="002E34C2"/>
    <w:rsid w:val="002E55D0"/>
    <w:rsid w:val="002F1A66"/>
    <w:rsid w:val="002F5225"/>
    <w:rsid w:val="002F74A6"/>
    <w:rsid w:val="00300B5F"/>
    <w:rsid w:val="003035A7"/>
    <w:rsid w:val="00306A3E"/>
    <w:rsid w:val="0031381B"/>
    <w:rsid w:val="00314F3E"/>
    <w:rsid w:val="00316F73"/>
    <w:rsid w:val="00322D6A"/>
    <w:rsid w:val="00327521"/>
    <w:rsid w:val="00327A5C"/>
    <w:rsid w:val="003304A6"/>
    <w:rsid w:val="0033417B"/>
    <w:rsid w:val="00334501"/>
    <w:rsid w:val="00335919"/>
    <w:rsid w:val="0034016E"/>
    <w:rsid w:val="003476F6"/>
    <w:rsid w:val="00362C8B"/>
    <w:rsid w:val="00364725"/>
    <w:rsid w:val="00364AA6"/>
    <w:rsid w:val="003725A5"/>
    <w:rsid w:val="00373867"/>
    <w:rsid w:val="00375E10"/>
    <w:rsid w:val="00381BA6"/>
    <w:rsid w:val="00382BF7"/>
    <w:rsid w:val="00385D53"/>
    <w:rsid w:val="0038727D"/>
    <w:rsid w:val="003977FF"/>
    <w:rsid w:val="003979D7"/>
    <w:rsid w:val="003A4210"/>
    <w:rsid w:val="003A4CF3"/>
    <w:rsid w:val="003A5F60"/>
    <w:rsid w:val="003B1F87"/>
    <w:rsid w:val="003B26B1"/>
    <w:rsid w:val="003C0C01"/>
    <w:rsid w:val="003C2836"/>
    <w:rsid w:val="003D0EE5"/>
    <w:rsid w:val="003D3E27"/>
    <w:rsid w:val="003F285E"/>
    <w:rsid w:val="003F4595"/>
    <w:rsid w:val="003F5591"/>
    <w:rsid w:val="004003E5"/>
    <w:rsid w:val="00410F51"/>
    <w:rsid w:val="0041374A"/>
    <w:rsid w:val="004167F3"/>
    <w:rsid w:val="004218F0"/>
    <w:rsid w:val="0042230A"/>
    <w:rsid w:val="0042282A"/>
    <w:rsid w:val="00434185"/>
    <w:rsid w:val="004363C4"/>
    <w:rsid w:val="00441B45"/>
    <w:rsid w:val="00446AB3"/>
    <w:rsid w:val="00447D6F"/>
    <w:rsid w:val="00450894"/>
    <w:rsid w:val="00454D3C"/>
    <w:rsid w:val="00455782"/>
    <w:rsid w:val="00456EF9"/>
    <w:rsid w:val="004573B8"/>
    <w:rsid w:val="004601D2"/>
    <w:rsid w:val="00461326"/>
    <w:rsid w:val="00470FB9"/>
    <w:rsid w:val="00477B0D"/>
    <w:rsid w:val="00481AB5"/>
    <w:rsid w:val="00483621"/>
    <w:rsid w:val="00483791"/>
    <w:rsid w:val="00485124"/>
    <w:rsid w:val="00486C71"/>
    <w:rsid w:val="004908B1"/>
    <w:rsid w:val="00493223"/>
    <w:rsid w:val="00496452"/>
    <w:rsid w:val="00496705"/>
    <w:rsid w:val="00497DF8"/>
    <w:rsid w:val="004A25B6"/>
    <w:rsid w:val="004B31B0"/>
    <w:rsid w:val="004B78F8"/>
    <w:rsid w:val="004C15B9"/>
    <w:rsid w:val="004C1903"/>
    <w:rsid w:val="004C2462"/>
    <w:rsid w:val="004D4930"/>
    <w:rsid w:val="004D6E9C"/>
    <w:rsid w:val="004E2FCC"/>
    <w:rsid w:val="004E3EBF"/>
    <w:rsid w:val="004E3FAF"/>
    <w:rsid w:val="004E7455"/>
    <w:rsid w:val="004F05CC"/>
    <w:rsid w:val="004F27D7"/>
    <w:rsid w:val="004F2994"/>
    <w:rsid w:val="004F5213"/>
    <w:rsid w:val="004F54BB"/>
    <w:rsid w:val="004F697F"/>
    <w:rsid w:val="004F7BB3"/>
    <w:rsid w:val="005006D9"/>
    <w:rsid w:val="0050391F"/>
    <w:rsid w:val="00520233"/>
    <w:rsid w:val="005356F9"/>
    <w:rsid w:val="00536A0D"/>
    <w:rsid w:val="00537C7E"/>
    <w:rsid w:val="00543A4B"/>
    <w:rsid w:val="00544D30"/>
    <w:rsid w:val="0054576D"/>
    <w:rsid w:val="005460F9"/>
    <w:rsid w:val="00552CDF"/>
    <w:rsid w:val="0055348D"/>
    <w:rsid w:val="005574B9"/>
    <w:rsid w:val="00557EFF"/>
    <w:rsid w:val="005622CF"/>
    <w:rsid w:val="005627B7"/>
    <w:rsid w:val="00564531"/>
    <w:rsid w:val="00564E23"/>
    <w:rsid w:val="00574DA1"/>
    <w:rsid w:val="00577AE0"/>
    <w:rsid w:val="00582650"/>
    <w:rsid w:val="005874A6"/>
    <w:rsid w:val="005923CB"/>
    <w:rsid w:val="005970FE"/>
    <w:rsid w:val="005A65FB"/>
    <w:rsid w:val="005B211C"/>
    <w:rsid w:val="005B62F1"/>
    <w:rsid w:val="005C0B28"/>
    <w:rsid w:val="005D2525"/>
    <w:rsid w:val="005D46C2"/>
    <w:rsid w:val="005D69F9"/>
    <w:rsid w:val="005E0226"/>
    <w:rsid w:val="005E0291"/>
    <w:rsid w:val="005E2888"/>
    <w:rsid w:val="005E3F5E"/>
    <w:rsid w:val="005E49ED"/>
    <w:rsid w:val="005F125C"/>
    <w:rsid w:val="005F12DF"/>
    <w:rsid w:val="00611383"/>
    <w:rsid w:val="0061372F"/>
    <w:rsid w:val="00621F9E"/>
    <w:rsid w:val="00622042"/>
    <w:rsid w:val="00625798"/>
    <w:rsid w:val="00631B82"/>
    <w:rsid w:val="006333B4"/>
    <w:rsid w:val="00634E6D"/>
    <w:rsid w:val="0063566A"/>
    <w:rsid w:val="00654342"/>
    <w:rsid w:val="00660591"/>
    <w:rsid w:val="006617B3"/>
    <w:rsid w:val="00661D37"/>
    <w:rsid w:val="00662A85"/>
    <w:rsid w:val="0066392A"/>
    <w:rsid w:val="0066408D"/>
    <w:rsid w:val="00666DF6"/>
    <w:rsid w:val="00666FA4"/>
    <w:rsid w:val="006766A6"/>
    <w:rsid w:val="006850EC"/>
    <w:rsid w:val="0069370B"/>
    <w:rsid w:val="006A1C30"/>
    <w:rsid w:val="006A25AD"/>
    <w:rsid w:val="006A3A69"/>
    <w:rsid w:val="006B07B8"/>
    <w:rsid w:val="006B18A2"/>
    <w:rsid w:val="006C10F3"/>
    <w:rsid w:val="006D5F42"/>
    <w:rsid w:val="006D6A48"/>
    <w:rsid w:val="006D7075"/>
    <w:rsid w:val="006E11F1"/>
    <w:rsid w:val="006E2CC0"/>
    <w:rsid w:val="006E4BC5"/>
    <w:rsid w:val="006E7E2C"/>
    <w:rsid w:val="006F2C9B"/>
    <w:rsid w:val="006F706C"/>
    <w:rsid w:val="00700B9F"/>
    <w:rsid w:val="007033DD"/>
    <w:rsid w:val="00704302"/>
    <w:rsid w:val="00706104"/>
    <w:rsid w:val="00707604"/>
    <w:rsid w:val="00714951"/>
    <w:rsid w:val="0072257A"/>
    <w:rsid w:val="00723098"/>
    <w:rsid w:val="00724F72"/>
    <w:rsid w:val="007345E8"/>
    <w:rsid w:val="007354A8"/>
    <w:rsid w:val="007368C3"/>
    <w:rsid w:val="00740411"/>
    <w:rsid w:val="0074668E"/>
    <w:rsid w:val="00754CFE"/>
    <w:rsid w:val="00755930"/>
    <w:rsid w:val="007559C4"/>
    <w:rsid w:val="00756A29"/>
    <w:rsid w:val="00762E62"/>
    <w:rsid w:val="00772B12"/>
    <w:rsid w:val="00776288"/>
    <w:rsid w:val="00784BB2"/>
    <w:rsid w:val="0078586C"/>
    <w:rsid w:val="00785E15"/>
    <w:rsid w:val="00791E58"/>
    <w:rsid w:val="007929AC"/>
    <w:rsid w:val="0079540B"/>
    <w:rsid w:val="007A0406"/>
    <w:rsid w:val="007A4411"/>
    <w:rsid w:val="007A6396"/>
    <w:rsid w:val="007B1F57"/>
    <w:rsid w:val="007B5810"/>
    <w:rsid w:val="007B71E7"/>
    <w:rsid w:val="007C0143"/>
    <w:rsid w:val="007C068E"/>
    <w:rsid w:val="007C446C"/>
    <w:rsid w:val="007C6F82"/>
    <w:rsid w:val="007D4860"/>
    <w:rsid w:val="007D4D4A"/>
    <w:rsid w:val="007E1F61"/>
    <w:rsid w:val="007E3536"/>
    <w:rsid w:val="007E57F8"/>
    <w:rsid w:val="007E6AAF"/>
    <w:rsid w:val="007F0645"/>
    <w:rsid w:val="007F1B00"/>
    <w:rsid w:val="007F4E72"/>
    <w:rsid w:val="007F5C05"/>
    <w:rsid w:val="00803464"/>
    <w:rsid w:val="0080407D"/>
    <w:rsid w:val="00805013"/>
    <w:rsid w:val="00821351"/>
    <w:rsid w:val="0082152B"/>
    <w:rsid w:val="0082216D"/>
    <w:rsid w:val="008256F5"/>
    <w:rsid w:val="00826EEB"/>
    <w:rsid w:val="00834077"/>
    <w:rsid w:val="008354FF"/>
    <w:rsid w:val="008434AE"/>
    <w:rsid w:val="00845442"/>
    <w:rsid w:val="00847861"/>
    <w:rsid w:val="00847F1E"/>
    <w:rsid w:val="00851ED7"/>
    <w:rsid w:val="0085570D"/>
    <w:rsid w:val="00857C94"/>
    <w:rsid w:val="00862870"/>
    <w:rsid w:val="00866B97"/>
    <w:rsid w:val="0087383E"/>
    <w:rsid w:val="00875980"/>
    <w:rsid w:val="00880571"/>
    <w:rsid w:val="00884D42"/>
    <w:rsid w:val="00895B51"/>
    <w:rsid w:val="00896BF5"/>
    <w:rsid w:val="008A7339"/>
    <w:rsid w:val="008A7F45"/>
    <w:rsid w:val="008B1E3F"/>
    <w:rsid w:val="008B296A"/>
    <w:rsid w:val="008C1667"/>
    <w:rsid w:val="008C1D8A"/>
    <w:rsid w:val="008C2209"/>
    <w:rsid w:val="008C7EBD"/>
    <w:rsid w:val="008D30FD"/>
    <w:rsid w:val="008D4D5E"/>
    <w:rsid w:val="008D5AB7"/>
    <w:rsid w:val="008D6E36"/>
    <w:rsid w:val="008E3DCE"/>
    <w:rsid w:val="008E64E5"/>
    <w:rsid w:val="008F52E7"/>
    <w:rsid w:val="008F5D28"/>
    <w:rsid w:val="008F625B"/>
    <w:rsid w:val="008F68BA"/>
    <w:rsid w:val="009018AA"/>
    <w:rsid w:val="00905346"/>
    <w:rsid w:val="0090557C"/>
    <w:rsid w:val="00905DD8"/>
    <w:rsid w:val="00912CCD"/>
    <w:rsid w:val="009133EB"/>
    <w:rsid w:val="00913416"/>
    <w:rsid w:val="00914818"/>
    <w:rsid w:val="00924144"/>
    <w:rsid w:val="0092451B"/>
    <w:rsid w:val="009250D0"/>
    <w:rsid w:val="00925431"/>
    <w:rsid w:val="0092559A"/>
    <w:rsid w:val="009320A6"/>
    <w:rsid w:val="009321C6"/>
    <w:rsid w:val="009430CF"/>
    <w:rsid w:val="00944294"/>
    <w:rsid w:val="00947445"/>
    <w:rsid w:val="00947E69"/>
    <w:rsid w:val="00951E67"/>
    <w:rsid w:val="00952307"/>
    <w:rsid w:val="00957380"/>
    <w:rsid w:val="00961CF0"/>
    <w:rsid w:val="00963FAD"/>
    <w:rsid w:val="00966210"/>
    <w:rsid w:val="00966290"/>
    <w:rsid w:val="00970129"/>
    <w:rsid w:val="0097052D"/>
    <w:rsid w:val="0097260F"/>
    <w:rsid w:val="009812D3"/>
    <w:rsid w:val="00982A2C"/>
    <w:rsid w:val="00985392"/>
    <w:rsid w:val="009A0010"/>
    <w:rsid w:val="009A1EE4"/>
    <w:rsid w:val="009A3202"/>
    <w:rsid w:val="009A7A8F"/>
    <w:rsid w:val="009B094D"/>
    <w:rsid w:val="009B2103"/>
    <w:rsid w:val="009B7210"/>
    <w:rsid w:val="009C0F6B"/>
    <w:rsid w:val="009C75F0"/>
    <w:rsid w:val="009D31E8"/>
    <w:rsid w:val="009E40A3"/>
    <w:rsid w:val="009E4C5F"/>
    <w:rsid w:val="009F0722"/>
    <w:rsid w:val="00A00321"/>
    <w:rsid w:val="00A00EAE"/>
    <w:rsid w:val="00A049F7"/>
    <w:rsid w:val="00A0740F"/>
    <w:rsid w:val="00A10E1E"/>
    <w:rsid w:val="00A130AD"/>
    <w:rsid w:val="00A15065"/>
    <w:rsid w:val="00A160B9"/>
    <w:rsid w:val="00A203A2"/>
    <w:rsid w:val="00A2508E"/>
    <w:rsid w:val="00A3267A"/>
    <w:rsid w:val="00A34E9D"/>
    <w:rsid w:val="00A42207"/>
    <w:rsid w:val="00A427A4"/>
    <w:rsid w:val="00A44BA1"/>
    <w:rsid w:val="00A458BD"/>
    <w:rsid w:val="00A46875"/>
    <w:rsid w:val="00A4717F"/>
    <w:rsid w:val="00A50804"/>
    <w:rsid w:val="00A521B0"/>
    <w:rsid w:val="00A60215"/>
    <w:rsid w:val="00A618B7"/>
    <w:rsid w:val="00A66EB6"/>
    <w:rsid w:val="00A72DE2"/>
    <w:rsid w:val="00A73EFF"/>
    <w:rsid w:val="00A73F08"/>
    <w:rsid w:val="00A75B4A"/>
    <w:rsid w:val="00A75DCD"/>
    <w:rsid w:val="00A778E2"/>
    <w:rsid w:val="00A77B1F"/>
    <w:rsid w:val="00A8290A"/>
    <w:rsid w:val="00A84564"/>
    <w:rsid w:val="00A84B00"/>
    <w:rsid w:val="00A868E4"/>
    <w:rsid w:val="00A90854"/>
    <w:rsid w:val="00A93A3E"/>
    <w:rsid w:val="00AA647F"/>
    <w:rsid w:val="00AA7566"/>
    <w:rsid w:val="00AB0EA5"/>
    <w:rsid w:val="00AB25F0"/>
    <w:rsid w:val="00AB2938"/>
    <w:rsid w:val="00AB63E3"/>
    <w:rsid w:val="00AC111B"/>
    <w:rsid w:val="00AC7AC3"/>
    <w:rsid w:val="00AD38C7"/>
    <w:rsid w:val="00AD4AEF"/>
    <w:rsid w:val="00AE1EB4"/>
    <w:rsid w:val="00AE36DE"/>
    <w:rsid w:val="00AE7444"/>
    <w:rsid w:val="00AF48D7"/>
    <w:rsid w:val="00AF4F22"/>
    <w:rsid w:val="00B004E8"/>
    <w:rsid w:val="00B02F36"/>
    <w:rsid w:val="00B04888"/>
    <w:rsid w:val="00B113D0"/>
    <w:rsid w:val="00B11B00"/>
    <w:rsid w:val="00B14623"/>
    <w:rsid w:val="00B15370"/>
    <w:rsid w:val="00B16315"/>
    <w:rsid w:val="00B2463A"/>
    <w:rsid w:val="00B264B4"/>
    <w:rsid w:val="00B34C2A"/>
    <w:rsid w:val="00B40550"/>
    <w:rsid w:val="00B42B3E"/>
    <w:rsid w:val="00B42EAD"/>
    <w:rsid w:val="00B44EEF"/>
    <w:rsid w:val="00B50642"/>
    <w:rsid w:val="00B5079C"/>
    <w:rsid w:val="00B5435B"/>
    <w:rsid w:val="00B554AE"/>
    <w:rsid w:val="00B6072A"/>
    <w:rsid w:val="00B61651"/>
    <w:rsid w:val="00B67AF4"/>
    <w:rsid w:val="00B7018C"/>
    <w:rsid w:val="00B70224"/>
    <w:rsid w:val="00B75CF1"/>
    <w:rsid w:val="00B7626B"/>
    <w:rsid w:val="00B764E9"/>
    <w:rsid w:val="00B822B3"/>
    <w:rsid w:val="00B83BE6"/>
    <w:rsid w:val="00B83D93"/>
    <w:rsid w:val="00B93E40"/>
    <w:rsid w:val="00B944B5"/>
    <w:rsid w:val="00B9666B"/>
    <w:rsid w:val="00BA2E18"/>
    <w:rsid w:val="00BA2FD4"/>
    <w:rsid w:val="00BB50F5"/>
    <w:rsid w:val="00BB5AB8"/>
    <w:rsid w:val="00BC43E1"/>
    <w:rsid w:val="00BC4910"/>
    <w:rsid w:val="00BD2498"/>
    <w:rsid w:val="00BD7FDD"/>
    <w:rsid w:val="00BE3F88"/>
    <w:rsid w:val="00BE445B"/>
    <w:rsid w:val="00BE785C"/>
    <w:rsid w:val="00BE7D33"/>
    <w:rsid w:val="00BF0945"/>
    <w:rsid w:val="00BF1B4B"/>
    <w:rsid w:val="00BF2B6F"/>
    <w:rsid w:val="00BF3749"/>
    <w:rsid w:val="00C01D41"/>
    <w:rsid w:val="00C02D60"/>
    <w:rsid w:val="00C07253"/>
    <w:rsid w:val="00C15304"/>
    <w:rsid w:val="00C16BF3"/>
    <w:rsid w:val="00C30FD4"/>
    <w:rsid w:val="00C331E9"/>
    <w:rsid w:val="00C34DC0"/>
    <w:rsid w:val="00C42B00"/>
    <w:rsid w:val="00C46026"/>
    <w:rsid w:val="00C612CC"/>
    <w:rsid w:val="00C630B7"/>
    <w:rsid w:val="00C66CF3"/>
    <w:rsid w:val="00C74513"/>
    <w:rsid w:val="00C816AB"/>
    <w:rsid w:val="00C825B9"/>
    <w:rsid w:val="00C83B72"/>
    <w:rsid w:val="00C87B1A"/>
    <w:rsid w:val="00C96917"/>
    <w:rsid w:val="00C96EE0"/>
    <w:rsid w:val="00CA0D37"/>
    <w:rsid w:val="00CB12AD"/>
    <w:rsid w:val="00CB1500"/>
    <w:rsid w:val="00CB26EE"/>
    <w:rsid w:val="00CC36DE"/>
    <w:rsid w:val="00CC535D"/>
    <w:rsid w:val="00CC77C1"/>
    <w:rsid w:val="00CD29A7"/>
    <w:rsid w:val="00CE16E4"/>
    <w:rsid w:val="00CE1D6A"/>
    <w:rsid w:val="00CE2436"/>
    <w:rsid w:val="00CE27A9"/>
    <w:rsid w:val="00CF654A"/>
    <w:rsid w:val="00D00FF1"/>
    <w:rsid w:val="00D0255A"/>
    <w:rsid w:val="00D110E2"/>
    <w:rsid w:val="00D13A67"/>
    <w:rsid w:val="00D17FCB"/>
    <w:rsid w:val="00D2169E"/>
    <w:rsid w:val="00D227B7"/>
    <w:rsid w:val="00D236AF"/>
    <w:rsid w:val="00D24079"/>
    <w:rsid w:val="00D243C8"/>
    <w:rsid w:val="00D24BA3"/>
    <w:rsid w:val="00D258B3"/>
    <w:rsid w:val="00D30762"/>
    <w:rsid w:val="00D366D7"/>
    <w:rsid w:val="00D36D3A"/>
    <w:rsid w:val="00D43066"/>
    <w:rsid w:val="00D45AA0"/>
    <w:rsid w:val="00D4723A"/>
    <w:rsid w:val="00D51896"/>
    <w:rsid w:val="00D53274"/>
    <w:rsid w:val="00D56D2F"/>
    <w:rsid w:val="00D5781E"/>
    <w:rsid w:val="00D57DAB"/>
    <w:rsid w:val="00D76F9C"/>
    <w:rsid w:val="00D77A49"/>
    <w:rsid w:val="00D81B9A"/>
    <w:rsid w:val="00D84127"/>
    <w:rsid w:val="00D86C57"/>
    <w:rsid w:val="00D92F8D"/>
    <w:rsid w:val="00D94AFE"/>
    <w:rsid w:val="00DA5F80"/>
    <w:rsid w:val="00DA64F8"/>
    <w:rsid w:val="00DB0F2B"/>
    <w:rsid w:val="00DB30AC"/>
    <w:rsid w:val="00DB4B8F"/>
    <w:rsid w:val="00DB7493"/>
    <w:rsid w:val="00DB7F5B"/>
    <w:rsid w:val="00DC15C6"/>
    <w:rsid w:val="00DC1609"/>
    <w:rsid w:val="00DD0B06"/>
    <w:rsid w:val="00DD1CED"/>
    <w:rsid w:val="00DE0A2C"/>
    <w:rsid w:val="00DE1154"/>
    <w:rsid w:val="00DE47EB"/>
    <w:rsid w:val="00E00134"/>
    <w:rsid w:val="00E01D7F"/>
    <w:rsid w:val="00E13A00"/>
    <w:rsid w:val="00E156D0"/>
    <w:rsid w:val="00E21B69"/>
    <w:rsid w:val="00E2228F"/>
    <w:rsid w:val="00E26326"/>
    <w:rsid w:val="00E40497"/>
    <w:rsid w:val="00E44BBB"/>
    <w:rsid w:val="00E4583E"/>
    <w:rsid w:val="00E50D3A"/>
    <w:rsid w:val="00E55303"/>
    <w:rsid w:val="00E60CC8"/>
    <w:rsid w:val="00E6293F"/>
    <w:rsid w:val="00E63985"/>
    <w:rsid w:val="00E658EE"/>
    <w:rsid w:val="00E714BE"/>
    <w:rsid w:val="00E71DB5"/>
    <w:rsid w:val="00E72870"/>
    <w:rsid w:val="00E75AD4"/>
    <w:rsid w:val="00E828A7"/>
    <w:rsid w:val="00E85D54"/>
    <w:rsid w:val="00E904F7"/>
    <w:rsid w:val="00E90E1D"/>
    <w:rsid w:val="00E93A49"/>
    <w:rsid w:val="00E94EEA"/>
    <w:rsid w:val="00EC20A4"/>
    <w:rsid w:val="00EC2D39"/>
    <w:rsid w:val="00EC37F2"/>
    <w:rsid w:val="00ED202F"/>
    <w:rsid w:val="00ED4D42"/>
    <w:rsid w:val="00ED697A"/>
    <w:rsid w:val="00ED73BF"/>
    <w:rsid w:val="00EE09CC"/>
    <w:rsid w:val="00EE4607"/>
    <w:rsid w:val="00EF1937"/>
    <w:rsid w:val="00F12196"/>
    <w:rsid w:val="00F14BE4"/>
    <w:rsid w:val="00F214E2"/>
    <w:rsid w:val="00F260B3"/>
    <w:rsid w:val="00F321F8"/>
    <w:rsid w:val="00F3585B"/>
    <w:rsid w:val="00F3637B"/>
    <w:rsid w:val="00F37AB0"/>
    <w:rsid w:val="00F45E70"/>
    <w:rsid w:val="00F50EF0"/>
    <w:rsid w:val="00F5104A"/>
    <w:rsid w:val="00F53CC3"/>
    <w:rsid w:val="00F623E4"/>
    <w:rsid w:val="00F638D9"/>
    <w:rsid w:val="00F65154"/>
    <w:rsid w:val="00F65AAB"/>
    <w:rsid w:val="00F66375"/>
    <w:rsid w:val="00F66C52"/>
    <w:rsid w:val="00F70FB6"/>
    <w:rsid w:val="00F7445D"/>
    <w:rsid w:val="00F75419"/>
    <w:rsid w:val="00F9023A"/>
    <w:rsid w:val="00F93590"/>
    <w:rsid w:val="00F93A3A"/>
    <w:rsid w:val="00F93CD9"/>
    <w:rsid w:val="00FA4470"/>
    <w:rsid w:val="00FB4308"/>
    <w:rsid w:val="00FB5193"/>
    <w:rsid w:val="00FB53E3"/>
    <w:rsid w:val="00FC3195"/>
    <w:rsid w:val="00FC62CC"/>
    <w:rsid w:val="00FC6CF5"/>
    <w:rsid w:val="00FC7BF4"/>
    <w:rsid w:val="00FD1D12"/>
    <w:rsid w:val="00FD1D79"/>
    <w:rsid w:val="00FD7CCA"/>
    <w:rsid w:val="00FF07E1"/>
    <w:rsid w:val="00FF3CE8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B28"/>
    <w:rPr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21D98"/>
    <w:pPr>
      <w:keepNext/>
      <w:autoSpaceDE w:val="0"/>
      <w:autoSpaceDN w:val="0"/>
      <w:adjustRightInd w:val="0"/>
      <w:jc w:val="center"/>
      <w:outlineLvl w:val="0"/>
    </w:pPr>
    <w:rPr>
      <w:b/>
      <w:bCs/>
      <w:i/>
      <w:smallCaps/>
      <w:color w:val="auto"/>
      <w:sz w:val="20"/>
      <w:szCs w:val="20"/>
    </w:rPr>
  </w:style>
  <w:style w:type="paragraph" w:styleId="Heading2">
    <w:name w:val="heading 2"/>
    <w:basedOn w:val="Normal"/>
    <w:next w:val="Normal"/>
    <w:qFormat/>
    <w:rsid w:val="001D7A02"/>
    <w:pPr>
      <w:keepNext/>
      <w:ind w:left="2160" w:hanging="21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A02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1D7A02"/>
    <w:pPr>
      <w:tabs>
        <w:tab w:val="left" w:pos="1440"/>
        <w:tab w:val="left" w:pos="1800"/>
      </w:tabs>
    </w:pPr>
    <w:rPr>
      <w:lang w:val="es-MX" w:eastAsia="pt-BR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2">
    <w:name w:val="Body Text Indent 2"/>
    <w:basedOn w:val="Normal"/>
    <w:rsid w:val="001D7A02"/>
    <w:pPr>
      <w:ind w:left="2160" w:hanging="2160"/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1D7A02"/>
    <w:pPr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rsid w:val="001D7A02"/>
    <w:rPr>
      <w:sz w:val="20"/>
      <w:szCs w:val="20"/>
    </w:rPr>
  </w:style>
  <w:style w:type="paragraph" w:styleId="Title">
    <w:name w:val="Title"/>
    <w:basedOn w:val="Normal"/>
    <w:qFormat/>
    <w:rsid w:val="001D7A02"/>
    <w:pPr>
      <w:widowControl w:val="0"/>
      <w:autoSpaceDE w:val="0"/>
      <w:autoSpaceDN w:val="0"/>
      <w:jc w:val="center"/>
    </w:pPr>
    <w:rPr>
      <w:rFonts w:ascii="CG Times" w:hAnsi="CG Times" w:cs="CG Times"/>
      <w:b/>
      <w:bCs/>
      <w:smallCaps/>
      <w:color w:val="auto"/>
      <w:sz w:val="20"/>
      <w:szCs w:val="20"/>
    </w:rPr>
  </w:style>
  <w:style w:type="paragraph" w:styleId="Header">
    <w:name w:val="header"/>
    <w:basedOn w:val="Normal"/>
    <w:link w:val="HeaderChar"/>
    <w:rsid w:val="00483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CE"/>
  </w:style>
  <w:style w:type="paragraph" w:styleId="FootnoteText">
    <w:name w:val="footnote text"/>
    <w:basedOn w:val="Normal"/>
    <w:semiHidden/>
    <w:rsid w:val="00D76F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F9C"/>
    <w:rPr>
      <w:vertAlign w:val="superscript"/>
    </w:rPr>
  </w:style>
  <w:style w:type="paragraph" w:styleId="BalloonText">
    <w:name w:val="Balloon Text"/>
    <w:basedOn w:val="Normal"/>
    <w:link w:val="BalloonTextChar"/>
    <w:rsid w:val="00D7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A49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445B"/>
    <w:rPr>
      <w:color w:val="000000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21D98"/>
    <w:rPr>
      <w:b/>
      <w:bCs/>
      <w:i/>
      <w:smallCap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B28"/>
    <w:rPr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21D98"/>
    <w:pPr>
      <w:keepNext/>
      <w:autoSpaceDE w:val="0"/>
      <w:autoSpaceDN w:val="0"/>
      <w:adjustRightInd w:val="0"/>
      <w:jc w:val="center"/>
      <w:outlineLvl w:val="0"/>
    </w:pPr>
    <w:rPr>
      <w:b/>
      <w:bCs/>
      <w:i/>
      <w:smallCaps/>
      <w:color w:val="auto"/>
      <w:sz w:val="20"/>
      <w:szCs w:val="20"/>
    </w:rPr>
  </w:style>
  <w:style w:type="paragraph" w:styleId="Heading2">
    <w:name w:val="heading 2"/>
    <w:basedOn w:val="Normal"/>
    <w:next w:val="Normal"/>
    <w:qFormat/>
    <w:rsid w:val="001D7A02"/>
    <w:pPr>
      <w:keepNext/>
      <w:ind w:left="2160" w:hanging="21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A02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1D7A02"/>
    <w:pPr>
      <w:tabs>
        <w:tab w:val="left" w:pos="1440"/>
        <w:tab w:val="left" w:pos="1800"/>
      </w:tabs>
    </w:pPr>
    <w:rPr>
      <w:lang w:val="es-MX" w:eastAsia="pt-BR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2">
    <w:name w:val="Body Text Indent 2"/>
    <w:basedOn w:val="Normal"/>
    <w:rsid w:val="001D7A02"/>
    <w:pPr>
      <w:ind w:left="2160" w:hanging="2160"/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1D7A02"/>
    <w:pPr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rsid w:val="001D7A02"/>
    <w:rPr>
      <w:sz w:val="20"/>
      <w:szCs w:val="20"/>
    </w:rPr>
  </w:style>
  <w:style w:type="paragraph" w:styleId="Title">
    <w:name w:val="Title"/>
    <w:basedOn w:val="Normal"/>
    <w:qFormat/>
    <w:rsid w:val="001D7A02"/>
    <w:pPr>
      <w:widowControl w:val="0"/>
      <w:autoSpaceDE w:val="0"/>
      <w:autoSpaceDN w:val="0"/>
      <w:jc w:val="center"/>
    </w:pPr>
    <w:rPr>
      <w:rFonts w:ascii="CG Times" w:hAnsi="CG Times" w:cs="CG Times"/>
      <w:b/>
      <w:bCs/>
      <w:smallCaps/>
      <w:color w:val="auto"/>
      <w:sz w:val="20"/>
      <w:szCs w:val="20"/>
    </w:rPr>
  </w:style>
  <w:style w:type="paragraph" w:styleId="Header">
    <w:name w:val="header"/>
    <w:basedOn w:val="Normal"/>
    <w:link w:val="HeaderChar"/>
    <w:rsid w:val="00483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CE"/>
  </w:style>
  <w:style w:type="paragraph" w:styleId="FootnoteText">
    <w:name w:val="footnote text"/>
    <w:basedOn w:val="Normal"/>
    <w:semiHidden/>
    <w:rsid w:val="00D76F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F9C"/>
    <w:rPr>
      <w:vertAlign w:val="superscript"/>
    </w:rPr>
  </w:style>
  <w:style w:type="paragraph" w:styleId="BalloonText">
    <w:name w:val="Balloon Text"/>
    <w:basedOn w:val="Normal"/>
    <w:link w:val="BalloonTextChar"/>
    <w:rsid w:val="00D7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A49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E445B"/>
    <w:rPr>
      <w:color w:val="000000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21D98"/>
    <w:rPr>
      <w:b/>
      <w:bCs/>
      <w:i/>
      <w:smallCap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thwaite@caa.gov.tt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\AppData\Roaming\Microsoft\Templates\MeetingReportAgendaItemLandscapeAPX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203E7B-0485-41E8-87D0-1864921D8CCD}"/>
</file>

<file path=customXml/itemProps2.xml><?xml version="1.0" encoding="utf-8"?>
<ds:datastoreItem xmlns:ds="http://schemas.openxmlformats.org/officeDocument/2006/customXml" ds:itemID="{E88B3A3D-A8F8-49D2-B2F5-5483C4D5B607}"/>
</file>

<file path=customXml/itemProps3.xml><?xml version="1.0" encoding="utf-8"?>
<ds:datastoreItem xmlns:ds="http://schemas.openxmlformats.org/officeDocument/2006/customXml" ds:itemID="{EBFA07A7-06C3-4FCA-89D0-12407C848F87}"/>
</file>

<file path=docProps/app.xml><?xml version="1.0" encoding="utf-8"?>
<Properties xmlns="http://schemas.openxmlformats.org/officeDocument/2006/extended-properties" xmlns:vt="http://schemas.openxmlformats.org/officeDocument/2006/docPropsVTypes">
  <Template>MeetingReportAgendaItemLandscapeAPXEN.dotx</Template>
  <TotalTime>22</TotalTime>
  <Pages>3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OUTSTANDING CONCLUSIONS AND DECISIONS OF PREVIOUS MEETINGS OF THE C/CAR WORKING GROUP</vt:lpstr>
    </vt:vector>
  </TitlesOfParts>
  <Company>ICAO NACC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OUTSTANDING CONCLUSIONS AND DECISIONS OF PREVIOUS MEETINGS OF THE C/CAR WORKING GROUP</dc:title>
  <dc:creator>Lopez, Claudia</dc:creator>
  <cp:lastModifiedBy>Morales, Lizette</cp:lastModifiedBy>
  <cp:revision>5</cp:revision>
  <cp:lastPrinted>2009-07-01T14:41:00Z</cp:lastPrinted>
  <dcterms:created xsi:type="dcterms:W3CDTF">2014-09-10T15:53:00Z</dcterms:created>
  <dcterms:modified xsi:type="dcterms:W3CDTF">2014-09-12T14:51:00Z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